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8B" w:rsidRDefault="0003228B" w:rsidP="0003228B">
      <w:pPr>
        <w:spacing w:after="0" w:line="240" w:lineRule="auto"/>
        <w:jc w:val="both"/>
        <w:rPr>
          <w:rFonts w:ascii="Arial" w:hAnsi="Arial" w:cs="Arial"/>
          <w:b/>
          <w:i/>
          <w:sz w:val="24"/>
          <w:szCs w:val="24"/>
        </w:rPr>
      </w:pPr>
    </w:p>
    <w:p w:rsidR="001044A1" w:rsidRDefault="001044A1" w:rsidP="0003228B">
      <w:pPr>
        <w:spacing w:after="0" w:line="240" w:lineRule="auto"/>
        <w:jc w:val="both"/>
        <w:rPr>
          <w:rFonts w:ascii="Arial" w:hAnsi="Arial" w:cs="Arial"/>
          <w:b/>
          <w:i/>
          <w:sz w:val="24"/>
          <w:szCs w:val="24"/>
        </w:rPr>
      </w:pPr>
    </w:p>
    <w:p w:rsidR="0003228B" w:rsidRPr="000E67BB" w:rsidRDefault="0003228B" w:rsidP="0003228B">
      <w:pPr>
        <w:spacing w:after="0" w:line="240" w:lineRule="auto"/>
        <w:jc w:val="both"/>
        <w:rPr>
          <w:rFonts w:ascii="Arial" w:hAnsi="Arial" w:cs="Arial"/>
          <w:b/>
          <w:i/>
          <w:sz w:val="24"/>
          <w:szCs w:val="24"/>
        </w:rPr>
      </w:pPr>
    </w:p>
    <w:tbl>
      <w:tblPr>
        <w:tblStyle w:val="Tablaconcuadrcula"/>
        <w:tblpPr w:leftFromText="141" w:rightFromText="141" w:vertAnchor="page" w:horzAnchor="margin" w:tblpY="2322"/>
        <w:tblW w:w="0" w:type="auto"/>
        <w:tblBorders>
          <w:insideH w:val="none" w:sz="0" w:space="0" w:color="auto"/>
          <w:insideV w:val="none" w:sz="0" w:space="0" w:color="auto"/>
        </w:tblBorders>
        <w:tblLook w:val="04A0" w:firstRow="1" w:lastRow="0" w:firstColumn="1" w:lastColumn="0" w:noHBand="0" w:noVBand="1"/>
      </w:tblPr>
      <w:tblGrid>
        <w:gridCol w:w="1590"/>
        <w:gridCol w:w="7238"/>
      </w:tblGrid>
      <w:tr w:rsidR="0003228B" w:rsidRPr="002A456C" w:rsidTr="001553A7">
        <w:tc>
          <w:tcPr>
            <w:tcW w:w="1590" w:type="dxa"/>
          </w:tcPr>
          <w:p w:rsidR="0003228B" w:rsidRPr="002A456C" w:rsidRDefault="0003228B" w:rsidP="00F77EFA">
            <w:pPr>
              <w:spacing w:after="0" w:line="240" w:lineRule="auto"/>
              <w:jc w:val="both"/>
              <w:rPr>
                <w:rFonts w:ascii="Arial" w:hAnsi="Arial" w:cs="Arial"/>
                <w:b/>
                <w:color w:val="000000"/>
                <w:sz w:val="21"/>
                <w:szCs w:val="21"/>
              </w:rPr>
            </w:pPr>
            <w:r w:rsidRPr="002A456C">
              <w:rPr>
                <w:rFonts w:ascii="Arial" w:hAnsi="Arial" w:cs="Arial"/>
                <w:b/>
                <w:color w:val="000000"/>
                <w:sz w:val="21"/>
                <w:szCs w:val="21"/>
              </w:rPr>
              <w:t>Expediente:</w:t>
            </w:r>
          </w:p>
        </w:tc>
        <w:tc>
          <w:tcPr>
            <w:tcW w:w="7238" w:type="dxa"/>
          </w:tcPr>
          <w:p w:rsidR="0003228B" w:rsidRPr="002A456C" w:rsidRDefault="002C79BE" w:rsidP="00576153">
            <w:pPr>
              <w:spacing w:after="0" w:line="240" w:lineRule="auto"/>
              <w:jc w:val="both"/>
              <w:rPr>
                <w:rFonts w:ascii="Arial" w:hAnsi="Arial" w:cs="Arial"/>
                <w:b/>
                <w:color w:val="000000"/>
                <w:sz w:val="21"/>
                <w:szCs w:val="21"/>
              </w:rPr>
            </w:pPr>
            <w:r w:rsidRPr="002A456C">
              <w:rPr>
                <w:rFonts w:ascii="Arial" w:hAnsi="Arial" w:cs="Arial"/>
                <w:b/>
                <w:color w:val="000000"/>
                <w:sz w:val="21"/>
                <w:szCs w:val="21"/>
              </w:rPr>
              <w:t>Controversia Constitucional</w:t>
            </w:r>
            <w:r w:rsidR="0003228B" w:rsidRPr="002A456C">
              <w:rPr>
                <w:rFonts w:ascii="Arial" w:hAnsi="Arial" w:cs="Arial"/>
                <w:b/>
                <w:color w:val="000000"/>
                <w:sz w:val="21"/>
                <w:szCs w:val="21"/>
              </w:rPr>
              <w:t xml:space="preserve"> </w:t>
            </w:r>
            <w:r w:rsidR="004D09D2" w:rsidRPr="002A456C">
              <w:rPr>
                <w:rFonts w:ascii="Arial" w:hAnsi="Arial" w:cs="Arial"/>
                <w:b/>
                <w:color w:val="000000"/>
                <w:sz w:val="21"/>
                <w:szCs w:val="21"/>
              </w:rPr>
              <w:t xml:space="preserve">57/2017 </w:t>
            </w:r>
          </w:p>
        </w:tc>
      </w:tr>
      <w:tr w:rsidR="0003228B" w:rsidRPr="002A456C" w:rsidTr="001553A7">
        <w:tc>
          <w:tcPr>
            <w:tcW w:w="1590" w:type="dxa"/>
          </w:tcPr>
          <w:p w:rsidR="0003228B" w:rsidRPr="002A456C" w:rsidRDefault="0003228B" w:rsidP="00F77EFA">
            <w:pPr>
              <w:spacing w:after="0" w:line="240" w:lineRule="auto"/>
              <w:jc w:val="both"/>
              <w:rPr>
                <w:rFonts w:ascii="Arial" w:hAnsi="Arial" w:cs="Arial"/>
                <w:b/>
                <w:color w:val="000000"/>
                <w:sz w:val="21"/>
                <w:szCs w:val="21"/>
              </w:rPr>
            </w:pPr>
            <w:r w:rsidRPr="002A456C">
              <w:rPr>
                <w:rFonts w:ascii="Arial" w:hAnsi="Arial" w:cs="Arial"/>
                <w:b/>
                <w:color w:val="000000"/>
                <w:sz w:val="21"/>
                <w:szCs w:val="21"/>
              </w:rPr>
              <w:t>Materia:</w:t>
            </w:r>
          </w:p>
        </w:tc>
        <w:tc>
          <w:tcPr>
            <w:tcW w:w="7238" w:type="dxa"/>
          </w:tcPr>
          <w:p w:rsidR="0003228B" w:rsidRPr="002A456C" w:rsidRDefault="006C2761" w:rsidP="00F77EFA">
            <w:pPr>
              <w:spacing w:after="0" w:line="240" w:lineRule="auto"/>
              <w:jc w:val="both"/>
              <w:rPr>
                <w:rFonts w:ascii="Arial" w:hAnsi="Arial" w:cs="Arial"/>
                <w:color w:val="000000"/>
                <w:sz w:val="21"/>
                <w:szCs w:val="21"/>
              </w:rPr>
            </w:pPr>
            <w:r w:rsidRPr="002A456C">
              <w:rPr>
                <w:rFonts w:ascii="Arial" w:hAnsi="Arial" w:cs="Arial"/>
                <w:color w:val="000000"/>
                <w:sz w:val="21"/>
                <w:szCs w:val="21"/>
              </w:rPr>
              <w:t>Electoral</w:t>
            </w:r>
          </w:p>
        </w:tc>
      </w:tr>
      <w:tr w:rsidR="0003228B" w:rsidRPr="002A456C" w:rsidTr="001553A7">
        <w:tc>
          <w:tcPr>
            <w:tcW w:w="1590" w:type="dxa"/>
          </w:tcPr>
          <w:p w:rsidR="0003228B" w:rsidRPr="002A456C" w:rsidRDefault="004D09D2" w:rsidP="006C2761">
            <w:pPr>
              <w:spacing w:after="0" w:line="240" w:lineRule="auto"/>
              <w:jc w:val="both"/>
              <w:rPr>
                <w:rFonts w:ascii="Arial" w:hAnsi="Arial" w:cs="Arial"/>
                <w:b/>
                <w:color w:val="000000"/>
                <w:sz w:val="21"/>
                <w:szCs w:val="21"/>
              </w:rPr>
            </w:pPr>
            <w:r w:rsidRPr="002A456C">
              <w:rPr>
                <w:rFonts w:ascii="Arial" w:hAnsi="Arial" w:cs="Arial"/>
                <w:b/>
                <w:color w:val="000000"/>
                <w:sz w:val="21"/>
                <w:szCs w:val="21"/>
              </w:rPr>
              <w:t>Actor</w:t>
            </w:r>
            <w:r w:rsidR="0003228B" w:rsidRPr="002A456C">
              <w:rPr>
                <w:rFonts w:ascii="Arial" w:hAnsi="Arial" w:cs="Arial"/>
                <w:b/>
                <w:color w:val="000000"/>
                <w:sz w:val="21"/>
                <w:szCs w:val="21"/>
              </w:rPr>
              <w:t>:</w:t>
            </w:r>
          </w:p>
        </w:tc>
        <w:tc>
          <w:tcPr>
            <w:tcW w:w="7238" w:type="dxa"/>
          </w:tcPr>
          <w:p w:rsidR="0003228B" w:rsidRPr="002A456C" w:rsidRDefault="008C22CC" w:rsidP="00576153">
            <w:pPr>
              <w:spacing w:after="0" w:line="240" w:lineRule="auto"/>
              <w:jc w:val="both"/>
              <w:rPr>
                <w:rFonts w:ascii="Arial" w:hAnsi="Arial" w:cs="Arial"/>
                <w:color w:val="000000"/>
                <w:sz w:val="21"/>
                <w:szCs w:val="21"/>
              </w:rPr>
            </w:pPr>
            <w:r>
              <w:rPr>
                <w:rFonts w:ascii="Arial" w:hAnsi="Arial" w:cs="Arial"/>
                <w:color w:val="000000"/>
                <w:sz w:val="21"/>
                <w:szCs w:val="21"/>
              </w:rPr>
              <w:t xml:space="preserve">Municipio de </w:t>
            </w:r>
            <w:proofErr w:type="spellStart"/>
            <w:r w:rsidR="004D09D2" w:rsidRPr="002A456C">
              <w:rPr>
                <w:rFonts w:ascii="Arial" w:hAnsi="Arial" w:cs="Arial"/>
                <w:color w:val="000000"/>
                <w:sz w:val="21"/>
                <w:szCs w:val="21"/>
              </w:rPr>
              <w:t>Chalcatongo</w:t>
            </w:r>
            <w:proofErr w:type="spellEnd"/>
            <w:r w:rsidR="004D09D2" w:rsidRPr="002A456C">
              <w:rPr>
                <w:rFonts w:ascii="Arial" w:hAnsi="Arial" w:cs="Arial"/>
                <w:color w:val="000000"/>
                <w:sz w:val="21"/>
                <w:szCs w:val="21"/>
              </w:rPr>
              <w:t xml:space="preserve"> de Hidalgo, Distrito de </w:t>
            </w:r>
            <w:proofErr w:type="spellStart"/>
            <w:r w:rsidR="004D09D2" w:rsidRPr="002A456C">
              <w:rPr>
                <w:rFonts w:ascii="Arial" w:hAnsi="Arial" w:cs="Arial"/>
                <w:color w:val="000000"/>
                <w:sz w:val="21"/>
                <w:szCs w:val="21"/>
              </w:rPr>
              <w:t>Tlaxiaco</w:t>
            </w:r>
            <w:proofErr w:type="spellEnd"/>
            <w:r w:rsidR="004D09D2" w:rsidRPr="002A456C">
              <w:rPr>
                <w:rFonts w:ascii="Arial" w:hAnsi="Arial" w:cs="Arial"/>
                <w:color w:val="000000"/>
                <w:sz w:val="21"/>
                <w:szCs w:val="21"/>
              </w:rPr>
              <w:t>, Estado de Oaxaca</w:t>
            </w:r>
            <w:r w:rsidR="009F4564" w:rsidRPr="002A456C">
              <w:rPr>
                <w:rFonts w:ascii="Arial" w:hAnsi="Arial" w:cs="Arial"/>
                <w:color w:val="000000"/>
                <w:sz w:val="21"/>
                <w:szCs w:val="21"/>
              </w:rPr>
              <w:t>, por conducto de Wendy Dolores Cortes Ruiz</w:t>
            </w:r>
          </w:p>
        </w:tc>
      </w:tr>
      <w:tr w:rsidR="0003228B" w:rsidRPr="002A456C" w:rsidTr="001553A7">
        <w:tc>
          <w:tcPr>
            <w:tcW w:w="1590" w:type="dxa"/>
          </w:tcPr>
          <w:p w:rsidR="0003228B" w:rsidRPr="002A456C" w:rsidRDefault="0003228B" w:rsidP="00F77EFA">
            <w:pPr>
              <w:spacing w:after="0" w:line="240" w:lineRule="auto"/>
              <w:jc w:val="both"/>
              <w:rPr>
                <w:rFonts w:ascii="Arial" w:hAnsi="Arial" w:cs="Arial"/>
                <w:b/>
                <w:color w:val="000000"/>
                <w:sz w:val="21"/>
                <w:szCs w:val="21"/>
              </w:rPr>
            </w:pPr>
            <w:r w:rsidRPr="002A456C">
              <w:rPr>
                <w:rFonts w:ascii="Arial" w:hAnsi="Arial" w:cs="Arial"/>
                <w:b/>
                <w:color w:val="000000"/>
                <w:sz w:val="21"/>
                <w:szCs w:val="21"/>
              </w:rPr>
              <w:t>Tema:</w:t>
            </w:r>
          </w:p>
        </w:tc>
        <w:tc>
          <w:tcPr>
            <w:tcW w:w="7238" w:type="dxa"/>
          </w:tcPr>
          <w:p w:rsidR="0003228B" w:rsidRPr="002A456C" w:rsidRDefault="00576153" w:rsidP="008C22CC">
            <w:pPr>
              <w:spacing w:after="0" w:line="240" w:lineRule="auto"/>
              <w:jc w:val="both"/>
              <w:rPr>
                <w:rFonts w:ascii="Arial" w:hAnsi="Arial" w:cs="Arial"/>
                <w:color w:val="000000"/>
                <w:sz w:val="21"/>
                <w:szCs w:val="21"/>
              </w:rPr>
            </w:pPr>
            <w:r w:rsidRPr="002A456C">
              <w:rPr>
                <w:rFonts w:ascii="Arial" w:hAnsi="Arial" w:cs="Arial"/>
                <w:color w:val="000000"/>
                <w:sz w:val="21"/>
                <w:szCs w:val="21"/>
              </w:rPr>
              <w:t xml:space="preserve">Invalidez de </w:t>
            </w:r>
            <w:r w:rsidR="00625CBD" w:rsidRPr="002A456C">
              <w:rPr>
                <w:rFonts w:ascii="Arial" w:hAnsi="Arial" w:cs="Arial"/>
                <w:color w:val="000000"/>
                <w:sz w:val="21"/>
                <w:szCs w:val="21"/>
              </w:rPr>
              <w:t xml:space="preserve">la sentencia dictada </w:t>
            </w:r>
            <w:r w:rsidR="008C22CC" w:rsidRPr="002A456C">
              <w:rPr>
                <w:rFonts w:ascii="Arial" w:hAnsi="Arial" w:cs="Arial"/>
                <w:color w:val="000000"/>
                <w:sz w:val="21"/>
                <w:szCs w:val="21"/>
              </w:rPr>
              <w:t>por el Tribunal Electoral del Estado de Oaxaca</w:t>
            </w:r>
            <w:bookmarkStart w:id="0" w:name="_GoBack"/>
            <w:bookmarkEnd w:id="0"/>
            <w:r w:rsidR="008C22CC" w:rsidRPr="002A456C">
              <w:rPr>
                <w:rFonts w:ascii="Arial" w:hAnsi="Arial" w:cs="Arial"/>
                <w:color w:val="000000"/>
                <w:sz w:val="21"/>
                <w:szCs w:val="21"/>
              </w:rPr>
              <w:t xml:space="preserve"> </w:t>
            </w:r>
            <w:r w:rsidR="00977977" w:rsidRPr="002A456C">
              <w:rPr>
                <w:rFonts w:ascii="Arial" w:hAnsi="Arial" w:cs="Arial"/>
                <w:color w:val="000000"/>
                <w:sz w:val="21"/>
                <w:szCs w:val="21"/>
              </w:rPr>
              <w:t>el 16 de enero de 2017</w:t>
            </w:r>
            <w:r w:rsidR="008C22CC">
              <w:rPr>
                <w:rFonts w:ascii="Arial" w:hAnsi="Arial" w:cs="Arial"/>
                <w:color w:val="000000"/>
                <w:sz w:val="21"/>
                <w:szCs w:val="21"/>
              </w:rPr>
              <w:t>.</w:t>
            </w:r>
          </w:p>
        </w:tc>
      </w:tr>
      <w:tr w:rsidR="0003228B" w:rsidRPr="002A456C" w:rsidTr="001553A7">
        <w:tc>
          <w:tcPr>
            <w:tcW w:w="1590" w:type="dxa"/>
          </w:tcPr>
          <w:p w:rsidR="0003228B" w:rsidRPr="002A456C" w:rsidRDefault="0003228B" w:rsidP="00F77EFA">
            <w:pPr>
              <w:spacing w:after="0" w:line="240" w:lineRule="auto"/>
              <w:jc w:val="both"/>
              <w:rPr>
                <w:rFonts w:ascii="Arial" w:hAnsi="Arial" w:cs="Arial"/>
                <w:b/>
                <w:color w:val="000000"/>
                <w:sz w:val="21"/>
                <w:szCs w:val="21"/>
              </w:rPr>
            </w:pPr>
            <w:r w:rsidRPr="002A456C">
              <w:rPr>
                <w:rFonts w:ascii="Arial" w:hAnsi="Arial" w:cs="Arial"/>
                <w:b/>
                <w:color w:val="000000"/>
                <w:sz w:val="21"/>
                <w:szCs w:val="21"/>
              </w:rPr>
              <w:t>Ponente:</w:t>
            </w:r>
          </w:p>
          <w:p w:rsidR="001044A1" w:rsidRPr="002A456C" w:rsidRDefault="001044A1" w:rsidP="00F77EFA">
            <w:pPr>
              <w:spacing w:after="0" w:line="240" w:lineRule="auto"/>
              <w:jc w:val="both"/>
              <w:rPr>
                <w:rFonts w:ascii="Arial" w:hAnsi="Arial" w:cs="Arial"/>
                <w:b/>
                <w:color w:val="000000"/>
                <w:sz w:val="21"/>
                <w:szCs w:val="21"/>
              </w:rPr>
            </w:pPr>
            <w:r w:rsidRPr="002A456C">
              <w:rPr>
                <w:rFonts w:ascii="Arial" w:hAnsi="Arial" w:cs="Arial"/>
                <w:b/>
                <w:color w:val="000000"/>
                <w:sz w:val="21"/>
                <w:szCs w:val="21"/>
              </w:rPr>
              <w:t>Asistencia</w:t>
            </w:r>
          </w:p>
          <w:p w:rsidR="0003228B" w:rsidRPr="002A456C" w:rsidRDefault="0003228B" w:rsidP="00F77EFA">
            <w:pPr>
              <w:spacing w:after="0" w:line="240" w:lineRule="auto"/>
              <w:jc w:val="both"/>
              <w:rPr>
                <w:rFonts w:ascii="Arial" w:hAnsi="Arial" w:cs="Arial"/>
                <w:b/>
                <w:color w:val="000000"/>
                <w:sz w:val="21"/>
                <w:szCs w:val="21"/>
              </w:rPr>
            </w:pPr>
            <w:r w:rsidRPr="002A456C">
              <w:rPr>
                <w:rFonts w:ascii="Arial" w:hAnsi="Arial" w:cs="Arial"/>
                <w:b/>
                <w:color w:val="000000"/>
                <w:sz w:val="21"/>
                <w:szCs w:val="21"/>
              </w:rPr>
              <w:t>Resolución:</w:t>
            </w:r>
          </w:p>
        </w:tc>
        <w:tc>
          <w:tcPr>
            <w:tcW w:w="7238" w:type="dxa"/>
          </w:tcPr>
          <w:p w:rsidR="0003228B" w:rsidRPr="002A456C" w:rsidRDefault="004D09D2" w:rsidP="00F77EFA">
            <w:pPr>
              <w:spacing w:after="0" w:line="240" w:lineRule="auto"/>
              <w:jc w:val="both"/>
              <w:rPr>
                <w:rFonts w:ascii="Arial" w:hAnsi="Arial" w:cs="Arial"/>
                <w:color w:val="000000"/>
                <w:sz w:val="21"/>
                <w:szCs w:val="21"/>
              </w:rPr>
            </w:pPr>
            <w:r w:rsidRPr="002A456C">
              <w:rPr>
                <w:rFonts w:ascii="Arial" w:hAnsi="Arial" w:cs="Arial"/>
                <w:color w:val="000000"/>
                <w:sz w:val="21"/>
                <w:szCs w:val="21"/>
              </w:rPr>
              <w:t>José Ramón Cossío Díaz</w:t>
            </w:r>
          </w:p>
          <w:p w:rsidR="00D13B6F" w:rsidRPr="002A456C" w:rsidRDefault="000E085E" w:rsidP="00D13B6F">
            <w:pPr>
              <w:spacing w:after="0" w:line="240" w:lineRule="auto"/>
              <w:jc w:val="both"/>
              <w:rPr>
                <w:rFonts w:ascii="Arial" w:hAnsi="Arial" w:cs="Arial"/>
                <w:color w:val="000000"/>
                <w:sz w:val="21"/>
                <w:szCs w:val="21"/>
              </w:rPr>
            </w:pPr>
            <w:r w:rsidRPr="002A456C">
              <w:rPr>
                <w:rFonts w:ascii="Arial" w:hAnsi="Arial" w:cs="Arial"/>
                <w:color w:val="000000"/>
                <w:sz w:val="21"/>
                <w:szCs w:val="21"/>
              </w:rPr>
              <w:t>Cinco</w:t>
            </w:r>
            <w:r w:rsidR="001044A1" w:rsidRPr="002A456C">
              <w:rPr>
                <w:rFonts w:ascii="Arial" w:hAnsi="Arial" w:cs="Arial"/>
                <w:color w:val="000000"/>
                <w:sz w:val="21"/>
                <w:szCs w:val="21"/>
              </w:rPr>
              <w:t xml:space="preserve"> Ministros </w:t>
            </w:r>
          </w:p>
          <w:p w:rsidR="0003228B" w:rsidRPr="002A456C" w:rsidRDefault="004D09D2" w:rsidP="00D13B6F">
            <w:pPr>
              <w:spacing w:after="0" w:line="240" w:lineRule="auto"/>
              <w:jc w:val="both"/>
              <w:rPr>
                <w:rFonts w:ascii="Arial" w:hAnsi="Arial" w:cs="Arial"/>
                <w:color w:val="000000"/>
                <w:sz w:val="21"/>
                <w:szCs w:val="21"/>
              </w:rPr>
            </w:pPr>
            <w:r w:rsidRPr="002A456C">
              <w:rPr>
                <w:rFonts w:ascii="Arial" w:hAnsi="Arial" w:cs="Arial"/>
                <w:color w:val="000000"/>
                <w:sz w:val="21"/>
                <w:szCs w:val="21"/>
              </w:rPr>
              <w:t>31</w:t>
            </w:r>
            <w:r w:rsidR="0003228B" w:rsidRPr="002A456C">
              <w:rPr>
                <w:rFonts w:ascii="Arial" w:hAnsi="Arial" w:cs="Arial"/>
                <w:color w:val="000000"/>
                <w:sz w:val="21"/>
                <w:szCs w:val="21"/>
              </w:rPr>
              <w:t xml:space="preserve"> de </w:t>
            </w:r>
            <w:r w:rsidRPr="002A456C">
              <w:rPr>
                <w:rFonts w:ascii="Arial" w:hAnsi="Arial" w:cs="Arial"/>
                <w:color w:val="000000"/>
                <w:sz w:val="21"/>
                <w:szCs w:val="21"/>
              </w:rPr>
              <w:t>enero de 2018</w:t>
            </w:r>
          </w:p>
        </w:tc>
      </w:tr>
      <w:tr w:rsidR="0003228B" w:rsidRPr="002A456C" w:rsidTr="001553A7">
        <w:tc>
          <w:tcPr>
            <w:tcW w:w="1590" w:type="dxa"/>
          </w:tcPr>
          <w:p w:rsidR="0003228B" w:rsidRPr="002A456C" w:rsidRDefault="0003228B" w:rsidP="00F77EFA">
            <w:pPr>
              <w:spacing w:after="0" w:line="240" w:lineRule="auto"/>
              <w:jc w:val="both"/>
              <w:rPr>
                <w:rFonts w:ascii="Arial" w:hAnsi="Arial" w:cs="Arial"/>
                <w:b/>
                <w:color w:val="000000"/>
                <w:sz w:val="21"/>
                <w:szCs w:val="21"/>
              </w:rPr>
            </w:pPr>
            <w:r w:rsidRPr="002A456C">
              <w:rPr>
                <w:rFonts w:ascii="Arial" w:hAnsi="Arial" w:cs="Arial"/>
                <w:b/>
                <w:color w:val="000000"/>
                <w:sz w:val="21"/>
                <w:szCs w:val="21"/>
              </w:rPr>
              <w:t xml:space="preserve">Entidad: </w:t>
            </w:r>
          </w:p>
        </w:tc>
        <w:tc>
          <w:tcPr>
            <w:tcW w:w="7238" w:type="dxa"/>
          </w:tcPr>
          <w:p w:rsidR="0003228B" w:rsidRPr="002A456C" w:rsidRDefault="004D09D2" w:rsidP="00576153">
            <w:pPr>
              <w:spacing w:after="0" w:line="240" w:lineRule="auto"/>
              <w:jc w:val="both"/>
              <w:rPr>
                <w:rFonts w:ascii="Arial" w:hAnsi="Arial" w:cs="Arial"/>
                <w:color w:val="000000"/>
                <w:sz w:val="21"/>
                <w:szCs w:val="21"/>
              </w:rPr>
            </w:pPr>
            <w:r w:rsidRPr="002A456C">
              <w:rPr>
                <w:rFonts w:ascii="Arial" w:hAnsi="Arial" w:cs="Arial"/>
                <w:color w:val="000000"/>
                <w:sz w:val="21"/>
                <w:szCs w:val="21"/>
              </w:rPr>
              <w:t>Oaxaca</w:t>
            </w:r>
          </w:p>
        </w:tc>
      </w:tr>
    </w:tbl>
    <w:p w:rsidR="001553A7" w:rsidRPr="00C2171A" w:rsidRDefault="002C79BE" w:rsidP="00C2171A">
      <w:pPr>
        <w:pStyle w:val="corte4fondo"/>
        <w:tabs>
          <w:tab w:val="left" w:pos="0"/>
        </w:tabs>
        <w:spacing w:line="240" w:lineRule="auto"/>
        <w:ind w:right="51"/>
        <w:rPr>
          <w:rFonts w:eastAsiaTheme="minorHAnsi" w:cs="Arial"/>
          <w:b/>
          <w:sz w:val="21"/>
          <w:szCs w:val="21"/>
          <w:lang w:eastAsia="en-US"/>
        </w:rPr>
      </w:pPr>
      <w:r w:rsidRPr="00C2171A">
        <w:rPr>
          <w:rFonts w:eastAsiaTheme="minorHAnsi" w:cs="Arial"/>
          <w:b/>
          <w:sz w:val="21"/>
          <w:szCs w:val="21"/>
          <w:lang w:eastAsia="en-US"/>
        </w:rPr>
        <w:t xml:space="preserve">Antecedentes </w:t>
      </w:r>
    </w:p>
    <w:p w:rsidR="001553A7" w:rsidRPr="00C2171A" w:rsidRDefault="001553A7" w:rsidP="001553A7">
      <w:pPr>
        <w:pStyle w:val="Prrafodelista"/>
        <w:spacing w:after="0" w:line="240" w:lineRule="auto"/>
        <w:jc w:val="both"/>
        <w:rPr>
          <w:rFonts w:ascii="Arial" w:hAnsi="Arial" w:cs="Arial"/>
          <w:sz w:val="21"/>
          <w:szCs w:val="21"/>
        </w:rPr>
      </w:pPr>
    </w:p>
    <w:p w:rsidR="009F4564" w:rsidRPr="00770310" w:rsidRDefault="002C79BE" w:rsidP="00134E2E">
      <w:pPr>
        <w:pStyle w:val="Prrafodelista"/>
        <w:numPr>
          <w:ilvl w:val="0"/>
          <w:numId w:val="18"/>
        </w:numPr>
        <w:spacing w:after="0" w:line="240" w:lineRule="auto"/>
        <w:jc w:val="both"/>
        <w:rPr>
          <w:rFonts w:ascii="Arial" w:hAnsi="Arial" w:cs="Arial"/>
          <w:color w:val="000000"/>
          <w:sz w:val="21"/>
          <w:szCs w:val="21"/>
        </w:rPr>
      </w:pPr>
      <w:r w:rsidRPr="00770310">
        <w:rPr>
          <w:rFonts w:ascii="Arial" w:hAnsi="Arial" w:cs="Arial"/>
          <w:sz w:val="21"/>
          <w:szCs w:val="21"/>
        </w:rPr>
        <w:t>El Tribunal Electoral del Estado de Oaxaca dictó sentencia en el expediente JDC/132/2016 el dieciséis de enero de dos mil diecisiete</w:t>
      </w:r>
      <w:r w:rsidR="005322A9" w:rsidRPr="00770310">
        <w:rPr>
          <w:rFonts w:ascii="Arial" w:hAnsi="Arial" w:cs="Arial"/>
          <w:sz w:val="21"/>
          <w:szCs w:val="21"/>
        </w:rPr>
        <w:t>.</w:t>
      </w:r>
    </w:p>
    <w:p w:rsidR="005322A9" w:rsidRPr="00770310" w:rsidRDefault="005322A9" w:rsidP="005322A9">
      <w:pPr>
        <w:pStyle w:val="Prrafodelista"/>
        <w:spacing w:after="0" w:line="240" w:lineRule="auto"/>
        <w:jc w:val="both"/>
        <w:rPr>
          <w:rFonts w:ascii="Arial" w:hAnsi="Arial" w:cs="Arial"/>
          <w:color w:val="000000"/>
          <w:sz w:val="21"/>
          <w:szCs w:val="21"/>
        </w:rPr>
      </w:pPr>
    </w:p>
    <w:p w:rsidR="005E2782" w:rsidRPr="0030684F" w:rsidRDefault="005E2782" w:rsidP="005E2782">
      <w:pPr>
        <w:pStyle w:val="corte4fondo"/>
        <w:numPr>
          <w:ilvl w:val="0"/>
          <w:numId w:val="18"/>
        </w:numPr>
        <w:tabs>
          <w:tab w:val="left" w:pos="0"/>
        </w:tabs>
        <w:spacing w:line="240" w:lineRule="auto"/>
        <w:ind w:right="49"/>
        <w:rPr>
          <w:rFonts w:eastAsiaTheme="minorHAnsi" w:cs="Arial"/>
          <w:sz w:val="21"/>
          <w:szCs w:val="21"/>
          <w:lang w:eastAsia="en-US"/>
        </w:rPr>
      </w:pPr>
      <w:r w:rsidRPr="0030684F">
        <w:rPr>
          <w:rFonts w:eastAsiaTheme="minorHAnsi" w:cs="Arial"/>
          <w:sz w:val="21"/>
          <w:szCs w:val="21"/>
          <w:lang w:eastAsia="en-US"/>
        </w:rPr>
        <w:t>Dicho juicio fue promovido por el regidor de salud del municipio actor durante la</w:t>
      </w:r>
      <w:r w:rsidRPr="005E2782">
        <w:rPr>
          <w:rFonts w:eastAsiaTheme="minorHAnsi" w:cs="Arial"/>
          <w:sz w:val="21"/>
          <w:szCs w:val="21"/>
          <w:lang w:eastAsia="en-US"/>
        </w:rPr>
        <w:t xml:space="preserve"> administración municipal dos mil </w:t>
      </w:r>
      <w:proofErr w:type="spellStart"/>
      <w:r w:rsidRPr="005E2782">
        <w:rPr>
          <w:rFonts w:eastAsiaTheme="minorHAnsi" w:cs="Arial"/>
          <w:sz w:val="21"/>
          <w:szCs w:val="21"/>
          <w:lang w:eastAsia="en-US"/>
        </w:rPr>
        <w:t>catorce─dos</w:t>
      </w:r>
      <w:proofErr w:type="spellEnd"/>
      <w:r w:rsidRPr="005E2782">
        <w:rPr>
          <w:rFonts w:eastAsiaTheme="minorHAnsi" w:cs="Arial"/>
          <w:sz w:val="21"/>
          <w:szCs w:val="21"/>
          <w:lang w:eastAsia="en-US"/>
        </w:rPr>
        <w:t xml:space="preserve"> mil dieciséis en contra de la administración municipal de ese periodo, demandando la omisión de convocar a sesiones de cabildo; el obstáculo material para ejercer sus facultades de observación, vigilancia y participación activa en las deliberaciones; omisión de otorgarle una oficina y material administrativo, así como recursos materiales, humanos y financieros para el desarrollo de sus actividades como regidor y la negativa permanente del Presidente y tesorero municipal de pagar las dietas que le correspondían por el ejercicio del cargo de elección popular desde el mes de enero de dos mil quince y del uno de abril de dos mil dieciséis hasta la fecha en que se dicte sentencia, así también el pago de compensaciones de fin de año o aguinaldo del año dos mil dieciséis </w:t>
      </w:r>
      <w:r w:rsidRPr="0030684F">
        <w:rPr>
          <w:rFonts w:eastAsiaTheme="minorHAnsi" w:cs="Arial"/>
          <w:sz w:val="21"/>
          <w:szCs w:val="21"/>
          <w:lang w:eastAsia="en-US"/>
        </w:rPr>
        <w:t>por un importe de $10,000.00 (DIEZ MIL PESOS 00/100 M.N.).</w:t>
      </w:r>
    </w:p>
    <w:p w:rsidR="005E2782" w:rsidRPr="005E2782" w:rsidRDefault="005E2782" w:rsidP="005E2782">
      <w:pPr>
        <w:pStyle w:val="corte4fondo"/>
        <w:tabs>
          <w:tab w:val="left" w:pos="0"/>
        </w:tabs>
        <w:spacing w:line="240" w:lineRule="auto"/>
        <w:ind w:right="49" w:firstLine="0"/>
        <w:rPr>
          <w:rFonts w:eastAsiaTheme="minorHAnsi" w:cs="Arial"/>
          <w:sz w:val="21"/>
          <w:szCs w:val="21"/>
          <w:lang w:eastAsia="en-US"/>
        </w:rPr>
      </w:pPr>
    </w:p>
    <w:p w:rsidR="005E2782" w:rsidRPr="005E2782" w:rsidRDefault="005E2782" w:rsidP="005E2782">
      <w:pPr>
        <w:pStyle w:val="corte4fondo"/>
        <w:numPr>
          <w:ilvl w:val="0"/>
          <w:numId w:val="18"/>
        </w:numPr>
        <w:tabs>
          <w:tab w:val="left" w:pos="0"/>
        </w:tabs>
        <w:spacing w:line="240" w:lineRule="auto"/>
        <w:ind w:right="49"/>
        <w:rPr>
          <w:rFonts w:eastAsiaTheme="minorHAnsi" w:cs="Arial"/>
          <w:sz w:val="21"/>
          <w:szCs w:val="21"/>
          <w:lang w:eastAsia="en-US"/>
        </w:rPr>
      </w:pPr>
      <w:r w:rsidRPr="005E2782">
        <w:rPr>
          <w:rFonts w:eastAsiaTheme="minorHAnsi" w:cs="Arial"/>
          <w:sz w:val="21"/>
          <w:szCs w:val="21"/>
          <w:lang w:eastAsia="en-US"/>
        </w:rPr>
        <w:t>Que a decir de las ex autoridades municipales el mencionado regidor de salud se negó a cobrar la dieta que le correspondía en virtud de que por acuerdo de cabildo se destinaron recursos a las necesidades de la población.</w:t>
      </w:r>
    </w:p>
    <w:p w:rsidR="005E2782" w:rsidRPr="005E2782" w:rsidRDefault="005E2782" w:rsidP="005E2782">
      <w:pPr>
        <w:pStyle w:val="corte4fondo"/>
        <w:tabs>
          <w:tab w:val="left" w:pos="0"/>
        </w:tabs>
        <w:spacing w:line="240" w:lineRule="auto"/>
        <w:ind w:right="49" w:firstLine="0"/>
        <w:rPr>
          <w:rFonts w:eastAsiaTheme="minorHAnsi" w:cs="Arial"/>
          <w:sz w:val="21"/>
          <w:szCs w:val="21"/>
          <w:lang w:eastAsia="en-US"/>
        </w:rPr>
      </w:pPr>
    </w:p>
    <w:p w:rsidR="005E2782" w:rsidRPr="005E2782" w:rsidRDefault="005E2782" w:rsidP="005E2782">
      <w:pPr>
        <w:pStyle w:val="corte4fondo"/>
        <w:numPr>
          <w:ilvl w:val="0"/>
          <w:numId w:val="18"/>
        </w:numPr>
        <w:tabs>
          <w:tab w:val="left" w:pos="0"/>
        </w:tabs>
        <w:spacing w:line="240" w:lineRule="auto"/>
        <w:ind w:right="49"/>
        <w:rPr>
          <w:rFonts w:eastAsiaTheme="minorHAnsi" w:cs="Arial"/>
          <w:sz w:val="21"/>
          <w:szCs w:val="21"/>
          <w:lang w:eastAsia="en-US"/>
        </w:rPr>
      </w:pPr>
      <w:r w:rsidRPr="005E2782">
        <w:rPr>
          <w:rFonts w:eastAsiaTheme="minorHAnsi" w:cs="Arial"/>
          <w:sz w:val="21"/>
          <w:szCs w:val="21"/>
          <w:lang w:eastAsia="en-US"/>
        </w:rPr>
        <w:t>En la sentencia impugnada del Tribunal Electoral del Estado, entre otras cosas, se condenó al presidente y tesorero municipales a realizar el pago de las dietas y compensaciones de fin de año o aguinaldo correspondientes al año dos mil dieciséis.</w:t>
      </w:r>
    </w:p>
    <w:p w:rsidR="005E2782" w:rsidRPr="005E2782" w:rsidRDefault="005E2782" w:rsidP="005E2782">
      <w:pPr>
        <w:pStyle w:val="corte4fondo"/>
        <w:tabs>
          <w:tab w:val="left" w:pos="0"/>
        </w:tabs>
        <w:spacing w:line="240" w:lineRule="auto"/>
        <w:ind w:right="49" w:firstLine="0"/>
        <w:rPr>
          <w:rFonts w:eastAsiaTheme="minorHAnsi" w:cs="Arial"/>
          <w:sz w:val="21"/>
          <w:szCs w:val="21"/>
          <w:lang w:eastAsia="en-US"/>
        </w:rPr>
      </w:pPr>
    </w:p>
    <w:p w:rsidR="005322A9" w:rsidRPr="00770310" w:rsidRDefault="005E2782" w:rsidP="005E2782">
      <w:pPr>
        <w:pStyle w:val="corte4fondo"/>
        <w:numPr>
          <w:ilvl w:val="0"/>
          <w:numId w:val="18"/>
        </w:numPr>
        <w:tabs>
          <w:tab w:val="left" w:pos="0"/>
        </w:tabs>
        <w:spacing w:line="240" w:lineRule="auto"/>
        <w:ind w:right="51"/>
        <w:rPr>
          <w:rFonts w:eastAsiaTheme="minorHAnsi" w:cs="Arial"/>
          <w:sz w:val="21"/>
          <w:szCs w:val="21"/>
          <w:lang w:eastAsia="en-US"/>
        </w:rPr>
      </w:pPr>
      <w:r w:rsidRPr="005E2782">
        <w:rPr>
          <w:rFonts w:eastAsiaTheme="minorHAnsi" w:cs="Arial"/>
          <w:sz w:val="21"/>
          <w:szCs w:val="21"/>
          <w:lang w:eastAsia="en-US"/>
        </w:rPr>
        <w:t>Al haber cesado el mandato de la anterior administración, corresponde a las actuales autoridades cumplirlo, asimismo los recursos económicos en caso de sentencia desfavorable se tomarían del presupuesto del presente año, con cargo a los recursos económicos del ramo 28 en detrimento de los servicios que se prestan a la ciudadan</w:t>
      </w:r>
      <w:r w:rsidR="007110E6">
        <w:rPr>
          <w:rFonts w:eastAsiaTheme="minorHAnsi" w:cs="Arial"/>
          <w:sz w:val="21"/>
          <w:szCs w:val="21"/>
          <w:lang w:eastAsia="en-US"/>
        </w:rPr>
        <w:t>ía, motivo por el cual promovieron</w:t>
      </w:r>
      <w:r w:rsidRPr="005E2782">
        <w:rPr>
          <w:rFonts w:eastAsiaTheme="minorHAnsi" w:cs="Arial"/>
          <w:sz w:val="21"/>
          <w:szCs w:val="21"/>
          <w:lang w:eastAsia="en-US"/>
        </w:rPr>
        <w:t xml:space="preserve"> la controversia constitucional</w:t>
      </w:r>
      <w:r w:rsidR="007110E6">
        <w:rPr>
          <w:rFonts w:eastAsiaTheme="minorHAnsi" w:cs="Arial"/>
          <w:sz w:val="21"/>
          <w:szCs w:val="21"/>
          <w:lang w:eastAsia="en-US"/>
        </w:rPr>
        <w:t xml:space="preserve"> en resolución</w:t>
      </w:r>
      <w:r w:rsidRPr="005E2782">
        <w:rPr>
          <w:rFonts w:eastAsiaTheme="minorHAnsi" w:cs="Arial"/>
          <w:sz w:val="21"/>
          <w:szCs w:val="21"/>
          <w:lang w:eastAsia="en-US"/>
        </w:rPr>
        <w:t>.</w:t>
      </w:r>
    </w:p>
    <w:p w:rsidR="005322A9" w:rsidRPr="00770310" w:rsidRDefault="005322A9" w:rsidP="005322A9">
      <w:pPr>
        <w:pStyle w:val="corte4fondo"/>
        <w:tabs>
          <w:tab w:val="left" w:pos="0"/>
        </w:tabs>
        <w:spacing w:line="240" w:lineRule="auto"/>
        <w:ind w:right="51" w:firstLine="0"/>
        <w:rPr>
          <w:rFonts w:eastAsiaTheme="minorHAnsi" w:cs="Arial"/>
          <w:sz w:val="21"/>
          <w:szCs w:val="21"/>
          <w:lang w:eastAsia="en-US"/>
        </w:rPr>
      </w:pPr>
    </w:p>
    <w:p w:rsidR="003E2214" w:rsidRPr="00770310" w:rsidRDefault="003E2214" w:rsidP="008C3615">
      <w:pPr>
        <w:pStyle w:val="corte4fondo"/>
        <w:tabs>
          <w:tab w:val="left" w:pos="0"/>
        </w:tabs>
        <w:spacing w:line="240" w:lineRule="auto"/>
        <w:ind w:right="51" w:firstLine="0"/>
        <w:rPr>
          <w:rFonts w:eastAsiaTheme="minorHAnsi" w:cs="Arial"/>
          <w:sz w:val="21"/>
          <w:szCs w:val="21"/>
          <w:lang w:eastAsia="en-US"/>
        </w:rPr>
      </w:pPr>
    </w:p>
    <w:p w:rsidR="00C2171A" w:rsidRDefault="00C2171A" w:rsidP="00C2171A">
      <w:pPr>
        <w:pStyle w:val="corte4fondo"/>
        <w:tabs>
          <w:tab w:val="left" w:pos="0"/>
        </w:tabs>
        <w:spacing w:line="240" w:lineRule="auto"/>
        <w:ind w:left="720" w:right="51" w:firstLine="0"/>
        <w:rPr>
          <w:rFonts w:eastAsiaTheme="minorHAnsi" w:cs="Arial"/>
          <w:b/>
          <w:color w:val="008080"/>
          <w:sz w:val="21"/>
          <w:szCs w:val="21"/>
          <w:lang w:eastAsia="en-US"/>
        </w:rPr>
      </w:pPr>
    </w:p>
    <w:p w:rsidR="00C2171A" w:rsidRDefault="00C2171A" w:rsidP="00C2171A">
      <w:pPr>
        <w:pStyle w:val="corte4fondo"/>
        <w:tabs>
          <w:tab w:val="left" w:pos="0"/>
        </w:tabs>
        <w:spacing w:line="240" w:lineRule="auto"/>
        <w:ind w:left="720" w:right="51" w:firstLine="0"/>
        <w:rPr>
          <w:rFonts w:eastAsiaTheme="minorHAnsi" w:cs="Arial"/>
          <w:b/>
          <w:color w:val="008080"/>
          <w:sz w:val="21"/>
          <w:szCs w:val="21"/>
          <w:lang w:eastAsia="en-US"/>
        </w:rPr>
      </w:pPr>
    </w:p>
    <w:p w:rsidR="00C2171A" w:rsidRDefault="00C2171A" w:rsidP="00C2171A">
      <w:pPr>
        <w:pStyle w:val="corte4fondo"/>
        <w:tabs>
          <w:tab w:val="left" w:pos="0"/>
        </w:tabs>
        <w:spacing w:line="240" w:lineRule="auto"/>
        <w:ind w:left="720" w:right="51" w:firstLine="0"/>
        <w:rPr>
          <w:rFonts w:eastAsiaTheme="minorHAnsi" w:cs="Arial"/>
          <w:b/>
          <w:color w:val="008080"/>
          <w:sz w:val="21"/>
          <w:szCs w:val="21"/>
          <w:lang w:eastAsia="en-US"/>
        </w:rPr>
      </w:pPr>
    </w:p>
    <w:p w:rsidR="00C2171A" w:rsidRDefault="00C2171A" w:rsidP="00C2171A">
      <w:pPr>
        <w:pStyle w:val="corte4fondo"/>
        <w:tabs>
          <w:tab w:val="left" w:pos="0"/>
        </w:tabs>
        <w:spacing w:line="240" w:lineRule="auto"/>
        <w:ind w:left="720" w:right="51" w:firstLine="0"/>
        <w:rPr>
          <w:rFonts w:eastAsiaTheme="minorHAnsi" w:cs="Arial"/>
          <w:b/>
          <w:color w:val="008080"/>
          <w:sz w:val="21"/>
          <w:szCs w:val="21"/>
          <w:lang w:eastAsia="en-US"/>
        </w:rPr>
      </w:pPr>
    </w:p>
    <w:p w:rsidR="00C2171A" w:rsidRDefault="00C2171A" w:rsidP="00C2171A">
      <w:pPr>
        <w:pStyle w:val="corte4fondo"/>
        <w:tabs>
          <w:tab w:val="left" w:pos="0"/>
        </w:tabs>
        <w:spacing w:line="240" w:lineRule="auto"/>
        <w:ind w:left="720" w:right="51" w:firstLine="0"/>
        <w:rPr>
          <w:rFonts w:eastAsiaTheme="minorHAnsi" w:cs="Arial"/>
          <w:b/>
          <w:color w:val="008080"/>
          <w:sz w:val="21"/>
          <w:szCs w:val="21"/>
          <w:lang w:eastAsia="en-US"/>
        </w:rPr>
      </w:pPr>
    </w:p>
    <w:p w:rsidR="005322A9" w:rsidRPr="00C2171A" w:rsidRDefault="00011764" w:rsidP="00C2171A">
      <w:pPr>
        <w:pStyle w:val="corte4fondo"/>
        <w:tabs>
          <w:tab w:val="left" w:pos="0"/>
        </w:tabs>
        <w:spacing w:line="240" w:lineRule="auto"/>
        <w:ind w:right="51" w:firstLine="0"/>
        <w:rPr>
          <w:rFonts w:eastAsiaTheme="minorHAnsi" w:cs="Arial"/>
          <w:b/>
          <w:sz w:val="21"/>
          <w:szCs w:val="21"/>
          <w:lang w:eastAsia="en-US"/>
        </w:rPr>
      </w:pPr>
      <w:r w:rsidRPr="00C2171A">
        <w:rPr>
          <w:rFonts w:eastAsiaTheme="minorHAnsi" w:cs="Arial"/>
          <w:b/>
          <w:sz w:val="21"/>
          <w:szCs w:val="21"/>
          <w:lang w:eastAsia="en-US"/>
        </w:rPr>
        <w:t>Criterios Denunciados</w:t>
      </w:r>
    </w:p>
    <w:p w:rsidR="00011764" w:rsidRPr="00770310" w:rsidRDefault="00011764" w:rsidP="00011764">
      <w:pPr>
        <w:pStyle w:val="corte4fondo"/>
        <w:tabs>
          <w:tab w:val="left" w:pos="0"/>
        </w:tabs>
        <w:ind w:right="49" w:firstLine="0"/>
        <w:rPr>
          <w:rFonts w:eastAsiaTheme="minorHAnsi" w:cs="Arial"/>
          <w:sz w:val="21"/>
          <w:szCs w:val="21"/>
          <w:lang w:eastAsia="en-US"/>
        </w:rPr>
      </w:pPr>
    </w:p>
    <w:p w:rsidR="00011764" w:rsidRPr="00770310" w:rsidRDefault="00011764" w:rsidP="00011764">
      <w:pPr>
        <w:pStyle w:val="corte4fondo"/>
        <w:tabs>
          <w:tab w:val="left" w:pos="0"/>
        </w:tabs>
        <w:spacing w:line="240" w:lineRule="auto"/>
        <w:ind w:right="51" w:firstLine="0"/>
        <w:rPr>
          <w:rFonts w:eastAsiaTheme="minorHAnsi" w:cs="Arial"/>
          <w:sz w:val="21"/>
          <w:szCs w:val="21"/>
          <w:lang w:eastAsia="en-US"/>
        </w:rPr>
      </w:pPr>
      <w:r w:rsidRPr="00770310">
        <w:rPr>
          <w:rFonts w:eastAsiaTheme="minorHAnsi" w:cs="Arial"/>
          <w:sz w:val="21"/>
          <w:szCs w:val="21"/>
          <w:lang w:eastAsia="en-US"/>
        </w:rPr>
        <w:t>El municipio actor señaló como violados los artículos 1, 2, 14, 16 y 115 de la Constitución Política de los Estados Unidos Mexicanos, así como lo dispuesto por el artículo 113 de la Constitución local.</w:t>
      </w:r>
    </w:p>
    <w:p w:rsidR="00011764" w:rsidRPr="00770310" w:rsidRDefault="00011764" w:rsidP="005322A9">
      <w:pPr>
        <w:pStyle w:val="corte4fondo"/>
        <w:tabs>
          <w:tab w:val="left" w:pos="0"/>
        </w:tabs>
        <w:spacing w:line="240" w:lineRule="auto"/>
        <w:ind w:right="51" w:firstLine="0"/>
        <w:rPr>
          <w:rFonts w:eastAsiaTheme="minorHAnsi" w:cs="Arial"/>
          <w:sz w:val="21"/>
          <w:szCs w:val="21"/>
          <w:lang w:eastAsia="en-US"/>
        </w:rPr>
      </w:pPr>
    </w:p>
    <w:p w:rsidR="00011764" w:rsidRPr="00C2171A" w:rsidRDefault="0031363F" w:rsidP="0030684F">
      <w:pPr>
        <w:pStyle w:val="corte4fondo"/>
        <w:tabs>
          <w:tab w:val="left" w:pos="0"/>
        </w:tabs>
        <w:spacing w:line="240" w:lineRule="auto"/>
        <w:ind w:right="51" w:firstLine="0"/>
        <w:jc w:val="center"/>
        <w:rPr>
          <w:rFonts w:eastAsiaTheme="minorHAnsi" w:cs="Arial"/>
          <w:b/>
          <w:sz w:val="21"/>
          <w:szCs w:val="21"/>
          <w:lang w:eastAsia="en-US"/>
        </w:rPr>
      </w:pPr>
      <w:r w:rsidRPr="00C2171A">
        <w:rPr>
          <w:rFonts w:eastAsiaTheme="minorHAnsi" w:cs="Arial"/>
          <w:b/>
          <w:sz w:val="21"/>
          <w:szCs w:val="21"/>
          <w:lang w:eastAsia="en-US"/>
        </w:rPr>
        <w:t>Resolución de la controversia Constitucional</w:t>
      </w:r>
    </w:p>
    <w:p w:rsidR="00011764" w:rsidRPr="00770310" w:rsidRDefault="00011764" w:rsidP="005322A9">
      <w:pPr>
        <w:pStyle w:val="corte4fondo"/>
        <w:tabs>
          <w:tab w:val="left" w:pos="0"/>
        </w:tabs>
        <w:spacing w:line="240" w:lineRule="auto"/>
        <w:ind w:right="51" w:firstLine="0"/>
        <w:rPr>
          <w:rFonts w:eastAsiaTheme="minorHAnsi" w:cs="Arial"/>
          <w:sz w:val="21"/>
          <w:szCs w:val="21"/>
          <w:lang w:eastAsia="en-US"/>
        </w:rPr>
      </w:pPr>
    </w:p>
    <w:p w:rsidR="00CB5401" w:rsidRPr="00770310" w:rsidRDefault="00CB5401" w:rsidP="005322A9">
      <w:pPr>
        <w:pStyle w:val="corte4fondo"/>
        <w:tabs>
          <w:tab w:val="left" w:pos="0"/>
        </w:tabs>
        <w:spacing w:line="240" w:lineRule="auto"/>
        <w:ind w:right="51" w:firstLine="0"/>
        <w:rPr>
          <w:rFonts w:eastAsiaTheme="minorHAnsi" w:cs="Arial"/>
          <w:b/>
          <w:color w:val="008080"/>
          <w:sz w:val="21"/>
          <w:szCs w:val="21"/>
          <w:lang w:eastAsia="en-US"/>
        </w:rPr>
      </w:pPr>
    </w:p>
    <w:p w:rsidR="00B9210D" w:rsidRPr="00C2171A" w:rsidRDefault="00B9210D" w:rsidP="00C2171A">
      <w:pPr>
        <w:pStyle w:val="corte4fondo"/>
        <w:tabs>
          <w:tab w:val="left" w:pos="0"/>
        </w:tabs>
        <w:spacing w:line="240" w:lineRule="auto"/>
        <w:ind w:right="51" w:firstLine="0"/>
        <w:rPr>
          <w:rFonts w:eastAsiaTheme="minorHAnsi" w:cs="Arial"/>
          <w:b/>
          <w:sz w:val="21"/>
          <w:szCs w:val="21"/>
          <w:lang w:eastAsia="en-US"/>
        </w:rPr>
      </w:pPr>
      <w:r w:rsidRPr="00C2171A">
        <w:rPr>
          <w:rFonts w:eastAsiaTheme="minorHAnsi" w:cs="Arial"/>
          <w:b/>
          <w:sz w:val="21"/>
          <w:szCs w:val="21"/>
          <w:lang w:eastAsia="en-US"/>
        </w:rPr>
        <w:t>Propuesta</w:t>
      </w:r>
    </w:p>
    <w:p w:rsidR="00B9210D" w:rsidRPr="00770310" w:rsidRDefault="00B9210D" w:rsidP="005322A9">
      <w:pPr>
        <w:pStyle w:val="corte4fondo"/>
        <w:tabs>
          <w:tab w:val="left" w:pos="0"/>
        </w:tabs>
        <w:spacing w:line="240" w:lineRule="auto"/>
        <w:ind w:right="51" w:firstLine="0"/>
        <w:rPr>
          <w:rFonts w:eastAsiaTheme="minorHAnsi" w:cs="Arial"/>
          <w:b/>
          <w:color w:val="008080"/>
          <w:sz w:val="21"/>
          <w:szCs w:val="21"/>
          <w:lang w:eastAsia="en-US"/>
        </w:rPr>
      </w:pPr>
    </w:p>
    <w:p w:rsidR="00CB5401" w:rsidRPr="00770310" w:rsidRDefault="007110E6" w:rsidP="003E2214">
      <w:pPr>
        <w:spacing w:line="240" w:lineRule="auto"/>
        <w:jc w:val="both"/>
        <w:rPr>
          <w:rFonts w:ascii="Arial" w:hAnsi="Arial" w:cs="Arial"/>
          <w:sz w:val="21"/>
          <w:szCs w:val="21"/>
        </w:rPr>
      </w:pPr>
      <w:r>
        <w:rPr>
          <w:rFonts w:ascii="Arial" w:hAnsi="Arial" w:cs="Arial"/>
          <w:sz w:val="21"/>
          <w:szCs w:val="21"/>
        </w:rPr>
        <w:t>Se propuso</w:t>
      </w:r>
      <w:r w:rsidR="00897286" w:rsidRPr="00897286">
        <w:rPr>
          <w:rFonts w:ascii="Arial" w:hAnsi="Arial" w:cs="Arial"/>
          <w:sz w:val="21"/>
          <w:szCs w:val="21"/>
        </w:rPr>
        <w:t xml:space="preserve"> sobreseer la controversia constitucional porque se impugna una resolución jurisdicci</w:t>
      </w:r>
      <w:r w:rsidR="009C43FB">
        <w:rPr>
          <w:rFonts w:ascii="Arial" w:hAnsi="Arial" w:cs="Arial"/>
          <w:sz w:val="21"/>
          <w:szCs w:val="21"/>
        </w:rPr>
        <w:t>onal que no es revisable en esa</w:t>
      </w:r>
      <w:r w:rsidR="00897286" w:rsidRPr="00897286">
        <w:rPr>
          <w:rFonts w:ascii="Arial" w:hAnsi="Arial" w:cs="Arial"/>
          <w:sz w:val="21"/>
          <w:szCs w:val="21"/>
        </w:rPr>
        <w:t xml:space="preserve"> instancia jurisdiccional. Se trata de una sentencia dictada en un juicio para la protección de los derechos político electorales del ciudadano en el ámbito local, donde se ordenó al Presidente y al Tesorero, ambos del municipio actor, a pagar seis meses de dietas y aguinaldo, correspondientes al año de dos mil dieciséis.</w:t>
      </w:r>
      <w:r w:rsidR="00CB5401" w:rsidRPr="00770310">
        <w:rPr>
          <w:rFonts w:ascii="Arial" w:hAnsi="Arial" w:cs="Arial"/>
          <w:sz w:val="21"/>
          <w:szCs w:val="21"/>
        </w:rPr>
        <w:t xml:space="preserve"> </w:t>
      </w:r>
    </w:p>
    <w:p w:rsidR="003E2214" w:rsidRPr="00C2171A" w:rsidRDefault="00CB5401" w:rsidP="003E2214">
      <w:pPr>
        <w:spacing w:line="360" w:lineRule="auto"/>
        <w:jc w:val="both"/>
        <w:rPr>
          <w:rFonts w:ascii="Arial" w:hAnsi="Arial" w:cs="Arial"/>
          <w:b/>
          <w:sz w:val="21"/>
          <w:szCs w:val="21"/>
        </w:rPr>
      </w:pPr>
      <w:r w:rsidRPr="00C2171A">
        <w:rPr>
          <w:rFonts w:ascii="Arial" w:hAnsi="Arial" w:cs="Arial"/>
          <w:b/>
          <w:sz w:val="21"/>
          <w:szCs w:val="21"/>
        </w:rPr>
        <w:t>Consideraciones</w:t>
      </w:r>
    </w:p>
    <w:p w:rsidR="008C3615" w:rsidRPr="00770310" w:rsidRDefault="008C3615" w:rsidP="008C3615">
      <w:pPr>
        <w:spacing w:line="240" w:lineRule="auto"/>
        <w:jc w:val="both"/>
        <w:rPr>
          <w:rFonts w:ascii="Arial" w:hAnsi="Arial" w:cs="Arial"/>
          <w:sz w:val="21"/>
          <w:szCs w:val="21"/>
        </w:rPr>
      </w:pPr>
      <w:r w:rsidRPr="00770310">
        <w:rPr>
          <w:rFonts w:ascii="Arial" w:hAnsi="Arial" w:cs="Arial"/>
          <w:sz w:val="21"/>
          <w:szCs w:val="21"/>
        </w:rPr>
        <w:t>En el caso, e</w:t>
      </w:r>
      <w:r w:rsidR="001E5AEC" w:rsidRPr="00770310">
        <w:rPr>
          <w:rFonts w:ascii="Arial" w:hAnsi="Arial" w:cs="Arial"/>
          <w:sz w:val="21"/>
          <w:szCs w:val="21"/>
        </w:rPr>
        <w:t>l Municipio actor combatió</w:t>
      </w:r>
      <w:r w:rsidRPr="00770310">
        <w:rPr>
          <w:rFonts w:ascii="Arial" w:hAnsi="Arial" w:cs="Arial"/>
          <w:sz w:val="21"/>
          <w:szCs w:val="21"/>
        </w:rPr>
        <w:t xml:space="preserve"> la resolución de dieciséis de enero de dos mil diecisiete, dictada por el Tribunal Electoral del Estado de Oaxaca, en el juicio derivado del expediente número JDC/132/2016, formado con motivo de la demanda presentada por el regidor de salud del municipio actor, en contra del propio municipio, en la que demandó entre otras prestaciones el pago de dietas y aguinaldo correspondientes al año dos mil dieciséis</w:t>
      </w:r>
      <w:r w:rsidR="00606310" w:rsidRPr="00770310">
        <w:rPr>
          <w:rFonts w:ascii="Arial" w:hAnsi="Arial" w:cs="Arial"/>
          <w:sz w:val="21"/>
          <w:szCs w:val="21"/>
        </w:rPr>
        <w:t>.</w:t>
      </w:r>
    </w:p>
    <w:p w:rsidR="003E2214" w:rsidRPr="00770310" w:rsidRDefault="00A65921" w:rsidP="002D62F0">
      <w:pPr>
        <w:spacing w:line="240" w:lineRule="auto"/>
        <w:jc w:val="both"/>
        <w:rPr>
          <w:rFonts w:ascii="Arial" w:hAnsi="Arial" w:cs="Arial"/>
          <w:sz w:val="21"/>
          <w:szCs w:val="21"/>
        </w:rPr>
      </w:pPr>
      <w:r w:rsidRPr="00770310">
        <w:rPr>
          <w:rFonts w:ascii="Arial" w:hAnsi="Arial" w:cs="Arial"/>
          <w:sz w:val="21"/>
          <w:szCs w:val="21"/>
        </w:rPr>
        <w:t>Al respecto, la</w:t>
      </w:r>
      <w:r w:rsidR="00897286">
        <w:rPr>
          <w:rFonts w:ascii="Arial" w:hAnsi="Arial" w:cs="Arial"/>
          <w:sz w:val="21"/>
          <w:szCs w:val="21"/>
        </w:rPr>
        <w:t xml:space="preserve"> Suprema C</w:t>
      </w:r>
      <w:r w:rsidR="00A8528C" w:rsidRPr="00770310">
        <w:rPr>
          <w:rFonts w:ascii="Arial" w:hAnsi="Arial" w:cs="Arial"/>
          <w:sz w:val="21"/>
          <w:szCs w:val="21"/>
        </w:rPr>
        <w:t>orte</w:t>
      </w:r>
      <w:r w:rsidR="001E5AEC" w:rsidRPr="00770310">
        <w:rPr>
          <w:rFonts w:ascii="Arial" w:hAnsi="Arial" w:cs="Arial"/>
          <w:sz w:val="21"/>
          <w:szCs w:val="21"/>
        </w:rPr>
        <w:t xml:space="preserve"> advirtió</w:t>
      </w:r>
      <w:r w:rsidR="003E2214" w:rsidRPr="00770310">
        <w:rPr>
          <w:rFonts w:ascii="Arial" w:hAnsi="Arial" w:cs="Arial"/>
          <w:sz w:val="21"/>
          <w:szCs w:val="21"/>
        </w:rPr>
        <w:t xml:space="preserve"> que en el caso se actualiza la causal de improcedencia prevista en el artículo 19, fracción VIII de la Ley Reglamentaria de la materia, en relación con el artículo 105, fracción I de la Constitución Federal, en virtud de que en el medio de control constitucional se impugna una resolución jurisdiccional que no es revi</w:t>
      </w:r>
      <w:r w:rsidR="009C43FB">
        <w:rPr>
          <w:rFonts w:ascii="Arial" w:hAnsi="Arial" w:cs="Arial"/>
          <w:sz w:val="21"/>
          <w:szCs w:val="21"/>
        </w:rPr>
        <w:t>sable en esa</w:t>
      </w:r>
      <w:r w:rsidR="003E2214" w:rsidRPr="00770310">
        <w:rPr>
          <w:rFonts w:ascii="Arial" w:hAnsi="Arial" w:cs="Arial"/>
          <w:sz w:val="21"/>
          <w:szCs w:val="21"/>
        </w:rPr>
        <w:t xml:space="preserve"> instancia jurisdiccional.</w:t>
      </w:r>
    </w:p>
    <w:p w:rsidR="004E0F03" w:rsidRPr="002B1F4E" w:rsidRDefault="004E0F03" w:rsidP="004E0F03">
      <w:pPr>
        <w:pStyle w:val="corte4fondo"/>
        <w:spacing w:line="240" w:lineRule="auto"/>
        <w:ind w:right="51" w:firstLine="0"/>
        <w:rPr>
          <w:rFonts w:eastAsiaTheme="minorHAnsi" w:cs="Arial"/>
          <w:color w:val="000000" w:themeColor="text1"/>
          <w:sz w:val="21"/>
          <w:szCs w:val="21"/>
          <w:lang w:eastAsia="en-US"/>
        </w:rPr>
      </w:pPr>
      <w:r w:rsidRPr="00BF1051">
        <w:rPr>
          <w:rFonts w:eastAsiaTheme="minorHAnsi" w:cs="Arial"/>
          <w:color w:val="000000" w:themeColor="text1"/>
          <w:sz w:val="21"/>
          <w:szCs w:val="21"/>
          <w:lang w:eastAsia="en-US"/>
        </w:rPr>
        <w:t>El pleno de la Sala</w:t>
      </w:r>
      <w:r w:rsidR="001E5AEC" w:rsidRPr="00BF1051">
        <w:rPr>
          <w:rFonts w:eastAsiaTheme="minorHAnsi" w:cs="Arial"/>
          <w:color w:val="000000" w:themeColor="text1"/>
          <w:sz w:val="21"/>
          <w:szCs w:val="21"/>
          <w:lang w:eastAsia="en-US"/>
        </w:rPr>
        <w:t xml:space="preserve"> estableció</w:t>
      </w:r>
      <w:r w:rsidRPr="00BF1051">
        <w:rPr>
          <w:rFonts w:eastAsiaTheme="minorHAnsi" w:cs="Arial"/>
          <w:color w:val="000000" w:themeColor="text1"/>
          <w:sz w:val="21"/>
          <w:szCs w:val="21"/>
          <w:lang w:eastAsia="en-US"/>
        </w:rPr>
        <w:t xml:space="preserve"> que el acto impugnado efectivamente constituye una resolución jurisdiccional. Se trata de la sentencia dictada en un juicio para la protección de los derechos político electorales del ciud</w:t>
      </w:r>
      <w:r w:rsidR="009C43FB" w:rsidRPr="00BF1051">
        <w:rPr>
          <w:rFonts w:eastAsiaTheme="minorHAnsi" w:cs="Arial"/>
          <w:color w:val="000000" w:themeColor="text1"/>
          <w:sz w:val="21"/>
          <w:szCs w:val="21"/>
          <w:lang w:eastAsia="en-US"/>
        </w:rPr>
        <w:t>adano en el ámbito local, y esa</w:t>
      </w:r>
      <w:r w:rsidRPr="00BF1051">
        <w:rPr>
          <w:rFonts w:eastAsiaTheme="minorHAnsi" w:cs="Arial"/>
          <w:color w:val="000000" w:themeColor="text1"/>
          <w:sz w:val="21"/>
          <w:szCs w:val="21"/>
          <w:lang w:eastAsia="en-US"/>
        </w:rPr>
        <w:t xml:space="preserve"> decisión jurisdiccional emitida por la autoridad demandada con motivo del conflicto sometido a su jurisdicción, por regla general, no es susceptible de impugnación a través de una controversia constitucional, en virtud de que se haría de la vía de una controversia constitucional un recurso o ulterior medio de defensa para someter a revisión la misma cuestión litigiosa debatida en el procedimiento natural, lo q</w:t>
      </w:r>
      <w:r w:rsidR="009C43FB" w:rsidRPr="00BF1051">
        <w:rPr>
          <w:rFonts w:eastAsiaTheme="minorHAnsi" w:cs="Arial"/>
          <w:color w:val="000000" w:themeColor="text1"/>
          <w:sz w:val="21"/>
          <w:szCs w:val="21"/>
          <w:lang w:eastAsia="en-US"/>
        </w:rPr>
        <w:t>ue es inadmisible  mediante esa</w:t>
      </w:r>
      <w:r w:rsidRPr="00BF1051">
        <w:rPr>
          <w:rFonts w:eastAsiaTheme="minorHAnsi" w:cs="Arial"/>
          <w:color w:val="000000" w:themeColor="text1"/>
          <w:sz w:val="21"/>
          <w:szCs w:val="21"/>
          <w:lang w:eastAsia="en-US"/>
        </w:rPr>
        <w:t xml:space="preserve"> vía. Ello de conformidad con la jurisprudencia número P./J. 117/2000, de rubro: “CONTROVERSIAS CONSTITUCIONALES. NO SON LA VÍA IDÓNEA PARA COMBATIR RESOLUCIONES JURISDICCIONALES, AUN CUANDO SE ALEGUEN CUESTIONES CONSTITUCIONALES”.</w:t>
      </w:r>
    </w:p>
    <w:p w:rsidR="004E0F03" w:rsidRPr="00770310" w:rsidRDefault="004E0F03" w:rsidP="004E0F03">
      <w:pPr>
        <w:pStyle w:val="corte4fondo"/>
        <w:spacing w:line="240" w:lineRule="auto"/>
        <w:ind w:right="51" w:firstLine="0"/>
        <w:rPr>
          <w:rFonts w:eastAsiaTheme="minorHAnsi" w:cs="Arial"/>
          <w:sz w:val="21"/>
          <w:szCs w:val="21"/>
          <w:lang w:eastAsia="en-US"/>
        </w:rPr>
      </w:pPr>
    </w:p>
    <w:p w:rsidR="008C3615" w:rsidRPr="00770310" w:rsidRDefault="00606310" w:rsidP="008C3615">
      <w:pPr>
        <w:pStyle w:val="corte4fondo"/>
        <w:spacing w:line="240" w:lineRule="auto"/>
        <w:ind w:right="49" w:firstLine="0"/>
        <w:rPr>
          <w:rFonts w:eastAsiaTheme="minorHAnsi" w:cs="Arial"/>
          <w:sz w:val="21"/>
          <w:szCs w:val="21"/>
          <w:lang w:eastAsia="en-US"/>
        </w:rPr>
      </w:pPr>
      <w:r w:rsidRPr="00770310">
        <w:rPr>
          <w:rFonts w:eastAsiaTheme="minorHAnsi" w:cs="Arial"/>
          <w:sz w:val="21"/>
          <w:szCs w:val="21"/>
          <w:lang w:eastAsia="en-US"/>
        </w:rPr>
        <w:t xml:space="preserve">Asimismo </w:t>
      </w:r>
      <w:r w:rsidR="00A65921" w:rsidRPr="00770310">
        <w:rPr>
          <w:rFonts w:eastAsiaTheme="minorHAnsi" w:cs="Arial"/>
          <w:sz w:val="21"/>
          <w:szCs w:val="21"/>
          <w:lang w:eastAsia="en-US"/>
        </w:rPr>
        <w:t xml:space="preserve">la </w:t>
      </w:r>
      <w:r w:rsidRPr="00770310">
        <w:rPr>
          <w:rFonts w:eastAsiaTheme="minorHAnsi" w:cs="Arial"/>
          <w:sz w:val="21"/>
          <w:szCs w:val="21"/>
          <w:lang w:eastAsia="en-US"/>
        </w:rPr>
        <w:t xml:space="preserve">Suprema </w:t>
      </w:r>
      <w:r w:rsidR="00A65921" w:rsidRPr="00770310">
        <w:rPr>
          <w:rFonts w:eastAsiaTheme="minorHAnsi" w:cs="Arial"/>
          <w:sz w:val="21"/>
          <w:szCs w:val="21"/>
          <w:lang w:eastAsia="en-US"/>
        </w:rPr>
        <w:t xml:space="preserve">corte </w:t>
      </w:r>
      <w:r w:rsidR="001E5AEC" w:rsidRPr="00770310">
        <w:rPr>
          <w:rFonts w:eastAsiaTheme="minorHAnsi" w:cs="Arial"/>
          <w:sz w:val="21"/>
          <w:szCs w:val="21"/>
          <w:lang w:eastAsia="en-US"/>
        </w:rPr>
        <w:t>adujo</w:t>
      </w:r>
      <w:r w:rsidR="008C3615" w:rsidRPr="00770310">
        <w:rPr>
          <w:rFonts w:eastAsiaTheme="minorHAnsi" w:cs="Arial"/>
          <w:sz w:val="21"/>
          <w:szCs w:val="21"/>
          <w:lang w:eastAsia="en-US"/>
        </w:rPr>
        <w:t xml:space="preserve"> </w:t>
      </w:r>
      <w:r w:rsidR="00A65921" w:rsidRPr="00770310">
        <w:rPr>
          <w:rFonts w:eastAsiaTheme="minorHAnsi" w:cs="Arial"/>
          <w:sz w:val="21"/>
          <w:szCs w:val="21"/>
          <w:lang w:eastAsia="en-US"/>
        </w:rPr>
        <w:t xml:space="preserve">que existen </w:t>
      </w:r>
      <w:r w:rsidR="008C3615" w:rsidRPr="00770310">
        <w:rPr>
          <w:rFonts w:eastAsiaTheme="minorHAnsi" w:cs="Arial"/>
          <w:sz w:val="21"/>
          <w:szCs w:val="21"/>
          <w:lang w:eastAsia="en-US"/>
        </w:rPr>
        <w:t>medios de impugnación correspondientes para impugnar en otras instancias, un acto como el aquí impugnado, en el entendido de que la controversia constitucional no es la vía idónea para controvertir los fundamentos y motivos de una sentencia emitida por un tribunal judicial o administrativo porque dichos tribunales al dirimir los conflictos que han sido sometidos a su conocimiento, ejercen facultades de control jurisdicc</w:t>
      </w:r>
      <w:r w:rsidR="007C198D">
        <w:rPr>
          <w:rFonts w:eastAsiaTheme="minorHAnsi" w:cs="Arial"/>
          <w:sz w:val="21"/>
          <w:szCs w:val="21"/>
          <w:lang w:eastAsia="en-US"/>
        </w:rPr>
        <w:t>ional, razón por la cual en ese</w:t>
      </w:r>
      <w:r w:rsidR="008C3615" w:rsidRPr="00770310">
        <w:rPr>
          <w:rFonts w:eastAsiaTheme="minorHAnsi" w:cs="Arial"/>
          <w:sz w:val="21"/>
          <w:szCs w:val="21"/>
          <w:lang w:eastAsia="en-US"/>
        </w:rPr>
        <w:t xml:space="preserve"> medio no puede plantearse la invalidez de una resolución dictada en un juicio, máxime que en dichos procedimientos no se dirimen conflictos entre los </w:t>
      </w:r>
      <w:r w:rsidR="008C3615" w:rsidRPr="00770310">
        <w:rPr>
          <w:rFonts w:eastAsiaTheme="minorHAnsi" w:cs="Arial"/>
          <w:sz w:val="21"/>
          <w:szCs w:val="21"/>
          <w:lang w:eastAsia="en-US"/>
        </w:rPr>
        <w:lastRenderedPageBreak/>
        <w:t>órganos, poderes o entes a que se refieren los artículos 105, fracción I de la Constitución Federal y 10 de la Ley Reglamentaria de la materia, sino que tienen como objeto salvaguardar los intereses de los gobernados.</w:t>
      </w:r>
    </w:p>
    <w:p w:rsidR="004E0F03" w:rsidRDefault="004E0F03" w:rsidP="00A65921">
      <w:pPr>
        <w:pStyle w:val="corte4fondo"/>
        <w:spacing w:line="240" w:lineRule="auto"/>
        <w:ind w:right="51" w:firstLine="0"/>
        <w:rPr>
          <w:rFonts w:eastAsiaTheme="minorHAnsi" w:cs="Arial"/>
          <w:sz w:val="21"/>
          <w:szCs w:val="21"/>
          <w:lang w:eastAsia="en-US"/>
        </w:rPr>
      </w:pPr>
    </w:p>
    <w:p w:rsidR="002B1F4E" w:rsidRPr="002B1F4E" w:rsidRDefault="002B1F4E" w:rsidP="002B1F4E">
      <w:pPr>
        <w:pStyle w:val="corte4fondo"/>
        <w:spacing w:line="240" w:lineRule="auto"/>
        <w:ind w:right="51" w:firstLine="0"/>
        <w:rPr>
          <w:rFonts w:eastAsiaTheme="minorHAnsi" w:cs="Arial"/>
          <w:sz w:val="21"/>
          <w:szCs w:val="21"/>
          <w:lang w:eastAsia="en-US"/>
        </w:rPr>
      </w:pPr>
      <w:r w:rsidRPr="002B1F4E">
        <w:rPr>
          <w:rFonts w:eastAsiaTheme="minorHAnsi" w:cs="Arial"/>
          <w:sz w:val="21"/>
          <w:szCs w:val="21"/>
          <w:lang w:eastAsia="en-US"/>
        </w:rPr>
        <w:t>En efecto, para que opere la excepción a la regla general de la improcedencia de la controversia constitucional en contra de resoluciones jurisdiccionales, el municipio actor es quien debe, en principio, ostentarse facultado para dirimir el problema jurídico que conoció su contraparte, es decir, el municipio debió alegar ser el órgano competente para resolver la cuestión planteada originalmente o en su caso acreditar una afectación a su integración democrática, sin embargo, ello no lo hace valer así y por tanto, no se actualiza el supuesto de excepción para impugnar en controversia constitucional una resolución jurisdiccional.</w:t>
      </w:r>
    </w:p>
    <w:p w:rsidR="002B1F4E" w:rsidRDefault="002B1F4E" w:rsidP="00A65921">
      <w:pPr>
        <w:pStyle w:val="corte4fondo"/>
        <w:spacing w:line="240" w:lineRule="auto"/>
        <w:ind w:right="51" w:firstLine="0"/>
        <w:rPr>
          <w:rFonts w:eastAsiaTheme="minorHAnsi" w:cs="Arial"/>
          <w:sz w:val="21"/>
          <w:szCs w:val="21"/>
          <w:lang w:eastAsia="en-US"/>
        </w:rPr>
      </w:pPr>
    </w:p>
    <w:p w:rsidR="0047795C" w:rsidRPr="00770310" w:rsidRDefault="0047795C" w:rsidP="008C3615">
      <w:pPr>
        <w:pStyle w:val="corte4fondo"/>
        <w:spacing w:line="240" w:lineRule="auto"/>
        <w:ind w:right="49" w:firstLine="0"/>
        <w:rPr>
          <w:rFonts w:eastAsiaTheme="minorHAnsi" w:cs="Arial"/>
          <w:sz w:val="21"/>
          <w:szCs w:val="21"/>
          <w:lang w:eastAsia="en-US"/>
        </w:rPr>
      </w:pPr>
      <w:r w:rsidRPr="00770310">
        <w:rPr>
          <w:rFonts w:eastAsiaTheme="minorHAnsi" w:cs="Arial"/>
          <w:sz w:val="21"/>
          <w:szCs w:val="21"/>
          <w:lang w:eastAsia="en-US"/>
        </w:rPr>
        <w:t>Así entonces, al no haber acreditado el municipio actor la afecta</w:t>
      </w:r>
      <w:r w:rsidR="00770310">
        <w:rPr>
          <w:rFonts w:eastAsiaTheme="minorHAnsi" w:cs="Arial"/>
          <w:sz w:val="21"/>
          <w:szCs w:val="21"/>
          <w:lang w:eastAsia="en-US"/>
        </w:rPr>
        <w:t>ción a su ámbito de competencia, ni la</w:t>
      </w:r>
      <w:r w:rsidRPr="00770310">
        <w:rPr>
          <w:rFonts w:eastAsiaTheme="minorHAnsi" w:cs="Arial"/>
          <w:sz w:val="21"/>
          <w:szCs w:val="21"/>
          <w:lang w:eastAsia="en-US"/>
        </w:rPr>
        <w:t xml:space="preserve"> afectación a su integración democrá</w:t>
      </w:r>
      <w:r w:rsidR="00770310" w:rsidRPr="00770310">
        <w:rPr>
          <w:rFonts w:eastAsiaTheme="minorHAnsi" w:cs="Arial"/>
          <w:sz w:val="21"/>
          <w:szCs w:val="21"/>
          <w:lang w:eastAsia="en-US"/>
        </w:rPr>
        <w:t>tica. La</w:t>
      </w:r>
      <w:r w:rsidR="003A6AB5" w:rsidRPr="00770310">
        <w:rPr>
          <w:rFonts w:eastAsiaTheme="minorHAnsi" w:cs="Arial"/>
          <w:sz w:val="21"/>
          <w:szCs w:val="21"/>
          <w:lang w:eastAsia="en-US"/>
        </w:rPr>
        <w:t xml:space="preserve"> Primera Sala concluyó</w:t>
      </w:r>
      <w:r w:rsidRPr="00770310">
        <w:rPr>
          <w:rFonts w:eastAsiaTheme="minorHAnsi" w:cs="Arial"/>
          <w:sz w:val="21"/>
          <w:szCs w:val="21"/>
          <w:lang w:eastAsia="en-US"/>
        </w:rPr>
        <w:t xml:space="preserve"> que no resulta aplicable el caso de excepción previsto por la jurisprudencia y por ende</w:t>
      </w:r>
      <w:r w:rsidR="00770310">
        <w:rPr>
          <w:rFonts w:eastAsiaTheme="minorHAnsi" w:cs="Arial"/>
          <w:sz w:val="21"/>
          <w:szCs w:val="21"/>
          <w:lang w:eastAsia="en-US"/>
        </w:rPr>
        <w:t xml:space="preserve">, lo procedente es sobreseer </w:t>
      </w:r>
      <w:r w:rsidRPr="00770310">
        <w:rPr>
          <w:rFonts w:eastAsiaTheme="minorHAnsi" w:cs="Arial"/>
          <w:sz w:val="21"/>
          <w:szCs w:val="21"/>
          <w:lang w:eastAsia="en-US"/>
        </w:rPr>
        <w:t>el juicio en términos del artículo 20, fracción II de la Ley Reglamentaria de la materia, por actualizarse la causal de improcedencia prevista en la fracción VIII del artículo 19 de la Ley Reglamentaria de la materia, en relación con el diverso artículo 105 de la Constitución Federal.</w:t>
      </w:r>
    </w:p>
    <w:p w:rsidR="00D638C4" w:rsidRPr="00770310" w:rsidRDefault="00D638C4" w:rsidP="008C3615">
      <w:pPr>
        <w:pStyle w:val="corte4fondo"/>
        <w:spacing w:line="240" w:lineRule="auto"/>
        <w:ind w:right="49" w:firstLine="0"/>
        <w:rPr>
          <w:rFonts w:eastAsiaTheme="minorHAnsi" w:cs="Arial"/>
          <w:sz w:val="21"/>
          <w:szCs w:val="21"/>
          <w:lang w:eastAsia="en-US"/>
        </w:rPr>
      </w:pPr>
    </w:p>
    <w:p w:rsidR="0047795C" w:rsidRPr="00C2171A" w:rsidRDefault="00C2171A" w:rsidP="004E0F03">
      <w:pPr>
        <w:spacing w:line="240" w:lineRule="auto"/>
        <w:jc w:val="both"/>
        <w:rPr>
          <w:rFonts w:ascii="Arial" w:hAnsi="Arial" w:cs="Arial"/>
          <w:b/>
          <w:sz w:val="21"/>
          <w:szCs w:val="21"/>
        </w:rPr>
      </w:pPr>
      <w:r>
        <w:rPr>
          <w:rFonts w:ascii="Arial" w:hAnsi="Arial" w:cs="Arial"/>
          <w:b/>
          <w:sz w:val="21"/>
          <w:szCs w:val="21"/>
        </w:rPr>
        <w:t>Votación</w:t>
      </w:r>
    </w:p>
    <w:p w:rsidR="0047795C" w:rsidRPr="00770310" w:rsidRDefault="0047795C" w:rsidP="004E0F03">
      <w:pPr>
        <w:pStyle w:val="corte4fondoCar2CarCarCarCarCar"/>
        <w:spacing w:line="240" w:lineRule="auto"/>
        <w:ind w:right="99" w:firstLine="0"/>
        <w:rPr>
          <w:rFonts w:cs="Arial"/>
          <w:sz w:val="21"/>
          <w:szCs w:val="21"/>
          <w:lang w:val="es-MX" w:eastAsia="en-US"/>
        </w:rPr>
      </w:pPr>
      <w:r w:rsidRPr="00770310">
        <w:rPr>
          <w:rFonts w:cs="Arial"/>
          <w:sz w:val="21"/>
          <w:szCs w:val="21"/>
          <w:lang w:val="es-MX" w:eastAsia="en-US"/>
        </w:rPr>
        <w:t>Por unanimidad de cinco votos, se declar</w:t>
      </w:r>
      <w:r w:rsidR="00C2171A">
        <w:rPr>
          <w:rFonts w:cs="Arial"/>
          <w:sz w:val="21"/>
          <w:szCs w:val="21"/>
          <w:lang w:val="es-MX" w:eastAsia="en-US"/>
        </w:rPr>
        <w:t>ó</w:t>
      </w:r>
      <w:r w:rsidRPr="00770310">
        <w:rPr>
          <w:rFonts w:cs="Arial"/>
          <w:sz w:val="21"/>
          <w:szCs w:val="21"/>
          <w:lang w:val="es-MX" w:eastAsia="en-US"/>
        </w:rPr>
        <w:t xml:space="preserve"> el </w:t>
      </w:r>
      <w:r w:rsidRPr="00770310">
        <w:rPr>
          <w:rFonts w:cs="Arial"/>
          <w:b/>
          <w:sz w:val="21"/>
          <w:szCs w:val="21"/>
          <w:lang w:val="es-MX" w:eastAsia="en-US"/>
        </w:rPr>
        <w:t>sobreseimiento</w:t>
      </w:r>
      <w:r w:rsidRPr="00770310">
        <w:rPr>
          <w:rFonts w:cs="Arial"/>
          <w:sz w:val="21"/>
          <w:szCs w:val="21"/>
          <w:lang w:val="es-MX" w:eastAsia="en-US"/>
        </w:rPr>
        <w:t xml:space="preserve"> de la controversia constitucional. Tres Ministros a favor del sentido y dos por consideraciones distintas.</w:t>
      </w:r>
    </w:p>
    <w:p w:rsidR="0047795C" w:rsidRPr="00770310" w:rsidRDefault="0047795C" w:rsidP="004E0F03">
      <w:pPr>
        <w:pStyle w:val="corte4fondoCar2CarCarCarCarCar"/>
        <w:spacing w:line="240" w:lineRule="auto"/>
        <w:ind w:right="99" w:firstLine="0"/>
        <w:jc w:val="center"/>
        <w:rPr>
          <w:rFonts w:cs="Arial"/>
          <w:sz w:val="21"/>
          <w:szCs w:val="21"/>
          <w:lang w:val="es-MX" w:eastAsia="en-US"/>
        </w:rPr>
      </w:pPr>
    </w:p>
    <w:p w:rsidR="0047795C" w:rsidRPr="00C2171A" w:rsidRDefault="00D20B11" w:rsidP="004E0F03">
      <w:pPr>
        <w:spacing w:after="0" w:line="240" w:lineRule="auto"/>
        <w:jc w:val="both"/>
        <w:rPr>
          <w:rFonts w:ascii="Arial" w:hAnsi="Arial" w:cs="Arial"/>
          <w:b/>
        </w:rPr>
      </w:pPr>
      <w:r w:rsidRPr="00C2171A">
        <w:rPr>
          <w:rFonts w:ascii="Arial" w:hAnsi="Arial" w:cs="Arial"/>
          <w:b/>
          <w:sz w:val="21"/>
          <w:szCs w:val="21"/>
        </w:rPr>
        <w:t>DECLARÓ RESUELTA LA CONTROVERSIA CONSTITUCIONAL 57/2017, CON LA VOTACIÓN Y CON EL SENTIDO CON QUE SE HA D</w:t>
      </w:r>
      <w:r w:rsidRPr="00C2171A">
        <w:rPr>
          <w:rFonts w:ascii="Arial" w:hAnsi="Arial" w:cs="Arial"/>
          <w:b/>
        </w:rPr>
        <w:t>ETERMINADO.</w:t>
      </w:r>
    </w:p>
    <w:sectPr w:rsidR="0047795C" w:rsidRPr="00C2171A" w:rsidSect="00F77EFA">
      <w:headerReference w:type="default" r:id="rId8"/>
      <w:footerReference w:type="default" r:id="rId9"/>
      <w:pgSz w:w="12240" w:h="15840"/>
      <w:pgMar w:top="18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E7E" w:rsidRDefault="00243E7E">
      <w:pPr>
        <w:spacing w:after="0" w:line="240" w:lineRule="auto"/>
      </w:pPr>
      <w:r>
        <w:separator/>
      </w:r>
    </w:p>
  </w:endnote>
  <w:endnote w:type="continuationSeparator" w:id="0">
    <w:p w:rsidR="00243E7E" w:rsidRDefault="0024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055314"/>
      <w:docPartObj>
        <w:docPartGallery w:val="Page Numbers (Bottom of Page)"/>
        <w:docPartUnique/>
      </w:docPartObj>
    </w:sdtPr>
    <w:sdtEndPr/>
    <w:sdtContent>
      <w:p w:rsidR="005C3149" w:rsidRDefault="005C3149">
        <w:pPr>
          <w:pStyle w:val="Piedepgina"/>
          <w:jc w:val="center"/>
        </w:pPr>
        <w:r>
          <w:fldChar w:fldCharType="begin"/>
        </w:r>
        <w:r>
          <w:instrText>PAGE   \* MERGEFORMAT</w:instrText>
        </w:r>
        <w:r>
          <w:fldChar w:fldCharType="separate"/>
        </w:r>
        <w:r w:rsidR="00EB5ADF" w:rsidRPr="00EB5ADF">
          <w:rPr>
            <w:noProof/>
            <w:lang w:val="es-ES"/>
          </w:rPr>
          <w:t>3</w:t>
        </w:r>
        <w:r>
          <w:fldChar w:fldCharType="end"/>
        </w:r>
      </w:p>
    </w:sdtContent>
  </w:sdt>
  <w:p w:rsidR="005C3149" w:rsidRDefault="005C31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E7E" w:rsidRDefault="00243E7E">
      <w:pPr>
        <w:spacing w:after="0" w:line="240" w:lineRule="auto"/>
      </w:pPr>
      <w:r>
        <w:separator/>
      </w:r>
    </w:p>
  </w:footnote>
  <w:footnote w:type="continuationSeparator" w:id="0">
    <w:p w:rsidR="00243E7E" w:rsidRDefault="00243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149" w:rsidRPr="00B63991" w:rsidRDefault="005C3149" w:rsidP="00F77EFA">
    <w:pPr>
      <w:pStyle w:val="Encabezado"/>
      <w:tabs>
        <w:tab w:val="left" w:pos="5104"/>
      </w:tabs>
      <w:rPr>
        <w:rFonts w:ascii="Gloucester MT Extra Condensed" w:hAnsi="Gloucester MT Extra Condensed"/>
        <w:color w:val="660033"/>
        <w:sz w:val="24"/>
      </w:rPr>
    </w:pPr>
    <w:r>
      <w:rPr>
        <w:noProof/>
        <w:lang w:eastAsia="es-MX"/>
      </w:rPr>
      <w:drawing>
        <wp:anchor distT="0" distB="0" distL="114300" distR="114300" simplePos="0" relativeHeight="251659264" behindDoc="1" locked="0" layoutInCell="1" allowOverlap="1" wp14:anchorId="0AEB421B" wp14:editId="7E53CCE9">
          <wp:simplePos x="0" y="0"/>
          <wp:positionH relativeFrom="column">
            <wp:posOffset>-521970</wp:posOffset>
          </wp:positionH>
          <wp:positionV relativeFrom="paragraph">
            <wp:posOffset>-387350</wp:posOffset>
          </wp:positionV>
          <wp:extent cx="1079500" cy="704850"/>
          <wp:effectExtent l="0" t="0" r="6350" b="0"/>
          <wp:wrapThrough wrapText="bothSides">
            <wp:wrapPolygon edited="0">
              <wp:start x="0" y="0"/>
              <wp:lineTo x="0" y="21016"/>
              <wp:lineTo x="21346" y="21016"/>
              <wp:lineTo x="21346" y="0"/>
              <wp:lineTo x="0" y="0"/>
            </wp:wrapPolygon>
          </wp:wrapThrough>
          <wp:docPr id="10" name="Imagen 10" descr="http://intranet.te.gob.mx/identidad/logos_TEPJF_imagen/nuevo_logo_TEPJF_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te.gob.mx/identidad/logos_TEPJF_imagen/nuevo_logo_TEPJF_caf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704850"/>
                  </a:xfrm>
                  <a:prstGeom prst="rect">
                    <a:avLst/>
                  </a:prstGeom>
                  <a:noFill/>
                  <a:ln>
                    <a:noFill/>
                  </a:ln>
                </pic:spPr>
              </pic:pic>
            </a:graphicData>
          </a:graphic>
        </wp:anchor>
      </w:drawing>
    </w:r>
    <w:r>
      <w:rPr>
        <w:noProof/>
        <w:lang w:eastAsia="es-MX"/>
      </w:rPr>
      <mc:AlternateContent>
        <mc:Choice Requires="wps">
          <w:drawing>
            <wp:anchor distT="0" distB="0" distL="114300" distR="114300" simplePos="0" relativeHeight="251661312" behindDoc="0" locked="0" layoutInCell="1" allowOverlap="1" wp14:anchorId="6FE9154E" wp14:editId="5BE34B8B">
              <wp:simplePos x="0" y="0"/>
              <wp:positionH relativeFrom="column">
                <wp:posOffset>4317555</wp:posOffset>
              </wp:positionH>
              <wp:positionV relativeFrom="paragraph">
                <wp:posOffset>-115210</wp:posOffset>
              </wp:positionV>
              <wp:extent cx="2237740" cy="661917"/>
              <wp:effectExtent l="0" t="0" r="3175" b="50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61917"/>
                      </a:xfrm>
                      <a:prstGeom prst="rect">
                        <a:avLst/>
                      </a:prstGeom>
                      <a:solidFill>
                        <a:srgbClr val="FFFFFF"/>
                      </a:solidFill>
                      <a:ln w="9525">
                        <a:noFill/>
                        <a:miter lim="800000"/>
                        <a:headEnd/>
                        <a:tailEnd/>
                      </a:ln>
                    </wps:spPr>
                    <wps:txbx>
                      <w:txbxContent>
                        <w:p w:rsidR="005C3149" w:rsidRPr="00DB0AF6" w:rsidRDefault="005C3149" w:rsidP="00F77EFA">
                          <w:pPr>
                            <w:spacing w:after="0"/>
                            <w:jc w:val="both"/>
                            <w:rPr>
                              <w:rFonts w:ascii="Gloucester MT Extra Condensed" w:hAnsi="Gloucester MT Extra Condensed"/>
                              <w:color w:val="660033"/>
                              <w:sz w:val="24"/>
                            </w:rPr>
                          </w:pPr>
                          <w:r w:rsidRPr="00DB0AF6">
                            <w:rPr>
                              <w:rFonts w:ascii="Gloucester MT Extra Condensed" w:hAnsi="Gloucester MT Extra Condensed"/>
                              <w:color w:val="660033"/>
                              <w:sz w:val="24"/>
                            </w:rPr>
                            <w:t>Suprema Corte de Justicia de la Nación</w:t>
                          </w:r>
                        </w:p>
                        <w:p w:rsidR="005C3149" w:rsidRPr="00DC10FB" w:rsidRDefault="005C3149" w:rsidP="00F77EFA">
                          <w:pPr>
                            <w:spacing w:after="0"/>
                            <w:jc w:val="both"/>
                            <w:rPr>
                              <w:rFonts w:ascii="Gloucester MT Extra Condensed" w:hAnsi="Gloucester MT Extra Condensed"/>
                              <w:color w:val="660033"/>
                              <w:sz w:val="24"/>
                            </w:rPr>
                          </w:pPr>
                          <w:r w:rsidRPr="00DB0AF6">
                            <w:rPr>
                              <w:rFonts w:ascii="Gloucester MT Extra Condensed" w:hAnsi="Gloucester MT Extra Condensed"/>
                              <w:color w:val="660033"/>
                              <w:sz w:val="24"/>
                            </w:rPr>
                            <w:t>“</w:t>
                          </w:r>
                          <w:r w:rsidR="00683E4F">
                            <w:rPr>
                              <w:rFonts w:ascii="Gloucester MT Extra Condensed" w:hAnsi="Gloucester MT Extra Condensed"/>
                              <w:color w:val="660033"/>
                              <w:sz w:val="24"/>
                            </w:rPr>
                            <w:t>Síntesis</w:t>
                          </w:r>
                          <w:r w:rsidRPr="00DB0AF6">
                            <w:rPr>
                              <w:rFonts w:ascii="Gloucester MT Extra Condensed" w:hAnsi="Gloucester MT Extra Condensed"/>
                              <w:color w:val="660033"/>
                              <w:sz w:val="24"/>
                            </w:rPr>
                            <w:t>”</w:t>
                          </w:r>
                        </w:p>
                        <w:p w:rsidR="005C3149" w:rsidRPr="00E36863" w:rsidRDefault="00840F90" w:rsidP="00F77EFA">
                          <w:pPr>
                            <w:spacing w:after="0"/>
                            <w:jc w:val="both"/>
                            <w:rPr>
                              <w:rFonts w:ascii="Gloucester MT Extra Condensed" w:hAnsi="Gloucester MT Extra Condensed"/>
                              <w:b/>
                              <w:sz w:val="24"/>
                            </w:rPr>
                          </w:pPr>
                          <w:r>
                            <w:rPr>
                              <w:rFonts w:ascii="Gloucester MT Extra Condensed" w:hAnsi="Gloucester MT Extra Condensed"/>
                              <w:b/>
                              <w:sz w:val="24"/>
                            </w:rPr>
                            <w:t>31 de enero</w:t>
                          </w:r>
                          <w:r w:rsidR="005C3149" w:rsidRPr="00E36863">
                            <w:rPr>
                              <w:rFonts w:ascii="Gloucester MT Extra Condensed" w:hAnsi="Gloucester MT Extra Condensed"/>
                              <w:b/>
                              <w:sz w:val="24"/>
                            </w:rPr>
                            <w:t xml:space="preserve"> de 201</w:t>
                          </w:r>
                          <w:r w:rsidR="00E04F3D">
                            <w:rPr>
                              <w:rFonts w:ascii="Gloucester MT Extra Condensed" w:hAnsi="Gloucester MT Extra Condensed"/>
                              <w:b/>
                              <w:sz w:val="24"/>
                            </w:rPr>
                            <w:t>8</w:t>
                          </w:r>
                        </w:p>
                        <w:p w:rsidR="005C3149" w:rsidRDefault="005C3149" w:rsidP="00F77EFA">
                          <w:pPr>
                            <w:spacing w:after="0"/>
                            <w:jc w:val="both"/>
                            <w:rPr>
                              <w:rFonts w:ascii="Gloucester MT Extra Condensed" w:hAnsi="Gloucester MT Extra Condensed"/>
                              <w:color w:val="660033"/>
                              <w:sz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FE9154E" id="_x0000_t202" coordsize="21600,21600" o:spt="202" path="m,l,21600r21600,l21600,xe">
              <v:stroke joinstyle="miter"/>
              <v:path gradientshapeok="t" o:connecttype="rect"/>
            </v:shapetype>
            <v:shape id="Cuadro de texto 2" o:spid="_x0000_s1026" type="#_x0000_t202" style="position:absolute;margin-left:339.95pt;margin-top:-9.05pt;width:176.2pt;height:52.1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" stroked="f">
              <v:textbox>
                <w:txbxContent>
                  <w:p w:rsidR="005C3149" w:rsidRPr="00DB0AF6" w:rsidRDefault="005C3149" w:rsidP="00F77EFA">
                    <w:pPr>
                      <w:spacing w:after="0"/>
                      <w:jc w:val="both"/>
                      <w:rPr>
                        <w:rFonts w:ascii="Gloucester MT Extra Condensed" w:hAnsi="Gloucester MT Extra Condensed"/>
                        <w:color w:val="660033"/>
                        <w:sz w:val="24"/>
                      </w:rPr>
                    </w:pPr>
                    <w:r w:rsidRPr="00DB0AF6">
                      <w:rPr>
                        <w:rFonts w:ascii="Gloucester MT Extra Condensed" w:hAnsi="Gloucester MT Extra Condensed"/>
                        <w:color w:val="660033"/>
                        <w:sz w:val="24"/>
                      </w:rPr>
                      <w:t>Suprema Corte de Justicia de la Nación</w:t>
                    </w:r>
                  </w:p>
                  <w:p w:rsidR="005C3149" w:rsidRPr="00DC10FB" w:rsidRDefault="005C3149" w:rsidP="00F77EFA">
                    <w:pPr>
                      <w:spacing w:after="0"/>
                      <w:jc w:val="both"/>
                      <w:rPr>
                        <w:rFonts w:ascii="Gloucester MT Extra Condensed" w:hAnsi="Gloucester MT Extra Condensed"/>
                        <w:color w:val="660033"/>
                        <w:sz w:val="24"/>
                      </w:rPr>
                    </w:pPr>
                    <w:r w:rsidRPr="00DB0AF6">
                      <w:rPr>
                        <w:rFonts w:ascii="Gloucester MT Extra Condensed" w:hAnsi="Gloucester MT Extra Condensed"/>
                        <w:color w:val="660033"/>
                        <w:sz w:val="24"/>
                      </w:rPr>
                      <w:t>“</w:t>
                    </w:r>
                    <w:r w:rsidR="00683E4F">
                      <w:rPr>
                        <w:rFonts w:ascii="Gloucester MT Extra Condensed" w:hAnsi="Gloucester MT Extra Condensed"/>
                        <w:color w:val="660033"/>
                        <w:sz w:val="24"/>
                      </w:rPr>
                      <w:t>Síntesis</w:t>
                    </w:r>
                    <w:r w:rsidRPr="00DB0AF6">
                      <w:rPr>
                        <w:rFonts w:ascii="Gloucester MT Extra Condensed" w:hAnsi="Gloucester MT Extra Condensed"/>
                        <w:color w:val="660033"/>
                        <w:sz w:val="24"/>
                      </w:rPr>
                      <w:t>”</w:t>
                    </w:r>
                  </w:p>
                  <w:p w:rsidR="005C3149" w:rsidRPr="00E36863" w:rsidRDefault="00840F90" w:rsidP="00F77EFA">
                    <w:pPr>
                      <w:spacing w:after="0"/>
                      <w:jc w:val="both"/>
                      <w:rPr>
                        <w:rFonts w:ascii="Gloucester MT Extra Condensed" w:hAnsi="Gloucester MT Extra Condensed"/>
                        <w:b/>
                        <w:sz w:val="24"/>
                      </w:rPr>
                    </w:pPr>
                    <w:r>
                      <w:rPr>
                        <w:rFonts w:ascii="Gloucester MT Extra Condensed" w:hAnsi="Gloucester MT Extra Condensed"/>
                        <w:b/>
                        <w:sz w:val="24"/>
                      </w:rPr>
                      <w:t>31 de enero</w:t>
                    </w:r>
                    <w:r w:rsidR="005C3149" w:rsidRPr="00E36863">
                      <w:rPr>
                        <w:rFonts w:ascii="Gloucester MT Extra Condensed" w:hAnsi="Gloucester MT Extra Condensed"/>
                        <w:b/>
                        <w:sz w:val="24"/>
                      </w:rPr>
                      <w:t xml:space="preserve"> de 201</w:t>
                    </w:r>
                    <w:r w:rsidR="00E04F3D">
                      <w:rPr>
                        <w:rFonts w:ascii="Gloucester MT Extra Condensed" w:hAnsi="Gloucester MT Extra Condensed"/>
                        <w:b/>
                        <w:sz w:val="24"/>
                      </w:rPr>
                      <w:t>8</w:t>
                    </w:r>
                  </w:p>
                  <w:p w:rsidR="005C3149" w:rsidRDefault="005C3149" w:rsidP="00F77EFA">
                    <w:pPr>
                      <w:spacing w:after="0"/>
                      <w:jc w:val="both"/>
                      <w:rPr>
                        <w:rFonts w:ascii="Gloucester MT Extra Condensed" w:hAnsi="Gloucester MT Extra Condensed"/>
                        <w:color w:val="660033"/>
                        <w:sz w:val="24"/>
                      </w:rPr>
                    </w:pPr>
                  </w:p>
                </w:txbxContent>
              </v:textbox>
            </v:shape>
          </w:pict>
        </mc:Fallback>
      </mc:AlternateContent>
    </w:r>
    <w:r>
      <w:tab/>
    </w:r>
  </w:p>
  <w:p w:rsidR="005C3149" w:rsidRDefault="005C3149" w:rsidP="00F77EFA">
    <w:pPr>
      <w:pStyle w:val="Encabezado"/>
      <w:tabs>
        <w:tab w:val="left" w:pos="5104"/>
      </w:tabs>
    </w:pPr>
    <w:r>
      <w:rPr>
        <w:noProof/>
        <w:lang w:eastAsia="es-MX"/>
      </w:rPr>
      <mc:AlternateContent>
        <mc:Choice Requires="wps">
          <w:drawing>
            <wp:anchor distT="0" distB="0" distL="114300" distR="114300" simplePos="0" relativeHeight="251660288" behindDoc="0" locked="0" layoutInCell="1" allowOverlap="1" wp14:anchorId="39D5F73A" wp14:editId="607A3CD7">
              <wp:simplePos x="0" y="0"/>
              <wp:positionH relativeFrom="column">
                <wp:posOffset>-1038860</wp:posOffset>
              </wp:positionH>
              <wp:positionV relativeFrom="paragraph">
                <wp:posOffset>140335</wp:posOffset>
              </wp:positionV>
              <wp:extent cx="2244725" cy="327660"/>
              <wp:effectExtent l="0" t="0" r="3175"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27660"/>
                      </a:xfrm>
                      <a:prstGeom prst="rect">
                        <a:avLst/>
                      </a:prstGeom>
                      <a:solidFill>
                        <a:srgbClr val="FFFFFF"/>
                      </a:solidFill>
                      <a:ln w="9525">
                        <a:noFill/>
                        <a:miter lim="800000"/>
                        <a:headEnd/>
                        <a:tailEnd/>
                      </a:ln>
                    </wps:spPr>
                    <wps:txbx>
                      <w:txbxContent>
                        <w:p w:rsidR="005C3149" w:rsidRPr="00257504" w:rsidRDefault="005C3149" w:rsidP="00F77EFA">
                          <w:pPr>
                            <w:spacing w:after="0" w:line="240" w:lineRule="auto"/>
                            <w:jc w:val="center"/>
                            <w:rPr>
                              <w:rFonts w:ascii="Gloucester MT Extra Condensed" w:hAnsi="Gloucester MT Extra Condensed"/>
                              <w:color w:val="003300"/>
                              <w:sz w:val="16"/>
                            </w:rPr>
                          </w:pPr>
                          <w:r w:rsidRPr="00257504">
                            <w:rPr>
                              <w:rFonts w:ascii="Gloucester MT Extra Condensed" w:hAnsi="Gloucester MT Extra Condensed"/>
                              <w:color w:val="003300"/>
                              <w:sz w:val="16"/>
                            </w:rPr>
                            <w:t>Coordinación de Jurisprudencia, Seguimiento y Consulta</w:t>
                          </w:r>
                        </w:p>
                        <w:p w:rsidR="005C3149" w:rsidRPr="00257504" w:rsidRDefault="005C3149" w:rsidP="00F77EFA">
                          <w:pPr>
                            <w:spacing w:after="0" w:line="240" w:lineRule="auto"/>
                            <w:jc w:val="center"/>
                            <w:rPr>
                              <w:rFonts w:ascii="Gloucester MT Extra Condensed" w:hAnsi="Gloucester MT Extra Condensed"/>
                              <w:color w:val="003300"/>
                              <w:sz w:val="16"/>
                            </w:rPr>
                          </w:pPr>
                          <w:r w:rsidRPr="00257504">
                            <w:rPr>
                              <w:rFonts w:ascii="Gloucester MT Extra Condensed" w:hAnsi="Gloucester MT Extra Condensed"/>
                              <w:color w:val="003300"/>
                              <w:sz w:val="16"/>
                            </w:rPr>
                            <w:t>Dirección de Seguimiento y Análisis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D5F73A" id="_x0000_s1027" type="#_x0000_t202" style="position:absolute;margin-left:-81.8pt;margin-top:11.05pt;width:176.75pt;height:25.8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" stroked="f">
              <v:textbox style="mso-fit-shape-to-text:t">
                <w:txbxContent>
                  <w:p w:rsidR="005C3149" w:rsidRPr="00257504" w:rsidRDefault="005C3149" w:rsidP="00F77EFA">
                    <w:pPr>
                      <w:spacing w:after="0" w:line="240" w:lineRule="auto"/>
                      <w:jc w:val="center"/>
                      <w:rPr>
                        <w:rFonts w:ascii="Gloucester MT Extra Condensed" w:hAnsi="Gloucester MT Extra Condensed"/>
                        <w:color w:val="003300"/>
                        <w:sz w:val="16"/>
                      </w:rPr>
                    </w:pPr>
                    <w:r w:rsidRPr="00257504">
                      <w:rPr>
                        <w:rFonts w:ascii="Gloucester MT Extra Condensed" w:hAnsi="Gloucester MT Extra Condensed"/>
                        <w:color w:val="003300"/>
                        <w:sz w:val="16"/>
                      </w:rPr>
                      <w:t>Coordinación de Jurisprudencia, Seguimiento y Consulta</w:t>
                    </w:r>
                  </w:p>
                  <w:p w:rsidR="005C3149" w:rsidRPr="00257504" w:rsidRDefault="005C3149" w:rsidP="00F77EFA">
                    <w:pPr>
                      <w:spacing w:after="0" w:line="240" w:lineRule="auto"/>
                      <w:jc w:val="center"/>
                      <w:rPr>
                        <w:rFonts w:ascii="Gloucester MT Extra Condensed" w:hAnsi="Gloucester MT Extra Condensed"/>
                        <w:color w:val="003300"/>
                        <w:sz w:val="16"/>
                      </w:rPr>
                    </w:pPr>
                    <w:r w:rsidRPr="00257504">
                      <w:rPr>
                        <w:rFonts w:ascii="Gloucester MT Extra Condensed" w:hAnsi="Gloucester MT Extra Condensed"/>
                        <w:color w:val="003300"/>
                        <w:sz w:val="16"/>
                      </w:rPr>
                      <w:t>Dirección de Seguimiento y Análisis</w:t>
                    </w:r>
                  </w:p>
                </w:txbxContent>
              </v:textbox>
            </v:shape>
          </w:pict>
        </mc:Fallback>
      </mc:AlternateContent>
    </w:r>
    <w:r>
      <w:tab/>
    </w:r>
    <w:r>
      <w:tab/>
    </w:r>
  </w:p>
  <w:p w:rsidR="005C3149" w:rsidRDefault="005C3149" w:rsidP="00F77EFA">
    <w:pPr>
      <w:pStyle w:val="Encabezado"/>
      <w:tabs>
        <w:tab w:val="clear" w:pos="8838"/>
      </w:tabs>
    </w:pPr>
    <w:r>
      <w:tab/>
    </w:r>
  </w:p>
  <w:p w:rsidR="005C3149" w:rsidRDefault="005C3149" w:rsidP="00F77EFA">
    <w:pPr>
      <w:pStyle w:val="Encabezado"/>
      <w:tabs>
        <w:tab w:val="clear" w:pos="8838"/>
      </w:tabs>
    </w:pPr>
    <w:r>
      <w:rPr>
        <w:noProof/>
        <w:lang w:eastAsia="es-MX"/>
      </w:rPr>
      <mc:AlternateContent>
        <mc:Choice Requires="wps">
          <w:drawing>
            <wp:anchor distT="4294967295" distB="4294967295" distL="114300" distR="114300" simplePos="0" relativeHeight="251663360" behindDoc="0" locked="0" layoutInCell="1" allowOverlap="1" wp14:anchorId="4C7CFCF7" wp14:editId="7201690B">
              <wp:simplePos x="0" y="0"/>
              <wp:positionH relativeFrom="column">
                <wp:posOffset>-708660</wp:posOffset>
              </wp:positionH>
              <wp:positionV relativeFrom="paragraph">
                <wp:posOffset>133985</wp:posOffset>
              </wp:positionV>
              <wp:extent cx="6965315" cy="0"/>
              <wp:effectExtent l="0" t="19050" r="6985"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5315" cy="0"/>
                      </a:xfrm>
                      <a:prstGeom prst="line">
                        <a:avLst/>
                      </a:prstGeom>
                      <a:ln w="28575">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D727CC" id="4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10.55pt" to="492.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" strokecolor="#a50021" strokeweight="2.2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3B27B89E" wp14:editId="7DE25558">
              <wp:simplePos x="0" y="0"/>
              <wp:positionH relativeFrom="column">
                <wp:posOffset>-707409</wp:posOffset>
              </wp:positionH>
              <wp:positionV relativeFrom="paragraph">
                <wp:posOffset>96567</wp:posOffset>
              </wp:positionV>
              <wp:extent cx="6965315" cy="0"/>
              <wp:effectExtent l="0" t="0" r="2603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5315" cy="0"/>
                      </a:xfrm>
                      <a:prstGeom prst="line">
                        <a:avLst/>
                      </a:prstGeom>
                      <a:ln w="1270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2DA4D2"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7.6pt" to="492.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" strokecolor="#a50021"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7C7"/>
    <w:multiLevelType w:val="hybridMultilevel"/>
    <w:tmpl w:val="209C7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1B671E"/>
    <w:multiLevelType w:val="hybridMultilevel"/>
    <w:tmpl w:val="6832A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AE61E2"/>
    <w:multiLevelType w:val="hybridMultilevel"/>
    <w:tmpl w:val="58BC7730"/>
    <w:lvl w:ilvl="0" w:tplc="0394C868">
      <w:start w:val="1"/>
      <w:numFmt w:val="decimal"/>
      <w:lvlText w:val="%1."/>
      <w:lvlJc w:val="left"/>
      <w:pPr>
        <w:ind w:left="360" w:hanging="360"/>
      </w:pPr>
      <w:rPr>
        <w:rFonts w:hint="default"/>
        <w:b w:val="0"/>
        <w:i w:val="0"/>
        <w:color w:val="auto"/>
        <w:lang w:val="es-MX"/>
      </w:rPr>
    </w:lvl>
    <w:lvl w:ilvl="1" w:tplc="080A0019">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3" w15:restartNumberingAfterBreak="0">
    <w:nsid w:val="113F4F65"/>
    <w:multiLevelType w:val="hybridMultilevel"/>
    <w:tmpl w:val="326CAF8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E736AC2"/>
    <w:multiLevelType w:val="hybridMultilevel"/>
    <w:tmpl w:val="6EE25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0F2304"/>
    <w:multiLevelType w:val="hybridMultilevel"/>
    <w:tmpl w:val="00F88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2A1B7F"/>
    <w:multiLevelType w:val="hybridMultilevel"/>
    <w:tmpl w:val="23E466F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69F2E12"/>
    <w:multiLevelType w:val="hybridMultilevel"/>
    <w:tmpl w:val="08002E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3344F"/>
    <w:multiLevelType w:val="hybridMultilevel"/>
    <w:tmpl w:val="92C633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AF4C3A"/>
    <w:multiLevelType w:val="hybridMultilevel"/>
    <w:tmpl w:val="4A3AF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6F7649"/>
    <w:multiLevelType w:val="hybridMultilevel"/>
    <w:tmpl w:val="86DE8520"/>
    <w:lvl w:ilvl="0" w:tplc="CEEA6072">
      <w:start w:val="1"/>
      <w:numFmt w:val="lowerLetter"/>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1" w15:restartNumberingAfterBreak="0">
    <w:nsid w:val="4C757AC9"/>
    <w:multiLevelType w:val="hybridMultilevel"/>
    <w:tmpl w:val="0418455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775202"/>
    <w:multiLevelType w:val="hybridMultilevel"/>
    <w:tmpl w:val="F0220E6E"/>
    <w:lvl w:ilvl="0" w:tplc="8F8A32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E713BF"/>
    <w:multiLevelType w:val="hybridMultilevel"/>
    <w:tmpl w:val="FC6C57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C132B5"/>
    <w:multiLevelType w:val="hybridMultilevel"/>
    <w:tmpl w:val="05AE1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797F70"/>
    <w:multiLevelType w:val="hybridMultilevel"/>
    <w:tmpl w:val="8C646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A9066E"/>
    <w:multiLevelType w:val="hybridMultilevel"/>
    <w:tmpl w:val="73B0B9F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CC5C74"/>
    <w:multiLevelType w:val="hybridMultilevel"/>
    <w:tmpl w:val="6C1A9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A446A1"/>
    <w:multiLevelType w:val="hybridMultilevel"/>
    <w:tmpl w:val="0470AE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5"/>
  </w:num>
  <w:num w:numId="5">
    <w:abstractNumId w:val="14"/>
  </w:num>
  <w:num w:numId="6">
    <w:abstractNumId w:val="11"/>
  </w:num>
  <w:num w:numId="7">
    <w:abstractNumId w:val="18"/>
  </w:num>
  <w:num w:numId="8">
    <w:abstractNumId w:val="16"/>
  </w:num>
  <w:num w:numId="9">
    <w:abstractNumId w:val="3"/>
  </w:num>
  <w:num w:numId="10">
    <w:abstractNumId w:val="15"/>
  </w:num>
  <w:num w:numId="11">
    <w:abstractNumId w:val="4"/>
  </w:num>
  <w:num w:numId="12">
    <w:abstractNumId w:val="9"/>
  </w:num>
  <w:num w:numId="13">
    <w:abstractNumId w:val="6"/>
  </w:num>
  <w:num w:numId="14">
    <w:abstractNumId w:val="12"/>
  </w:num>
  <w:num w:numId="15">
    <w:abstractNumId w:val="8"/>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8B"/>
    <w:rsid w:val="00011764"/>
    <w:rsid w:val="000175C0"/>
    <w:rsid w:val="000218B7"/>
    <w:rsid w:val="0003228B"/>
    <w:rsid w:val="00032A21"/>
    <w:rsid w:val="000348FD"/>
    <w:rsid w:val="000476B9"/>
    <w:rsid w:val="00050380"/>
    <w:rsid w:val="00051B2D"/>
    <w:rsid w:val="00052873"/>
    <w:rsid w:val="00055AD9"/>
    <w:rsid w:val="00056435"/>
    <w:rsid w:val="00075D71"/>
    <w:rsid w:val="000A451A"/>
    <w:rsid w:val="000A7F85"/>
    <w:rsid w:val="000C0F01"/>
    <w:rsid w:val="000C1290"/>
    <w:rsid w:val="000D311F"/>
    <w:rsid w:val="000E085E"/>
    <w:rsid w:val="000E67BB"/>
    <w:rsid w:val="001033DB"/>
    <w:rsid w:val="001044A1"/>
    <w:rsid w:val="001066DB"/>
    <w:rsid w:val="001114B6"/>
    <w:rsid w:val="00122428"/>
    <w:rsid w:val="00126F7E"/>
    <w:rsid w:val="001277E5"/>
    <w:rsid w:val="0013449D"/>
    <w:rsid w:val="00141AE6"/>
    <w:rsid w:val="00153300"/>
    <w:rsid w:val="00154736"/>
    <w:rsid w:val="00154E70"/>
    <w:rsid w:val="001553A7"/>
    <w:rsid w:val="00162202"/>
    <w:rsid w:val="00176264"/>
    <w:rsid w:val="00180F81"/>
    <w:rsid w:val="001A1E6C"/>
    <w:rsid w:val="001A6E47"/>
    <w:rsid w:val="001D5D9B"/>
    <w:rsid w:val="001E3820"/>
    <w:rsid w:val="001E5AEC"/>
    <w:rsid w:val="001F2A44"/>
    <w:rsid w:val="001F55FF"/>
    <w:rsid w:val="001F62FE"/>
    <w:rsid w:val="001F777B"/>
    <w:rsid w:val="00201B4D"/>
    <w:rsid w:val="00201CB6"/>
    <w:rsid w:val="002042B5"/>
    <w:rsid w:val="00211FEB"/>
    <w:rsid w:val="00222DA5"/>
    <w:rsid w:val="00227F34"/>
    <w:rsid w:val="002421B3"/>
    <w:rsid w:val="00243E7E"/>
    <w:rsid w:val="002571EE"/>
    <w:rsid w:val="00257C74"/>
    <w:rsid w:val="00261239"/>
    <w:rsid w:val="002620AA"/>
    <w:rsid w:val="00273DD3"/>
    <w:rsid w:val="002842A4"/>
    <w:rsid w:val="00294E79"/>
    <w:rsid w:val="002A456C"/>
    <w:rsid w:val="002B0A8B"/>
    <w:rsid w:val="002B1F4E"/>
    <w:rsid w:val="002C5006"/>
    <w:rsid w:val="002C79BE"/>
    <w:rsid w:val="002D154C"/>
    <w:rsid w:val="002D50EB"/>
    <w:rsid w:val="002D62F0"/>
    <w:rsid w:val="002E489A"/>
    <w:rsid w:val="002E50CF"/>
    <w:rsid w:val="002F6DBD"/>
    <w:rsid w:val="0030231F"/>
    <w:rsid w:val="0030684F"/>
    <w:rsid w:val="0031363F"/>
    <w:rsid w:val="003216D7"/>
    <w:rsid w:val="00327897"/>
    <w:rsid w:val="00367604"/>
    <w:rsid w:val="0036794B"/>
    <w:rsid w:val="00372577"/>
    <w:rsid w:val="00380523"/>
    <w:rsid w:val="00382341"/>
    <w:rsid w:val="0038416F"/>
    <w:rsid w:val="003869C5"/>
    <w:rsid w:val="0039348A"/>
    <w:rsid w:val="003A257E"/>
    <w:rsid w:val="003A6AB5"/>
    <w:rsid w:val="003B001F"/>
    <w:rsid w:val="003B19CE"/>
    <w:rsid w:val="003D3B05"/>
    <w:rsid w:val="003E19E9"/>
    <w:rsid w:val="003E2214"/>
    <w:rsid w:val="003E26DA"/>
    <w:rsid w:val="003E7E08"/>
    <w:rsid w:val="003F0E56"/>
    <w:rsid w:val="00401254"/>
    <w:rsid w:val="00414D77"/>
    <w:rsid w:val="00426FCB"/>
    <w:rsid w:val="00430ED4"/>
    <w:rsid w:val="0045118C"/>
    <w:rsid w:val="004568B0"/>
    <w:rsid w:val="004732E1"/>
    <w:rsid w:val="0047795C"/>
    <w:rsid w:val="00480FCF"/>
    <w:rsid w:val="004834E9"/>
    <w:rsid w:val="004A1ED1"/>
    <w:rsid w:val="004B5B54"/>
    <w:rsid w:val="004C0DD2"/>
    <w:rsid w:val="004D09D2"/>
    <w:rsid w:val="004D7A8D"/>
    <w:rsid w:val="004E0F03"/>
    <w:rsid w:val="004E4E68"/>
    <w:rsid w:val="004F30E3"/>
    <w:rsid w:val="004F7256"/>
    <w:rsid w:val="0050550E"/>
    <w:rsid w:val="00513EC3"/>
    <w:rsid w:val="005172FE"/>
    <w:rsid w:val="00524A0C"/>
    <w:rsid w:val="00525D28"/>
    <w:rsid w:val="005300D7"/>
    <w:rsid w:val="005315B0"/>
    <w:rsid w:val="005322A9"/>
    <w:rsid w:val="00553B46"/>
    <w:rsid w:val="005544BE"/>
    <w:rsid w:val="00567C3E"/>
    <w:rsid w:val="005755EB"/>
    <w:rsid w:val="00576153"/>
    <w:rsid w:val="005842E9"/>
    <w:rsid w:val="005845DD"/>
    <w:rsid w:val="00585379"/>
    <w:rsid w:val="005A428D"/>
    <w:rsid w:val="005B0493"/>
    <w:rsid w:val="005C0644"/>
    <w:rsid w:val="005C3149"/>
    <w:rsid w:val="005E2782"/>
    <w:rsid w:val="005E2CC0"/>
    <w:rsid w:val="005F29AE"/>
    <w:rsid w:val="00604EBF"/>
    <w:rsid w:val="00606310"/>
    <w:rsid w:val="0060675E"/>
    <w:rsid w:val="00611C27"/>
    <w:rsid w:val="00622AA1"/>
    <w:rsid w:val="00625CBD"/>
    <w:rsid w:val="00627090"/>
    <w:rsid w:val="00627DDE"/>
    <w:rsid w:val="0065209B"/>
    <w:rsid w:val="00652AD5"/>
    <w:rsid w:val="00652DEF"/>
    <w:rsid w:val="0067179D"/>
    <w:rsid w:val="00680B27"/>
    <w:rsid w:val="00683E4F"/>
    <w:rsid w:val="00695407"/>
    <w:rsid w:val="006C2761"/>
    <w:rsid w:val="006C5A4C"/>
    <w:rsid w:val="006C6669"/>
    <w:rsid w:val="006D013B"/>
    <w:rsid w:val="006E5378"/>
    <w:rsid w:val="006E5A13"/>
    <w:rsid w:val="006F67E1"/>
    <w:rsid w:val="006F6A59"/>
    <w:rsid w:val="0070158D"/>
    <w:rsid w:val="0070186D"/>
    <w:rsid w:val="0070670E"/>
    <w:rsid w:val="0070693B"/>
    <w:rsid w:val="007110E6"/>
    <w:rsid w:val="00713374"/>
    <w:rsid w:val="00716838"/>
    <w:rsid w:val="007260C1"/>
    <w:rsid w:val="00753521"/>
    <w:rsid w:val="00763710"/>
    <w:rsid w:val="00770310"/>
    <w:rsid w:val="00781C8A"/>
    <w:rsid w:val="00782A06"/>
    <w:rsid w:val="007864DF"/>
    <w:rsid w:val="00795A78"/>
    <w:rsid w:val="007A434D"/>
    <w:rsid w:val="007A68E0"/>
    <w:rsid w:val="007B643C"/>
    <w:rsid w:val="007C0A1D"/>
    <w:rsid w:val="007C198D"/>
    <w:rsid w:val="007C21F9"/>
    <w:rsid w:val="007D05AE"/>
    <w:rsid w:val="007D3FB2"/>
    <w:rsid w:val="007D40CE"/>
    <w:rsid w:val="007D4226"/>
    <w:rsid w:val="007D5FD9"/>
    <w:rsid w:val="007E094A"/>
    <w:rsid w:val="007E5041"/>
    <w:rsid w:val="00812EA2"/>
    <w:rsid w:val="0081752F"/>
    <w:rsid w:val="00822926"/>
    <w:rsid w:val="00837098"/>
    <w:rsid w:val="00840617"/>
    <w:rsid w:val="00840AA7"/>
    <w:rsid w:val="00840F90"/>
    <w:rsid w:val="00843FE6"/>
    <w:rsid w:val="00851E11"/>
    <w:rsid w:val="00857983"/>
    <w:rsid w:val="00861D68"/>
    <w:rsid w:val="0086413A"/>
    <w:rsid w:val="00866675"/>
    <w:rsid w:val="0087219B"/>
    <w:rsid w:val="00882519"/>
    <w:rsid w:val="00897286"/>
    <w:rsid w:val="008A1DAD"/>
    <w:rsid w:val="008C22CC"/>
    <w:rsid w:val="008C3615"/>
    <w:rsid w:val="008C7DFF"/>
    <w:rsid w:val="008D6173"/>
    <w:rsid w:val="008D735C"/>
    <w:rsid w:val="008E2726"/>
    <w:rsid w:val="008E75EF"/>
    <w:rsid w:val="008F1539"/>
    <w:rsid w:val="008F626A"/>
    <w:rsid w:val="0091642A"/>
    <w:rsid w:val="00930BA5"/>
    <w:rsid w:val="00936194"/>
    <w:rsid w:val="00962E0B"/>
    <w:rsid w:val="009634EC"/>
    <w:rsid w:val="009636F0"/>
    <w:rsid w:val="00965097"/>
    <w:rsid w:val="00966C0E"/>
    <w:rsid w:val="00970E2B"/>
    <w:rsid w:val="00977977"/>
    <w:rsid w:val="009B26AF"/>
    <w:rsid w:val="009C04C5"/>
    <w:rsid w:val="009C43FB"/>
    <w:rsid w:val="009C4474"/>
    <w:rsid w:val="009C7884"/>
    <w:rsid w:val="009D4CEF"/>
    <w:rsid w:val="009D5067"/>
    <w:rsid w:val="009E7349"/>
    <w:rsid w:val="009E7D1F"/>
    <w:rsid w:val="009F4564"/>
    <w:rsid w:val="009F58B5"/>
    <w:rsid w:val="00A1146D"/>
    <w:rsid w:val="00A30D15"/>
    <w:rsid w:val="00A322DF"/>
    <w:rsid w:val="00A43701"/>
    <w:rsid w:val="00A5213D"/>
    <w:rsid w:val="00A54F93"/>
    <w:rsid w:val="00A65921"/>
    <w:rsid w:val="00A727A5"/>
    <w:rsid w:val="00A73C03"/>
    <w:rsid w:val="00A75B17"/>
    <w:rsid w:val="00A81CE5"/>
    <w:rsid w:val="00A82FE9"/>
    <w:rsid w:val="00A8528C"/>
    <w:rsid w:val="00AB469A"/>
    <w:rsid w:val="00AB74ED"/>
    <w:rsid w:val="00AD4B96"/>
    <w:rsid w:val="00AE4F78"/>
    <w:rsid w:val="00AE5AA0"/>
    <w:rsid w:val="00B06720"/>
    <w:rsid w:val="00B23EDD"/>
    <w:rsid w:val="00B25F85"/>
    <w:rsid w:val="00B439EF"/>
    <w:rsid w:val="00B43FB6"/>
    <w:rsid w:val="00B5266A"/>
    <w:rsid w:val="00B61905"/>
    <w:rsid w:val="00B7662C"/>
    <w:rsid w:val="00B84B51"/>
    <w:rsid w:val="00B9210D"/>
    <w:rsid w:val="00BC25B8"/>
    <w:rsid w:val="00BC322D"/>
    <w:rsid w:val="00BE4B81"/>
    <w:rsid w:val="00BF1051"/>
    <w:rsid w:val="00BF122E"/>
    <w:rsid w:val="00BF1DCD"/>
    <w:rsid w:val="00BF6762"/>
    <w:rsid w:val="00C004F3"/>
    <w:rsid w:val="00C066D7"/>
    <w:rsid w:val="00C07F2B"/>
    <w:rsid w:val="00C14E76"/>
    <w:rsid w:val="00C15848"/>
    <w:rsid w:val="00C1794C"/>
    <w:rsid w:val="00C2171A"/>
    <w:rsid w:val="00C40402"/>
    <w:rsid w:val="00C514A8"/>
    <w:rsid w:val="00C55A11"/>
    <w:rsid w:val="00C561C8"/>
    <w:rsid w:val="00C63FCF"/>
    <w:rsid w:val="00C65144"/>
    <w:rsid w:val="00C65B64"/>
    <w:rsid w:val="00C66B27"/>
    <w:rsid w:val="00C66B60"/>
    <w:rsid w:val="00C66DB4"/>
    <w:rsid w:val="00C67163"/>
    <w:rsid w:val="00C72B6B"/>
    <w:rsid w:val="00C76360"/>
    <w:rsid w:val="00C76F5F"/>
    <w:rsid w:val="00C81916"/>
    <w:rsid w:val="00C95007"/>
    <w:rsid w:val="00CA6A02"/>
    <w:rsid w:val="00CA7E7A"/>
    <w:rsid w:val="00CB5401"/>
    <w:rsid w:val="00CB6CF7"/>
    <w:rsid w:val="00CB7EB3"/>
    <w:rsid w:val="00CC0096"/>
    <w:rsid w:val="00CC4F8F"/>
    <w:rsid w:val="00CC54A0"/>
    <w:rsid w:val="00CC5BDA"/>
    <w:rsid w:val="00CD6FD9"/>
    <w:rsid w:val="00CE0142"/>
    <w:rsid w:val="00CF023E"/>
    <w:rsid w:val="00CF670F"/>
    <w:rsid w:val="00D015E0"/>
    <w:rsid w:val="00D07118"/>
    <w:rsid w:val="00D13B6F"/>
    <w:rsid w:val="00D20B11"/>
    <w:rsid w:val="00D2498B"/>
    <w:rsid w:val="00D24A9B"/>
    <w:rsid w:val="00D36DFA"/>
    <w:rsid w:val="00D638C4"/>
    <w:rsid w:val="00D83718"/>
    <w:rsid w:val="00DB489D"/>
    <w:rsid w:val="00DD2519"/>
    <w:rsid w:val="00DE5B14"/>
    <w:rsid w:val="00DE5DD4"/>
    <w:rsid w:val="00DE670A"/>
    <w:rsid w:val="00DF2573"/>
    <w:rsid w:val="00E00EC7"/>
    <w:rsid w:val="00E0283A"/>
    <w:rsid w:val="00E04F3D"/>
    <w:rsid w:val="00E173FC"/>
    <w:rsid w:val="00E26F6E"/>
    <w:rsid w:val="00E33F58"/>
    <w:rsid w:val="00E45F7C"/>
    <w:rsid w:val="00E64FF0"/>
    <w:rsid w:val="00EA2C7A"/>
    <w:rsid w:val="00EA349E"/>
    <w:rsid w:val="00EB1751"/>
    <w:rsid w:val="00EB5ADF"/>
    <w:rsid w:val="00ED0D57"/>
    <w:rsid w:val="00EE5556"/>
    <w:rsid w:val="00EE7A53"/>
    <w:rsid w:val="00EF67D8"/>
    <w:rsid w:val="00F037AA"/>
    <w:rsid w:val="00F204FB"/>
    <w:rsid w:val="00F242F9"/>
    <w:rsid w:val="00F30DF9"/>
    <w:rsid w:val="00F40A48"/>
    <w:rsid w:val="00F63045"/>
    <w:rsid w:val="00F6550B"/>
    <w:rsid w:val="00F752F2"/>
    <w:rsid w:val="00F77EFA"/>
    <w:rsid w:val="00F804F3"/>
    <w:rsid w:val="00F9272F"/>
    <w:rsid w:val="00F92AC2"/>
    <w:rsid w:val="00FB2205"/>
    <w:rsid w:val="00FC3506"/>
    <w:rsid w:val="00FC78F7"/>
    <w:rsid w:val="00FD3992"/>
    <w:rsid w:val="00FE31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7835F"/>
  <w15:docId w15:val="{BC3E1236-66E4-47CE-932E-DA2C84C3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C2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3228B"/>
    <w:pPr>
      <w:tabs>
        <w:tab w:val="center" w:pos="4419"/>
        <w:tab w:val="right" w:pos="8838"/>
      </w:tabs>
      <w:spacing w:after="0" w:line="240" w:lineRule="auto"/>
    </w:pPr>
  </w:style>
  <w:style w:type="character" w:customStyle="1" w:styleId="EncabezadoCar">
    <w:name w:val="Encabezado Car"/>
    <w:basedOn w:val="Fuentedeprrafopredeter"/>
    <w:link w:val="Encabezado"/>
    <w:rsid w:val="0003228B"/>
  </w:style>
  <w:style w:type="paragraph" w:styleId="Piedepgina">
    <w:name w:val="footer"/>
    <w:basedOn w:val="Normal"/>
    <w:link w:val="PiedepginaCar"/>
    <w:uiPriority w:val="99"/>
    <w:unhideWhenUsed/>
    <w:rsid w:val="00032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28B"/>
  </w:style>
  <w:style w:type="table" w:styleId="Tablaconcuadrcula">
    <w:name w:val="Table Grid"/>
    <w:basedOn w:val="Tablanormal"/>
    <w:uiPriority w:val="59"/>
    <w:rsid w:val="0003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Cita texto,Footnote,List Paragraph1"/>
    <w:basedOn w:val="Normal"/>
    <w:link w:val="PrrafodelistaCar"/>
    <w:uiPriority w:val="34"/>
    <w:qFormat/>
    <w:rsid w:val="0003228B"/>
    <w:pPr>
      <w:ind w:left="720"/>
      <w:contextualSpacing/>
    </w:pPr>
  </w:style>
  <w:style w:type="character" w:styleId="Hipervnculo">
    <w:name w:val="Hyperlink"/>
    <w:basedOn w:val="Fuentedeprrafopredeter"/>
    <w:uiPriority w:val="99"/>
    <w:unhideWhenUsed/>
    <w:rsid w:val="0003228B"/>
    <w:rPr>
      <w:color w:val="0563C1" w:themeColor="hyperlink"/>
      <w:u w:val="single"/>
    </w:rPr>
  </w:style>
  <w:style w:type="character" w:customStyle="1" w:styleId="PrrafodelistaCar">
    <w:name w:val="Párrafo de lista Car"/>
    <w:aliases w:val="CNBV Parrafo1 Car,Párrafo de lista1 Car,Cita texto Car,Footnote Car,List Paragraph1 Car"/>
    <w:link w:val="Prrafodelista"/>
    <w:uiPriority w:val="34"/>
    <w:locked/>
    <w:rsid w:val="0003228B"/>
  </w:style>
  <w:style w:type="paragraph" w:customStyle="1" w:styleId="Default">
    <w:name w:val="Default"/>
    <w:rsid w:val="003E19E9"/>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122428"/>
    <w:rPr>
      <w:color w:val="954F72" w:themeColor="followedHyperlink"/>
      <w:u w:val="single"/>
    </w:rPr>
  </w:style>
  <w:style w:type="paragraph" w:customStyle="1" w:styleId="TEXTONORMAL">
    <w:name w:val="TEXTO NORMAL"/>
    <w:basedOn w:val="Normal"/>
    <w:link w:val="TEXTONORMALCar"/>
    <w:qFormat/>
    <w:rsid w:val="005B0493"/>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link w:val="TEXTONORMAL"/>
    <w:locked/>
    <w:rsid w:val="005B0493"/>
    <w:rPr>
      <w:rFonts w:ascii="Arial" w:eastAsia="Times New Roman" w:hAnsi="Arial" w:cs="Arial"/>
      <w:sz w:val="28"/>
      <w:szCs w:val="28"/>
      <w:lang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 Car,Car"/>
    <w:basedOn w:val="Normal"/>
    <w:link w:val="TextonotapieCar1"/>
    <w:qFormat/>
    <w:rsid w:val="000C0F01"/>
    <w:pPr>
      <w:spacing w:after="0" w:line="240" w:lineRule="auto"/>
    </w:pPr>
    <w:rPr>
      <w:rFonts w:ascii="Times New Roman" w:eastAsia="Times New Roman" w:hAnsi="Times New Roman" w:cs="Times New Roman"/>
      <w:sz w:val="24"/>
      <w:szCs w:val="24"/>
      <w:lang w:eastAsia="es-MX"/>
    </w:rPr>
  </w:style>
  <w:style w:type="character" w:customStyle="1" w:styleId="TextonotapieCar">
    <w:name w:val="Texto nota pie Car"/>
    <w:aliases w:val=" Car Car,Car Car"/>
    <w:basedOn w:val="Fuentedeprrafopredeter"/>
    <w:rsid w:val="000C0F01"/>
    <w:rPr>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ftref,R,ftre"/>
    <w:basedOn w:val="Fuentedeprrafopredeter"/>
    <w:qFormat/>
    <w:rsid w:val="000C0F01"/>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 Car Car1,Car Car1"/>
    <w:basedOn w:val="Fuentedeprrafopredeter"/>
    <w:link w:val="Textonotapie"/>
    <w:locked/>
    <w:rsid w:val="000C0F01"/>
    <w:rPr>
      <w:rFonts w:ascii="Times New Roman" w:eastAsia="Times New Roman" w:hAnsi="Times New Roman" w:cs="Times New Roman"/>
      <w:sz w:val="24"/>
      <w:szCs w:val="24"/>
      <w:lang w:eastAsia="es-MX"/>
    </w:rPr>
  </w:style>
  <w:style w:type="character" w:customStyle="1" w:styleId="EstiloCar">
    <w:name w:val="Estilo Car"/>
    <w:basedOn w:val="Fuentedeprrafopredeter"/>
    <w:link w:val="Estilo"/>
    <w:locked/>
    <w:rsid w:val="00051B2D"/>
    <w:rPr>
      <w:rFonts w:ascii="Arial" w:hAnsi="Arial" w:cs="Arial"/>
      <w:sz w:val="24"/>
    </w:rPr>
  </w:style>
  <w:style w:type="paragraph" w:customStyle="1" w:styleId="Estilo">
    <w:name w:val="Estilo"/>
    <w:basedOn w:val="Sinespaciado"/>
    <w:link w:val="EstiloCar"/>
    <w:qFormat/>
    <w:rsid w:val="00051B2D"/>
    <w:pPr>
      <w:jc w:val="both"/>
    </w:pPr>
    <w:rPr>
      <w:rFonts w:ascii="Arial" w:hAnsi="Arial" w:cs="Arial"/>
      <w:sz w:val="24"/>
    </w:rPr>
  </w:style>
  <w:style w:type="paragraph" w:styleId="Sinespaciado">
    <w:name w:val="No Spacing"/>
    <w:uiPriority w:val="1"/>
    <w:qFormat/>
    <w:rsid w:val="00051B2D"/>
    <w:pPr>
      <w:spacing w:after="0" w:line="240" w:lineRule="auto"/>
    </w:pPr>
  </w:style>
  <w:style w:type="paragraph" w:customStyle="1" w:styleId="corte4fondo">
    <w:name w:val="corte4 fondo"/>
    <w:basedOn w:val="Normal"/>
    <w:link w:val="corte4fondoCar1"/>
    <w:qFormat/>
    <w:rsid w:val="00201CB6"/>
    <w:pPr>
      <w:spacing w:after="0" w:line="360" w:lineRule="auto"/>
      <w:ind w:firstLine="709"/>
      <w:jc w:val="both"/>
    </w:pPr>
    <w:rPr>
      <w:rFonts w:ascii="Arial" w:eastAsia="Times New Roman" w:hAnsi="Arial" w:cs="Times New Roman"/>
      <w:sz w:val="30"/>
      <w:szCs w:val="24"/>
      <w:lang w:eastAsia="es-ES"/>
    </w:rPr>
  </w:style>
  <w:style w:type="character" w:customStyle="1" w:styleId="corte4fondoCar1">
    <w:name w:val="corte4 fondo Car1"/>
    <w:basedOn w:val="Fuentedeprrafopredeter"/>
    <w:link w:val="corte4fondo"/>
    <w:rsid w:val="00201CB6"/>
    <w:rPr>
      <w:rFonts w:ascii="Arial" w:eastAsia="Times New Roman" w:hAnsi="Arial" w:cs="Times New Roman"/>
      <w:sz w:val="30"/>
      <w:szCs w:val="24"/>
      <w:lang w:eastAsia="es-ES"/>
    </w:rPr>
  </w:style>
  <w:style w:type="paragraph" w:customStyle="1" w:styleId="corte5transcripcion">
    <w:name w:val="corte5 transcripcion"/>
    <w:basedOn w:val="Normal"/>
    <w:link w:val="corte5transcripcionCar"/>
    <w:qFormat/>
    <w:rsid w:val="00BE4B81"/>
    <w:pPr>
      <w:spacing w:after="0" w:line="360" w:lineRule="auto"/>
      <w:ind w:left="709" w:right="709"/>
      <w:jc w:val="both"/>
    </w:pPr>
    <w:rPr>
      <w:rFonts w:ascii="Arial" w:eastAsia="Times New Roman" w:hAnsi="Arial" w:cs="Times New Roman"/>
      <w:b/>
      <w:i/>
      <w:sz w:val="30"/>
      <w:szCs w:val="24"/>
      <w:lang w:eastAsia="es-ES"/>
    </w:rPr>
  </w:style>
  <w:style w:type="character" w:customStyle="1" w:styleId="corte5transcripcionCar">
    <w:name w:val="corte5 transcripcion Car"/>
    <w:basedOn w:val="Fuentedeprrafopredeter"/>
    <w:link w:val="corte5transcripcion"/>
    <w:locked/>
    <w:rsid w:val="00BE4B81"/>
    <w:rPr>
      <w:rFonts w:ascii="Arial" w:eastAsia="Times New Roman" w:hAnsi="Arial" w:cs="Times New Roman"/>
      <w:b/>
      <w:i/>
      <w:sz w:val="30"/>
      <w:szCs w:val="24"/>
      <w:lang w:eastAsia="es-ES"/>
    </w:rPr>
  </w:style>
  <w:style w:type="character" w:customStyle="1" w:styleId="articulojustificado1">
    <w:name w:val="articulojustificado1"/>
    <w:rsid w:val="006C5A4C"/>
    <w:rPr>
      <w:rFonts w:ascii="Arial" w:hAnsi="Arial" w:cs="Arial" w:hint="default"/>
      <w:b w:val="0"/>
      <w:bCs w:val="0"/>
      <w:color w:val="000000"/>
      <w:sz w:val="18"/>
      <w:szCs w:val="18"/>
    </w:rPr>
  </w:style>
  <w:style w:type="paragraph" w:customStyle="1" w:styleId="corte3centro">
    <w:name w:val="corte3 centro"/>
    <w:basedOn w:val="Normal"/>
    <w:link w:val="corte3centroCar"/>
    <w:qFormat/>
    <w:rsid w:val="003216D7"/>
    <w:pPr>
      <w:spacing w:after="0" w:line="360" w:lineRule="auto"/>
      <w:jc w:val="center"/>
    </w:pPr>
    <w:rPr>
      <w:rFonts w:ascii="Arial" w:eastAsia="Times New Roman" w:hAnsi="Arial" w:cs="Times New Roman"/>
      <w:b/>
      <w:sz w:val="30"/>
      <w:szCs w:val="24"/>
      <w:lang w:eastAsia="es-ES"/>
    </w:rPr>
  </w:style>
  <w:style w:type="character" w:customStyle="1" w:styleId="corte3centroCar">
    <w:name w:val="corte3 centro Car"/>
    <w:link w:val="corte3centro"/>
    <w:rsid w:val="003216D7"/>
    <w:rPr>
      <w:rFonts w:ascii="Arial" w:eastAsia="Times New Roman" w:hAnsi="Arial" w:cs="Times New Roman"/>
      <w:b/>
      <w:sz w:val="30"/>
      <w:szCs w:val="24"/>
      <w:lang w:eastAsia="es-ES"/>
    </w:rPr>
  </w:style>
  <w:style w:type="character" w:customStyle="1" w:styleId="corte4fondoCar">
    <w:name w:val="corte4 fondo Car"/>
    <w:rsid w:val="0060675E"/>
    <w:rPr>
      <w:rFonts w:ascii="Arial" w:eastAsia="Times New Roman" w:hAnsi="Arial" w:cs="Times New Roman"/>
      <w:sz w:val="30"/>
      <w:szCs w:val="20"/>
      <w:lang w:val="es-ES_tradnl" w:eastAsia="es-MX"/>
    </w:rPr>
  </w:style>
  <w:style w:type="paragraph" w:styleId="Textodeglobo">
    <w:name w:val="Balloon Text"/>
    <w:basedOn w:val="Normal"/>
    <w:link w:val="TextodegloboCar"/>
    <w:uiPriority w:val="99"/>
    <w:semiHidden/>
    <w:unhideWhenUsed/>
    <w:rsid w:val="00652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209B"/>
    <w:rPr>
      <w:rFonts w:ascii="Segoe UI" w:hAnsi="Segoe UI" w:cs="Segoe UI"/>
      <w:sz w:val="18"/>
      <w:szCs w:val="18"/>
    </w:rPr>
  </w:style>
  <w:style w:type="character" w:customStyle="1" w:styleId="corte4fondoCar2CarCarCarCarCarCar">
    <w:name w:val="corte4 fondo Car2 Car Car Car Car Car Car"/>
    <w:link w:val="corte4fondoCar2CarCarCarCarCar"/>
    <w:rsid w:val="0047795C"/>
    <w:rPr>
      <w:rFonts w:ascii="Arial" w:hAnsi="Arial"/>
      <w:sz w:val="30"/>
      <w:szCs w:val="24"/>
      <w:lang w:val="es-ES_tradnl" w:eastAsia="es-MX"/>
    </w:rPr>
  </w:style>
  <w:style w:type="paragraph" w:customStyle="1" w:styleId="corte4fondoCar2CarCarCarCarCar">
    <w:name w:val="corte4 fondo Car2 Car Car Car Car Car"/>
    <w:basedOn w:val="Normal"/>
    <w:link w:val="corte4fondoCar2CarCarCarCarCarCar"/>
    <w:rsid w:val="0047795C"/>
    <w:pPr>
      <w:spacing w:after="0" w:line="360" w:lineRule="auto"/>
      <w:ind w:firstLine="709"/>
      <w:jc w:val="both"/>
    </w:pPr>
    <w:rPr>
      <w:rFonts w:ascii="Arial" w:hAnsi="Arial"/>
      <w:sz w:val="30"/>
      <w:szCs w:val="24"/>
      <w:lang w:val="es-ES_tradnl" w:eastAsia="es-MX"/>
    </w:rPr>
  </w:style>
  <w:style w:type="paragraph" w:styleId="Sangra3detindependiente">
    <w:name w:val="Body Text Indent 3"/>
    <w:basedOn w:val="Normal"/>
    <w:link w:val="Sangra3detindependienteCar"/>
    <w:rsid w:val="0047795C"/>
    <w:pPr>
      <w:spacing w:after="120" w:line="240" w:lineRule="auto"/>
      <w:ind w:left="283"/>
    </w:pPr>
    <w:rPr>
      <w:rFonts w:ascii="Tahoma" w:eastAsia="Times New Roman" w:hAnsi="Tahoma" w:cs="Times New Roman"/>
      <w:sz w:val="16"/>
      <w:szCs w:val="16"/>
      <w:lang w:val="es-ES" w:eastAsia="es-MX"/>
    </w:rPr>
  </w:style>
  <w:style w:type="character" w:customStyle="1" w:styleId="Sangra3detindependienteCar">
    <w:name w:val="Sangría 3 de t. independiente Car"/>
    <w:basedOn w:val="Fuentedeprrafopredeter"/>
    <w:link w:val="Sangra3detindependiente"/>
    <w:rsid w:val="0047795C"/>
    <w:rPr>
      <w:rFonts w:ascii="Tahoma" w:eastAsia="Times New Roman" w:hAnsi="Tahoma" w:cs="Times New Roman"/>
      <w:sz w:val="16"/>
      <w:szCs w:val="16"/>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8080">
      <w:bodyDiv w:val="1"/>
      <w:marLeft w:val="0"/>
      <w:marRight w:val="0"/>
      <w:marTop w:val="0"/>
      <w:marBottom w:val="0"/>
      <w:divBdr>
        <w:top w:val="none" w:sz="0" w:space="0" w:color="auto"/>
        <w:left w:val="none" w:sz="0" w:space="0" w:color="auto"/>
        <w:bottom w:val="none" w:sz="0" w:space="0" w:color="auto"/>
        <w:right w:val="none" w:sz="0" w:space="0" w:color="auto"/>
      </w:divBdr>
    </w:div>
    <w:div w:id="351566456">
      <w:bodyDiv w:val="1"/>
      <w:marLeft w:val="0"/>
      <w:marRight w:val="0"/>
      <w:marTop w:val="0"/>
      <w:marBottom w:val="0"/>
      <w:divBdr>
        <w:top w:val="none" w:sz="0" w:space="0" w:color="auto"/>
        <w:left w:val="none" w:sz="0" w:space="0" w:color="auto"/>
        <w:bottom w:val="none" w:sz="0" w:space="0" w:color="auto"/>
        <w:right w:val="none" w:sz="0" w:space="0" w:color="auto"/>
      </w:divBdr>
    </w:div>
    <w:div w:id="1421682854">
      <w:bodyDiv w:val="1"/>
      <w:marLeft w:val="0"/>
      <w:marRight w:val="0"/>
      <w:marTop w:val="0"/>
      <w:marBottom w:val="0"/>
      <w:divBdr>
        <w:top w:val="none" w:sz="0" w:space="0" w:color="auto"/>
        <w:left w:val="none" w:sz="0" w:space="0" w:color="auto"/>
        <w:bottom w:val="none" w:sz="0" w:space="0" w:color="auto"/>
        <w:right w:val="none" w:sz="0" w:space="0" w:color="auto"/>
      </w:divBdr>
    </w:div>
    <w:div w:id="1559196988">
      <w:bodyDiv w:val="1"/>
      <w:marLeft w:val="0"/>
      <w:marRight w:val="0"/>
      <w:marTop w:val="0"/>
      <w:marBottom w:val="0"/>
      <w:divBdr>
        <w:top w:val="none" w:sz="0" w:space="0" w:color="auto"/>
        <w:left w:val="none" w:sz="0" w:space="0" w:color="auto"/>
        <w:bottom w:val="none" w:sz="0" w:space="0" w:color="auto"/>
        <w:right w:val="none" w:sz="0" w:space="0" w:color="auto"/>
      </w:divBdr>
    </w:div>
    <w:div w:id="20248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807B-10AC-4851-91B9-1B022C57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1125</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Fernanda Rodríguez Álvarez</dc:creator>
  <cp:lastModifiedBy>María Magdalena Luna Ramírez</cp:lastModifiedBy>
  <cp:revision>3</cp:revision>
  <cp:lastPrinted>2018-04-18T21:14:00Z</cp:lastPrinted>
  <dcterms:created xsi:type="dcterms:W3CDTF">2018-04-20T23:57:00Z</dcterms:created>
  <dcterms:modified xsi:type="dcterms:W3CDTF">2018-04-24T17:00:00Z</dcterms:modified>
</cp:coreProperties>
</file>