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W w:w="0" w:type="auto"/>
        <w:tblCellMar>
          <w:left w:w="0" w:type="dxa"/>
          <w:right w:w="0" w:type="dxa"/>
        </w:tblCellMar>
        <w:tblLook w:val="04A0" w:firstRow="1" w:lastRow="0" w:firstColumn="1" w:lastColumn="0" w:noHBand="0" w:noVBand="1"/>
      </w:tblPr>
      <w:tblGrid>
        <w:gridCol w:w="1670"/>
        <w:gridCol w:w="7148"/>
      </w:tblGrid>
      <w:tr w:rsidR="00616B97" w:rsidRPr="00EA3866" w:rsidTr="00616462">
        <w:tc>
          <w:tcPr>
            <w:tcW w:w="1475" w:type="dxa"/>
            <w:tcBorders>
              <w:top w:val="single" w:sz="8" w:space="0" w:color="auto"/>
              <w:left w:val="single" w:sz="8" w:space="0" w:color="auto"/>
              <w:bottom w:val="nil"/>
              <w:right w:val="nil"/>
            </w:tcBorders>
            <w:tcMar>
              <w:top w:w="0" w:type="dxa"/>
              <w:left w:w="108" w:type="dxa"/>
              <w:bottom w:w="0" w:type="dxa"/>
              <w:right w:w="108" w:type="dxa"/>
            </w:tcMar>
            <w:hideMark/>
          </w:tcPr>
          <w:p w:rsidR="00616B97" w:rsidRPr="00EA3866" w:rsidRDefault="00616B97" w:rsidP="00616462">
            <w:pPr>
              <w:spacing w:after="0" w:line="240" w:lineRule="auto"/>
              <w:jc w:val="both"/>
              <w:rPr>
                <w:rFonts w:ascii="Arial" w:eastAsia="Calibri" w:hAnsi="Arial" w:cs="Arial"/>
                <w:b/>
                <w:bCs/>
                <w:sz w:val="24"/>
                <w:szCs w:val="24"/>
              </w:rPr>
            </w:pPr>
            <w:bookmarkStart w:id="0" w:name="_GoBack"/>
            <w:bookmarkEnd w:id="0"/>
            <w:r w:rsidRPr="00EA3866">
              <w:rPr>
                <w:rFonts w:ascii="Arial" w:eastAsia="Calibri" w:hAnsi="Arial" w:cs="Arial"/>
                <w:b/>
                <w:bCs/>
                <w:sz w:val="24"/>
                <w:szCs w:val="24"/>
              </w:rPr>
              <w:t>Expediente:</w:t>
            </w:r>
          </w:p>
        </w:tc>
        <w:tc>
          <w:tcPr>
            <w:tcW w:w="7579" w:type="dxa"/>
            <w:tcBorders>
              <w:top w:val="single" w:sz="8" w:space="0" w:color="auto"/>
              <w:left w:val="nil"/>
              <w:bottom w:val="nil"/>
              <w:right w:val="single" w:sz="8" w:space="0" w:color="auto"/>
            </w:tcBorders>
            <w:tcMar>
              <w:top w:w="0" w:type="dxa"/>
              <w:left w:w="108" w:type="dxa"/>
              <w:bottom w:w="0" w:type="dxa"/>
              <w:right w:w="108" w:type="dxa"/>
            </w:tcMar>
            <w:hideMark/>
          </w:tcPr>
          <w:p w:rsidR="00616B97" w:rsidRPr="00EA3866" w:rsidRDefault="0076482C" w:rsidP="00616462">
            <w:pPr>
              <w:spacing w:after="0" w:line="240" w:lineRule="auto"/>
              <w:rPr>
                <w:rFonts w:ascii="Arial" w:eastAsia="Calibri" w:hAnsi="Arial" w:cs="Arial"/>
                <w:b/>
                <w:color w:val="000000"/>
                <w:sz w:val="24"/>
                <w:szCs w:val="24"/>
              </w:rPr>
            </w:pPr>
            <w:r w:rsidRPr="00EA3866">
              <w:rPr>
                <w:rFonts w:ascii="Arial" w:eastAsia="Calibri" w:hAnsi="Arial" w:cs="Arial"/>
                <w:b/>
                <w:bCs/>
                <w:sz w:val="24"/>
                <w:szCs w:val="24"/>
              </w:rPr>
              <w:t>Controversia Constitucional 77/2017</w:t>
            </w:r>
            <w:r w:rsidR="00616B97" w:rsidRPr="00EA3866">
              <w:rPr>
                <w:rFonts w:ascii="Arial" w:eastAsia="Calibri" w:hAnsi="Arial" w:cs="Arial"/>
                <w:b/>
                <w:bCs/>
                <w:sz w:val="24"/>
                <w:szCs w:val="24"/>
              </w:rPr>
              <w:t>.</w:t>
            </w:r>
          </w:p>
        </w:tc>
      </w:tr>
      <w:tr w:rsidR="00616B97" w:rsidRPr="00EA3866" w:rsidTr="00616462">
        <w:tc>
          <w:tcPr>
            <w:tcW w:w="1475" w:type="dxa"/>
            <w:tcBorders>
              <w:top w:val="nil"/>
              <w:left w:val="single" w:sz="8" w:space="0" w:color="auto"/>
              <w:bottom w:val="nil"/>
              <w:right w:val="nil"/>
            </w:tcBorders>
            <w:tcMar>
              <w:top w:w="0" w:type="dxa"/>
              <w:left w:w="108" w:type="dxa"/>
              <w:bottom w:w="0" w:type="dxa"/>
              <w:right w:w="108" w:type="dxa"/>
            </w:tcMar>
            <w:hideMark/>
          </w:tcPr>
          <w:p w:rsidR="00616B97" w:rsidRPr="00EA3866" w:rsidRDefault="00616B97" w:rsidP="00616462">
            <w:pPr>
              <w:spacing w:after="0" w:line="240" w:lineRule="auto"/>
              <w:jc w:val="both"/>
              <w:rPr>
                <w:rFonts w:ascii="Arial" w:eastAsia="Calibri" w:hAnsi="Arial" w:cs="Arial"/>
                <w:b/>
                <w:bCs/>
                <w:sz w:val="24"/>
                <w:szCs w:val="24"/>
              </w:rPr>
            </w:pPr>
            <w:r w:rsidRPr="00EA3866">
              <w:rPr>
                <w:rFonts w:ascii="Arial" w:eastAsia="Calibri" w:hAnsi="Arial" w:cs="Arial"/>
                <w:b/>
                <w:bCs/>
                <w:sz w:val="24"/>
                <w:szCs w:val="24"/>
              </w:rPr>
              <w:t>Materia:</w:t>
            </w:r>
          </w:p>
        </w:tc>
        <w:tc>
          <w:tcPr>
            <w:tcW w:w="7579" w:type="dxa"/>
            <w:tcBorders>
              <w:top w:val="nil"/>
              <w:left w:val="nil"/>
              <w:bottom w:val="nil"/>
              <w:right w:val="single" w:sz="8" w:space="0" w:color="auto"/>
            </w:tcBorders>
            <w:tcMar>
              <w:top w:w="0" w:type="dxa"/>
              <w:left w:w="108" w:type="dxa"/>
              <w:bottom w:w="0" w:type="dxa"/>
              <w:right w:w="108" w:type="dxa"/>
            </w:tcMar>
            <w:hideMark/>
          </w:tcPr>
          <w:p w:rsidR="00616B97" w:rsidRPr="00EA3866" w:rsidRDefault="00616B97" w:rsidP="00616462">
            <w:pPr>
              <w:spacing w:after="0" w:line="240" w:lineRule="auto"/>
              <w:jc w:val="both"/>
              <w:rPr>
                <w:rFonts w:ascii="Arial" w:eastAsia="Calibri" w:hAnsi="Arial" w:cs="Arial"/>
                <w:color w:val="000000"/>
                <w:sz w:val="24"/>
                <w:szCs w:val="24"/>
              </w:rPr>
            </w:pPr>
            <w:r w:rsidRPr="00EA3866">
              <w:rPr>
                <w:rFonts w:ascii="Arial" w:eastAsia="Calibri" w:hAnsi="Arial" w:cs="Arial"/>
                <w:color w:val="000000"/>
                <w:sz w:val="24"/>
                <w:szCs w:val="24"/>
              </w:rPr>
              <w:t>Electoral.</w:t>
            </w:r>
          </w:p>
        </w:tc>
      </w:tr>
      <w:tr w:rsidR="00616B97" w:rsidRPr="00EA3866" w:rsidTr="00616462">
        <w:tc>
          <w:tcPr>
            <w:tcW w:w="1475" w:type="dxa"/>
            <w:tcBorders>
              <w:top w:val="nil"/>
              <w:left w:val="single" w:sz="8" w:space="0" w:color="auto"/>
              <w:bottom w:val="nil"/>
              <w:right w:val="nil"/>
            </w:tcBorders>
            <w:tcMar>
              <w:top w:w="0" w:type="dxa"/>
              <w:left w:w="108" w:type="dxa"/>
              <w:bottom w:w="0" w:type="dxa"/>
              <w:right w:w="108" w:type="dxa"/>
            </w:tcMar>
          </w:tcPr>
          <w:p w:rsidR="00616B97" w:rsidRPr="00EA3866" w:rsidRDefault="00616B97" w:rsidP="00616462">
            <w:pPr>
              <w:spacing w:after="0" w:line="240" w:lineRule="auto"/>
              <w:jc w:val="both"/>
              <w:rPr>
                <w:rFonts w:ascii="Arial" w:eastAsia="Calibri" w:hAnsi="Arial" w:cs="Arial"/>
                <w:b/>
                <w:bCs/>
                <w:sz w:val="24"/>
                <w:szCs w:val="24"/>
              </w:rPr>
            </w:pPr>
            <w:r w:rsidRPr="00EA3866">
              <w:rPr>
                <w:rFonts w:ascii="Arial" w:eastAsia="Calibri" w:hAnsi="Arial" w:cs="Arial"/>
                <w:b/>
                <w:bCs/>
                <w:sz w:val="24"/>
                <w:szCs w:val="24"/>
              </w:rPr>
              <w:t>Actor:</w:t>
            </w:r>
          </w:p>
        </w:tc>
        <w:tc>
          <w:tcPr>
            <w:tcW w:w="7579" w:type="dxa"/>
            <w:tcBorders>
              <w:top w:val="nil"/>
              <w:left w:val="nil"/>
              <w:bottom w:val="nil"/>
              <w:right w:val="single" w:sz="8" w:space="0" w:color="auto"/>
            </w:tcBorders>
            <w:tcMar>
              <w:top w:w="0" w:type="dxa"/>
              <w:left w:w="108" w:type="dxa"/>
              <w:bottom w:w="0" w:type="dxa"/>
              <w:right w:w="108" w:type="dxa"/>
            </w:tcMar>
          </w:tcPr>
          <w:p w:rsidR="00616B97" w:rsidRPr="00EA3866" w:rsidRDefault="0076482C" w:rsidP="004C2DC5">
            <w:pPr>
              <w:spacing w:after="0" w:line="240" w:lineRule="auto"/>
              <w:jc w:val="both"/>
              <w:rPr>
                <w:rFonts w:ascii="Arial" w:eastAsia="Calibri" w:hAnsi="Arial" w:cs="Arial"/>
                <w:color w:val="000000"/>
                <w:sz w:val="24"/>
                <w:szCs w:val="24"/>
              </w:rPr>
            </w:pPr>
            <w:r w:rsidRPr="00EA3866">
              <w:rPr>
                <w:rFonts w:ascii="Arial" w:eastAsia="Calibri" w:hAnsi="Arial" w:cs="Arial"/>
                <w:color w:val="000000"/>
                <w:sz w:val="24"/>
                <w:szCs w:val="24"/>
              </w:rPr>
              <w:t>Municipio de Chalcatongo de Hidalgo, Distrito de Tlaxiaco, Estado de Oaxaca</w:t>
            </w:r>
            <w:r w:rsidR="00C376EB" w:rsidRPr="00EA3866">
              <w:rPr>
                <w:rFonts w:ascii="Arial" w:eastAsia="Calibri" w:hAnsi="Arial" w:cs="Arial"/>
                <w:color w:val="000000"/>
                <w:sz w:val="24"/>
                <w:szCs w:val="24"/>
              </w:rPr>
              <w:t xml:space="preserve"> </w:t>
            </w:r>
          </w:p>
        </w:tc>
      </w:tr>
      <w:tr w:rsidR="00616B97" w:rsidRPr="00EA3866" w:rsidTr="00616462">
        <w:tc>
          <w:tcPr>
            <w:tcW w:w="1475" w:type="dxa"/>
            <w:tcBorders>
              <w:top w:val="nil"/>
              <w:left w:val="single" w:sz="8" w:space="0" w:color="auto"/>
              <w:bottom w:val="nil"/>
              <w:right w:val="nil"/>
            </w:tcBorders>
            <w:tcMar>
              <w:top w:w="0" w:type="dxa"/>
              <w:left w:w="108" w:type="dxa"/>
              <w:bottom w:w="0" w:type="dxa"/>
              <w:right w:w="108" w:type="dxa"/>
            </w:tcMar>
            <w:hideMark/>
          </w:tcPr>
          <w:p w:rsidR="00616B97" w:rsidRPr="00EA3866" w:rsidRDefault="00616B97" w:rsidP="00616462">
            <w:pPr>
              <w:spacing w:after="0" w:line="240" w:lineRule="auto"/>
              <w:jc w:val="both"/>
              <w:rPr>
                <w:rFonts w:ascii="Arial" w:eastAsia="Calibri" w:hAnsi="Arial" w:cs="Arial"/>
                <w:b/>
                <w:bCs/>
                <w:sz w:val="24"/>
                <w:szCs w:val="24"/>
              </w:rPr>
            </w:pPr>
            <w:r w:rsidRPr="00EA3866">
              <w:rPr>
                <w:rFonts w:ascii="Arial" w:eastAsia="Calibri" w:hAnsi="Arial" w:cs="Arial"/>
                <w:b/>
                <w:bCs/>
                <w:sz w:val="24"/>
                <w:szCs w:val="24"/>
              </w:rPr>
              <w:t>Demandado:</w:t>
            </w:r>
          </w:p>
        </w:tc>
        <w:tc>
          <w:tcPr>
            <w:tcW w:w="7579" w:type="dxa"/>
            <w:tcBorders>
              <w:top w:val="nil"/>
              <w:left w:val="nil"/>
              <w:bottom w:val="nil"/>
              <w:right w:val="single" w:sz="8" w:space="0" w:color="auto"/>
            </w:tcBorders>
            <w:tcMar>
              <w:top w:w="0" w:type="dxa"/>
              <w:left w:w="108" w:type="dxa"/>
              <w:bottom w:w="0" w:type="dxa"/>
              <w:right w:w="108" w:type="dxa"/>
            </w:tcMar>
            <w:hideMark/>
          </w:tcPr>
          <w:p w:rsidR="00616B97" w:rsidRPr="00EA3866" w:rsidRDefault="0010111E" w:rsidP="00616462">
            <w:pPr>
              <w:spacing w:after="0" w:line="240" w:lineRule="auto"/>
              <w:jc w:val="both"/>
              <w:rPr>
                <w:rFonts w:ascii="Arial" w:eastAsia="Calibri" w:hAnsi="Arial" w:cs="Arial"/>
                <w:sz w:val="24"/>
                <w:szCs w:val="24"/>
                <w:highlight w:val="yellow"/>
              </w:rPr>
            </w:pPr>
            <w:r w:rsidRPr="00EA3866">
              <w:rPr>
                <w:rFonts w:ascii="Arial" w:eastAsia="Calibri" w:hAnsi="Arial" w:cs="Arial"/>
                <w:sz w:val="24"/>
                <w:szCs w:val="24"/>
              </w:rPr>
              <w:t>Tribunal Electoral del Estado de Oaxaca</w:t>
            </w:r>
          </w:p>
        </w:tc>
      </w:tr>
      <w:tr w:rsidR="00616B97" w:rsidRPr="00EA3866" w:rsidTr="00616462">
        <w:tc>
          <w:tcPr>
            <w:tcW w:w="1475" w:type="dxa"/>
            <w:tcBorders>
              <w:top w:val="nil"/>
              <w:left w:val="single" w:sz="8" w:space="0" w:color="auto"/>
              <w:bottom w:val="nil"/>
              <w:right w:val="nil"/>
            </w:tcBorders>
            <w:tcMar>
              <w:top w:w="0" w:type="dxa"/>
              <w:left w:w="108" w:type="dxa"/>
              <w:bottom w:w="0" w:type="dxa"/>
              <w:right w:w="108" w:type="dxa"/>
            </w:tcMar>
            <w:hideMark/>
          </w:tcPr>
          <w:p w:rsidR="00616B97" w:rsidRPr="00EA3866" w:rsidRDefault="00616B97" w:rsidP="00616462">
            <w:pPr>
              <w:spacing w:after="0" w:line="240" w:lineRule="auto"/>
              <w:jc w:val="both"/>
              <w:rPr>
                <w:rFonts w:ascii="Arial" w:eastAsia="Calibri" w:hAnsi="Arial" w:cs="Arial"/>
                <w:b/>
                <w:bCs/>
                <w:sz w:val="24"/>
                <w:szCs w:val="24"/>
              </w:rPr>
            </w:pPr>
            <w:r w:rsidRPr="00EA3866">
              <w:rPr>
                <w:rFonts w:ascii="Arial" w:eastAsia="Calibri" w:hAnsi="Arial" w:cs="Arial"/>
                <w:b/>
                <w:bCs/>
                <w:sz w:val="24"/>
                <w:szCs w:val="24"/>
              </w:rPr>
              <w:t>Tema:</w:t>
            </w:r>
          </w:p>
        </w:tc>
        <w:tc>
          <w:tcPr>
            <w:tcW w:w="7579" w:type="dxa"/>
            <w:tcBorders>
              <w:top w:val="nil"/>
              <w:left w:val="nil"/>
              <w:bottom w:val="nil"/>
              <w:right w:val="single" w:sz="8" w:space="0" w:color="auto"/>
            </w:tcBorders>
            <w:tcMar>
              <w:top w:w="0" w:type="dxa"/>
              <w:left w:w="108" w:type="dxa"/>
              <w:bottom w:w="0" w:type="dxa"/>
              <w:right w:w="108" w:type="dxa"/>
            </w:tcMar>
            <w:hideMark/>
          </w:tcPr>
          <w:p w:rsidR="00616B97" w:rsidRPr="00EA3866" w:rsidRDefault="00811F5A" w:rsidP="00616462">
            <w:pPr>
              <w:spacing w:after="0" w:line="240" w:lineRule="auto"/>
              <w:jc w:val="both"/>
              <w:rPr>
                <w:rFonts w:ascii="Arial" w:eastAsia="Calibri" w:hAnsi="Arial" w:cs="Arial"/>
                <w:sz w:val="24"/>
                <w:szCs w:val="24"/>
              </w:rPr>
            </w:pPr>
            <w:r w:rsidRPr="00EA3866">
              <w:rPr>
                <w:rFonts w:ascii="Arial" w:eastAsia="Calibri" w:hAnsi="Arial" w:cs="Arial"/>
                <w:sz w:val="24"/>
                <w:szCs w:val="24"/>
              </w:rPr>
              <w:t>La invalidez del acuerdo de 29 de diciembre</w:t>
            </w:r>
            <w:r w:rsidR="00616B97" w:rsidRPr="00EA3866">
              <w:rPr>
                <w:rFonts w:ascii="Arial" w:eastAsia="Calibri" w:hAnsi="Arial" w:cs="Arial"/>
                <w:sz w:val="24"/>
                <w:szCs w:val="24"/>
              </w:rPr>
              <w:t xml:space="preserve"> de 2016,</w:t>
            </w:r>
            <w:r w:rsidR="00C376EB" w:rsidRPr="00EA3866">
              <w:rPr>
                <w:rFonts w:ascii="Arial" w:eastAsia="Calibri" w:hAnsi="Arial" w:cs="Arial"/>
                <w:sz w:val="24"/>
                <w:szCs w:val="24"/>
              </w:rPr>
              <w:t xml:space="preserve"> </w:t>
            </w:r>
            <w:r w:rsidRPr="00EA3866">
              <w:rPr>
                <w:rFonts w:ascii="Arial" w:eastAsia="Calibri" w:hAnsi="Arial" w:cs="Arial"/>
                <w:sz w:val="24"/>
                <w:szCs w:val="24"/>
              </w:rPr>
              <w:t xml:space="preserve">dictado por el Tribunal Electoral del Estado de Oaxaca, en el juicio derivado del expediente número JDC/159/2016 </w:t>
            </w:r>
            <w:r w:rsidR="00616B97" w:rsidRPr="00EA3866">
              <w:rPr>
                <w:rFonts w:ascii="Arial" w:eastAsia="Calibri" w:hAnsi="Arial" w:cs="Arial"/>
                <w:sz w:val="24"/>
                <w:szCs w:val="24"/>
              </w:rPr>
              <w:t>.</w:t>
            </w:r>
          </w:p>
        </w:tc>
      </w:tr>
      <w:tr w:rsidR="00616B97" w:rsidRPr="00EA3866" w:rsidTr="00616462">
        <w:tc>
          <w:tcPr>
            <w:tcW w:w="1475" w:type="dxa"/>
            <w:tcBorders>
              <w:top w:val="nil"/>
              <w:left w:val="single" w:sz="8" w:space="0" w:color="auto"/>
              <w:bottom w:val="single" w:sz="8" w:space="0" w:color="auto"/>
              <w:right w:val="nil"/>
            </w:tcBorders>
            <w:tcMar>
              <w:top w:w="0" w:type="dxa"/>
              <w:left w:w="108" w:type="dxa"/>
              <w:bottom w:w="0" w:type="dxa"/>
              <w:right w:w="108" w:type="dxa"/>
            </w:tcMar>
            <w:hideMark/>
          </w:tcPr>
          <w:p w:rsidR="00616B97" w:rsidRPr="00EA3866" w:rsidRDefault="00616B97" w:rsidP="00616462">
            <w:pPr>
              <w:spacing w:after="0" w:line="240" w:lineRule="auto"/>
              <w:jc w:val="both"/>
              <w:rPr>
                <w:rFonts w:ascii="Arial" w:eastAsia="Calibri" w:hAnsi="Arial" w:cs="Arial"/>
                <w:b/>
                <w:bCs/>
                <w:sz w:val="24"/>
                <w:szCs w:val="24"/>
              </w:rPr>
            </w:pPr>
            <w:r w:rsidRPr="00EA3866">
              <w:rPr>
                <w:rFonts w:ascii="Arial" w:eastAsia="Calibri" w:hAnsi="Arial" w:cs="Arial"/>
                <w:b/>
                <w:bCs/>
                <w:sz w:val="24"/>
                <w:szCs w:val="24"/>
              </w:rPr>
              <w:t>Ponente:</w:t>
            </w:r>
          </w:p>
          <w:p w:rsidR="003014B6" w:rsidRPr="00EA3866" w:rsidRDefault="003014B6" w:rsidP="00616462">
            <w:pPr>
              <w:spacing w:after="0" w:line="240" w:lineRule="auto"/>
              <w:jc w:val="both"/>
              <w:rPr>
                <w:rFonts w:ascii="Arial" w:eastAsia="Calibri" w:hAnsi="Arial" w:cs="Arial"/>
                <w:b/>
                <w:bCs/>
                <w:sz w:val="24"/>
                <w:szCs w:val="24"/>
              </w:rPr>
            </w:pPr>
            <w:r w:rsidRPr="00EA3866">
              <w:rPr>
                <w:rFonts w:ascii="Arial" w:eastAsia="Calibri" w:hAnsi="Arial" w:cs="Arial"/>
                <w:b/>
                <w:bCs/>
                <w:sz w:val="24"/>
                <w:szCs w:val="24"/>
              </w:rPr>
              <w:t>Asistencia:</w:t>
            </w:r>
          </w:p>
          <w:p w:rsidR="00616B97" w:rsidRPr="00EA3866" w:rsidRDefault="00616B97" w:rsidP="00616462">
            <w:pPr>
              <w:spacing w:after="0" w:line="240" w:lineRule="auto"/>
              <w:jc w:val="both"/>
              <w:rPr>
                <w:rFonts w:ascii="Arial" w:eastAsia="Calibri" w:hAnsi="Arial" w:cs="Arial"/>
                <w:b/>
                <w:bCs/>
                <w:sz w:val="24"/>
                <w:szCs w:val="24"/>
              </w:rPr>
            </w:pPr>
            <w:r w:rsidRPr="00EA3866">
              <w:rPr>
                <w:rFonts w:ascii="Arial" w:eastAsia="Calibri" w:hAnsi="Arial" w:cs="Arial"/>
                <w:b/>
                <w:bCs/>
                <w:sz w:val="24"/>
                <w:szCs w:val="24"/>
              </w:rPr>
              <w:t>Resolución:</w:t>
            </w:r>
          </w:p>
          <w:p w:rsidR="003014B6" w:rsidRPr="00EA3866" w:rsidRDefault="003014B6" w:rsidP="00616462">
            <w:pPr>
              <w:spacing w:after="0" w:line="240" w:lineRule="auto"/>
              <w:jc w:val="both"/>
              <w:rPr>
                <w:rFonts w:ascii="Arial" w:eastAsia="Calibri" w:hAnsi="Arial" w:cs="Arial"/>
                <w:b/>
                <w:bCs/>
                <w:sz w:val="24"/>
                <w:szCs w:val="24"/>
              </w:rPr>
            </w:pPr>
            <w:r w:rsidRPr="00EA3866">
              <w:rPr>
                <w:rFonts w:ascii="Arial" w:eastAsia="Calibri" w:hAnsi="Arial" w:cs="Arial"/>
                <w:b/>
                <w:bCs/>
                <w:sz w:val="24"/>
                <w:szCs w:val="24"/>
              </w:rPr>
              <w:t>Entidad:</w:t>
            </w:r>
          </w:p>
        </w:tc>
        <w:tc>
          <w:tcPr>
            <w:tcW w:w="7579" w:type="dxa"/>
            <w:tcBorders>
              <w:top w:val="nil"/>
              <w:left w:val="nil"/>
              <w:bottom w:val="single" w:sz="8" w:space="0" w:color="auto"/>
              <w:right w:val="single" w:sz="8" w:space="0" w:color="auto"/>
            </w:tcBorders>
            <w:tcMar>
              <w:top w:w="0" w:type="dxa"/>
              <w:left w:w="108" w:type="dxa"/>
              <w:bottom w:w="0" w:type="dxa"/>
              <w:right w:w="108" w:type="dxa"/>
            </w:tcMar>
            <w:hideMark/>
          </w:tcPr>
          <w:p w:rsidR="00616B97" w:rsidRPr="00EA3866" w:rsidRDefault="00616B97" w:rsidP="00616462">
            <w:pPr>
              <w:spacing w:after="0" w:line="240" w:lineRule="auto"/>
              <w:jc w:val="both"/>
              <w:rPr>
                <w:rFonts w:ascii="Arial" w:eastAsia="Calibri" w:hAnsi="Arial" w:cs="Arial"/>
                <w:color w:val="000000"/>
                <w:sz w:val="24"/>
                <w:szCs w:val="24"/>
                <w:lang w:val="es-ES_tradnl"/>
              </w:rPr>
            </w:pPr>
            <w:r w:rsidRPr="00EA3866">
              <w:rPr>
                <w:rFonts w:ascii="Arial" w:eastAsia="Calibri" w:hAnsi="Arial" w:cs="Arial"/>
                <w:color w:val="000000"/>
                <w:sz w:val="24"/>
                <w:szCs w:val="24"/>
              </w:rPr>
              <w:t>José Ramón Cossío Díaz.</w:t>
            </w:r>
          </w:p>
          <w:p w:rsidR="003014B6" w:rsidRPr="00EA3866" w:rsidRDefault="003014B6" w:rsidP="00616462">
            <w:pPr>
              <w:spacing w:after="0" w:line="240" w:lineRule="auto"/>
              <w:jc w:val="both"/>
              <w:rPr>
                <w:rFonts w:ascii="Arial" w:eastAsia="Calibri" w:hAnsi="Arial" w:cs="Arial"/>
                <w:color w:val="000000"/>
                <w:sz w:val="24"/>
                <w:szCs w:val="24"/>
                <w:lang w:val="es-ES_tradnl"/>
              </w:rPr>
            </w:pPr>
            <w:r w:rsidRPr="00EA3866">
              <w:rPr>
                <w:rFonts w:ascii="Arial" w:eastAsia="Calibri" w:hAnsi="Arial" w:cs="Arial"/>
                <w:color w:val="000000"/>
                <w:sz w:val="24"/>
                <w:szCs w:val="24"/>
                <w:lang w:val="es-ES_tradnl"/>
              </w:rPr>
              <w:t>Cinco Ministros</w:t>
            </w:r>
          </w:p>
          <w:p w:rsidR="00616B97" w:rsidRPr="00EA3866" w:rsidRDefault="00021792" w:rsidP="00616462">
            <w:pPr>
              <w:spacing w:after="0" w:line="240" w:lineRule="auto"/>
              <w:jc w:val="both"/>
              <w:rPr>
                <w:rFonts w:ascii="Arial" w:eastAsia="Calibri" w:hAnsi="Arial" w:cs="Arial"/>
                <w:color w:val="000000"/>
                <w:sz w:val="24"/>
                <w:szCs w:val="24"/>
                <w:lang w:val="es-ES_tradnl"/>
              </w:rPr>
            </w:pPr>
            <w:r w:rsidRPr="00EA3866">
              <w:rPr>
                <w:rFonts w:ascii="Arial" w:eastAsia="Calibri" w:hAnsi="Arial" w:cs="Arial"/>
                <w:color w:val="000000"/>
                <w:sz w:val="24"/>
                <w:szCs w:val="24"/>
                <w:lang w:val="es-ES_tradnl"/>
              </w:rPr>
              <w:t xml:space="preserve">31 de </w:t>
            </w:r>
            <w:r w:rsidR="00616B97" w:rsidRPr="00EA3866">
              <w:rPr>
                <w:rFonts w:ascii="Arial" w:eastAsia="Calibri" w:hAnsi="Arial" w:cs="Arial"/>
                <w:color w:val="000000"/>
                <w:sz w:val="24"/>
                <w:szCs w:val="24"/>
                <w:lang w:val="es-ES_tradnl"/>
              </w:rPr>
              <w:t>e</w:t>
            </w:r>
            <w:r w:rsidRPr="00EA3866">
              <w:rPr>
                <w:rFonts w:ascii="Arial" w:eastAsia="Calibri" w:hAnsi="Arial" w:cs="Arial"/>
                <w:color w:val="000000"/>
                <w:sz w:val="24"/>
                <w:szCs w:val="24"/>
                <w:lang w:val="es-ES_tradnl"/>
              </w:rPr>
              <w:t>nero de 2018</w:t>
            </w:r>
            <w:r w:rsidR="00616B97" w:rsidRPr="00EA3866">
              <w:rPr>
                <w:rFonts w:ascii="Arial" w:eastAsia="Calibri" w:hAnsi="Arial" w:cs="Arial"/>
                <w:color w:val="000000"/>
                <w:sz w:val="24"/>
                <w:szCs w:val="24"/>
                <w:lang w:val="es-ES_tradnl"/>
              </w:rPr>
              <w:t>.</w:t>
            </w:r>
          </w:p>
          <w:p w:rsidR="003014B6" w:rsidRPr="00EA3866" w:rsidRDefault="003014B6" w:rsidP="00616462">
            <w:pPr>
              <w:spacing w:after="0" w:line="240" w:lineRule="auto"/>
              <w:jc w:val="both"/>
              <w:rPr>
                <w:rFonts w:ascii="Arial" w:eastAsia="Calibri" w:hAnsi="Arial" w:cs="Arial"/>
                <w:color w:val="000000"/>
                <w:sz w:val="24"/>
                <w:szCs w:val="24"/>
                <w:lang w:val="es-ES_tradnl"/>
              </w:rPr>
            </w:pPr>
            <w:r w:rsidRPr="00EA3866">
              <w:rPr>
                <w:rFonts w:ascii="Arial" w:eastAsia="Calibri" w:hAnsi="Arial" w:cs="Arial"/>
                <w:color w:val="000000"/>
                <w:sz w:val="24"/>
                <w:szCs w:val="24"/>
                <w:lang w:val="es-ES_tradnl"/>
              </w:rPr>
              <w:t>Oaxaca</w:t>
            </w:r>
          </w:p>
        </w:tc>
      </w:tr>
    </w:tbl>
    <w:p w:rsidR="00616B97" w:rsidRPr="00EA3866" w:rsidRDefault="00616B97" w:rsidP="00616B97">
      <w:pPr>
        <w:spacing w:after="0" w:line="240" w:lineRule="auto"/>
        <w:jc w:val="both"/>
        <w:rPr>
          <w:rFonts w:ascii="Arial" w:eastAsia="Calibri" w:hAnsi="Arial" w:cs="Arial"/>
          <w:b/>
          <w:bCs/>
          <w:sz w:val="24"/>
          <w:szCs w:val="24"/>
          <w:lang w:val="es-ES_tradnl"/>
        </w:rPr>
      </w:pPr>
    </w:p>
    <w:p w:rsidR="00616B97" w:rsidRPr="00EA3866" w:rsidRDefault="00616B97" w:rsidP="00616B97">
      <w:pPr>
        <w:spacing w:after="0" w:line="240" w:lineRule="auto"/>
        <w:jc w:val="both"/>
        <w:rPr>
          <w:rFonts w:ascii="Arial" w:eastAsia="Calibri" w:hAnsi="Arial" w:cs="Arial"/>
          <w:color w:val="000000"/>
          <w:sz w:val="24"/>
          <w:szCs w:val="24"/>
        </w:rPr>
      </w:pPr>
      <w:r w:rsidRPr="00EA3866">
        <w:rPr>
          <w:rFonts w:ascii="Arial" w:eastAsia="Calibri" w:hAnsi="Arial" w:cs="Arial"/>
          <w:b/>
          <w:bCs/>
          <w:color w:val="000000"/>
          <w:sz w:val="24"/>
          <w:szCs w:val="24"/>
        </w:rPr>
        <w:t>Antecedentes</w:t>
      </w:r>
      <w:r w:rsidRPr="00EA3866">
        <w:rPr>
          <w:rFonts w:ascii="Arial" w:eastAsia="Calibri" w:hAnsi="Arial" w:cs="Arial"/>
          <w:color w:val="000000"/>
          <w:sz w:val="24"/>
          <w:szCs w:val="24"/>
        </w:rPr>
        <w:t xml:space="preserve">. </w:t>
      </w:r>
    </w:p>
    <w:p w:rsidR="004C2DC5" w:rsidRPr="00EA3866" w:rsidRDefault="004C2DC5" w:rsidP="00D2630C">
      <w:pPr>
        <w:spacing w:after="0" w:line="240" w:lineRule="auto"/>
        <w:jc w:val="both"/>
        <w:rPr>
          <w:rFonts w:ascii="Arial" w:eastAsia="Calibri" w:hAnsi="Arial" w:cs="Arial"/>
          <w:bCs/>
          <w:color w:val="000000"/>
          <w:sz w:val="24"/>
          <w:szCs w:val="24"/>
        </w:rPr>
      </w:pPr>
    </w:p>
    <w:p w:rsidR="00D2630C" w:rsidRPr="00EA3866" w:rsidRDefault="00D2630C" w:rsidP="00D2630C">
      <w:pPr>
        <w:spacing w:line="240" w:lineRule="auto"/>
        <w:jc w:val="both"/>
        <w:rPr>
          <w:rFonts w:ascii="Arial" w:eastAsia="Calibri" w:hAnsi="Arial" w:cs="Arial"/>
          <w:bCs/>
          <w:color w:val="000000"/>
          <w:sz w:val="24"/>
          <w:szCs w:val="24"/>
        </w:rPr>
      </w:pPr>
      <w:r w:rsidRPr="00EA3866">
        <w:rPr>
          <w:rFonts w:ascii="Arial" w:eastAsia="Calibri" w:hAnsi="Arial" w:cs="Arial"/>
          <w:bCs/>
          <w:color w:val="000000"/>
          <w:sz w:val="24"/>
          <w:szCs w:val="24"/>
        </w:rPr>
        <w:t>El municipio actor en la demanda de controversia impugnó lo siguiente:</w:t>
      </w:r>
    </w:p>
    <w:p w:rsidR="00D2630C" w:rsidRPr="00EA3866" w:rsidRDefault="00D2630C" w:rsidP="00D2630C">
      <w:pPr>
        <w:spacing w:line="240" w:lineRule="auto"/>
        <w:ind w:right="476"/>
        <w:jc w:val="both"/>
        <w:rPr>
          <w:rFonts w:ascii="Arial" w:eastAsia="Calibri" w:hAnsi="Arial" w:cs="Arial"/>
          <w:bCs/>
          <w:color w:val="000000"/>
          <w:sz w:val="24"/>
          <w:szCs w:val="24"/>
        </w:rPr>
      </w:pPr>
      <w:r w:rsidRPr="00EA3866">
        <w:rPr>
          <w:rFonts w:ascii="Arial" w:eastAsia="Calibri" w:hAnsi="Arial" w:cs="Arial"/>
          <w:bCs/>
          <w:color w:val="000000"/>
          <w:sz w:val="24"/>
          <w:szCs w:val="24"/>
        </w:rPr>
        <w:t>1. La determinación por el (sic) cual el Tribunal Electoral del Estado de Oaxaca asume como su competencia el reclamo de dietas municipales como un derecho político electoral o derecho político, a pesar de que los reclamantes han culminado el periodo para el que fueron electos;</w:t>
      </w:r>
    </w:p>
    <w:p w:rsidR="004C2DC5" w:rsidRPr="00EA3866" w:rsidRDefault="00D2630C" w:rsidP="00D2630C">
      <w:pPr>
        <w:spacing w:after="0" w:line="240" w:lineRule="auto"/>
        <w:jc w:val="both"/>
        <w:rPr>
          <w:rFonts w:ascii="Arial" w:eastAsia="Calibri" w:hAnsi="Arial" w:cs="Arial"/>
          <w:bCs/>
          <w:color w:val="000000"/>
          <w:sz w:val="24"/>
          <w:szCs w:val="24"/>
        </w:rPr>
      </w:pPr>
      <w:r w:rsidRPr="00EA3866">
        <w:rPr>
          <w:rFonts w:ascii="Arial" w:eastAsia="Calibri" w:hAnsi="Arial" w:cs="Arial"/>
          <w:bCs/>
          <w:color w:val="000000"/>
          <w:sz w:val="24"/>
          <w:szCs w:val="24"/>
        </w:rPr>
        <w:t>b) Como consecuencia de la anterior determinación, reclamaron la invalidez del Acuerdo dictado en el expediente número JDC/159/2016, el día 29 de diciembre de 2016, notificado el día 02 de enero de 2017, mismo que fue tramitado y resuelto sobre la base de dicha premisa y errónea interpretación.</w:t>
      </w:r>
    </w:p>
    <w:p w:rsidR="00D2630C" w:rsidRPr="00EA3866" w:rsidRDefault="00D2630C" w:rsidP="00D2630C">
      <w:pPr>
        <w:spacing w:after="0" w:line="240" w:lineRule="auto"/>
        <w:jc w:val="both"/>
        <w:rPr>
          <w:rFonts w:ascii="Arial" w:eastAsia="Calibri" w:hAnsi="Arial" w:cs="Arial"/>
          <w:bCs/>
          <w:color w:val="000000"/>
          <w:sz w:val="24"/>
          <w:szCs w:val="24"/>
        </w:rPr>
      </w:pPr>
    </w:p>
    <w:p w:rsidR="00D2630C" w:rsidRDefault="00D2630C" w:rsidP="00D2630C">
      <w:pPr>
        <w:jc w:val="both"/>
        <w:rPr>
          <w:rFonts w:ascii="Arial" w:eastAsia="Calibri" w:hAnsi="Arial" w:cs="Arial"/>
          <w:bCs/>
          <w:color w:val="000000"/>
          <w:sz w:val="24"/>
          <w:szCs w:val="24"/>
        </w:rPr>
      </w:pPr>
      <w:r w:rsidRPr="00EA3866">
        <w:rPr>
          <w:rFonts w:ascii="Arial" w:eastAsia="Calibri" w:hAnsi="Arial" w:cs="Arial"/>
          <w:bCs/>
          <w:color w:val="000000"/>
          <w:sz w:val="24"/>
          <w:szCs w:val="24"/>
        </w:rPr>
        <w:lastRenderedPageBreak/>
        <w:t>2. De conformidad con el artículo 39 de la Ley Reglamentaria de la materia, en el proyecto se determinó que la cuestión efectivamente planteada es la impugnación del acuerdo de veintinueve de diciembre de dos mil dieciséis, dictado por el Tribunal Electoral del Estado de Oaxaca, en el juicio derivado del expediente número JDC/159/2016, en el que se radicó el juicio en ponencia para su integración y substanciación y se ordenó emplazar a las autoridades que fueron señaladas como demandadas.</w:t>
      </w:r>
    </w:p>
    <w:p w:rsidR="00EA3866" w:rsidRDefault="00EA3866" w:rsidP="006F2BFA">
      <w:pPr>
        <w:spacing w:after="0" w:line="240" w:lineRule="auto"/>
        <w:rPr>
          <w:rFonts w:ascii="Arial" w:eastAsia="Calibri" w:hAnsi="Arial" w:cs="Arial"/>
          <w:b/>
          <w:bCs/>
          <w:sz w:val="24"/>
          <w:szCs w:val="24"/>
        </w:rPr>
      </w:pPr>
    </w:p>
    <w:p w:rsidR="00616B97" w:rsidRPr="00EA3866" w:rsidRDefault="006F2BFA" w:rsidP="006F2BFA">
      <w:pPr>
        <w:spacing w:after="0" w:line="240" w:lineRule="auto"/>
        <w:rPr>
          <w:rFonts w:ascii="Arial" w:eastAsia="Calibri" w:hAnsi="Arial" w:cs="Arial"/>
          <w:b/>
          <w:bCs/>
          <w:sz w:val="24"/>
          <w:szCs w:val="24"/>
        </w:rPr>
      </w:pPr>
      <w:r w:rsidRPr="00EA3866">
        <w:rPr>
          <w:rFonts w:ascii="Arial" w:eastAsia="Calibri" w:hAnsi="Arial" w:cs="Arial"/>
          <w:b/>
          <w:bCs/>
          <w:sz w:val="24"/>
          <w:szCs w:val="24"/>
        </w:rPr>
        <w:t xml:space="preserve">Criterios Denunciados </w:t>
      </w:r>
    </w:p>
    <w:p w:rsidR="00616B97" w:rsidRPr="00EA3866" w:rsidRDefault="00616B97" w:rsidP="00616B97">
      <w:pPr>
        <w:spacing w:after="0" w:line="240" w:lineRule="auto"/>
        <w:jc w:val="both"/>
        <w:rPr>
          <w:rFonts w:ascii="Arial" w:eastAsia="Calibri" w:hAnsi="Arial" w:cs="Arial"/>
          <w:bCs/>
          <w:color w:val="000000"/>
          <w:sz w:val="24"/>
          <w:szCs w:val="24"/>
        </w:rPr>
      </w:pPr>
    </w:p>
    <w:p w:rsidR="00616B97" w:rsidRPr="00EA3866" w:rsidRDefault="006748D1" w:rsidP="00616B97">
      <w:pPr>
        <w:spacing w:after="0" w:line="240" w:lineRule="auto"/>
        <w:jc w:val="both"/>
        <w:rPr>
          <w:rFonts w:ascii="Arial" w:eastAsia="Calibri" w:hAnsi="Arial" w:cs="Arial"/>
          <w:bCs/>
          <w:color w:val="000000"/>
          <w:sz w:val="24"/>
          <w:szCs w:val="24"/>
        </w:rPr>
      </w:pPr>
      <w:r w:rsidRPr="00EA3866">
        <w:rPr>
          <w:rFonts w:ascii="Arial" w:eastAsia="Calibri" w:hAnsi="Arial" w:cs="Arial"/>
          <w:bCs/>
          <w:color w:val="000000"/>
          <w:sz w:val="24"/>
          <w:szCs w:val="24"/>
        </w:rPr>
        <w:t xml:space="preserve">El municipio actor señaló como violados los artículos 1, 2, 14, 16 y 115 de la Constitución Política de los Estados Unidos </w:t>
      </w:r>
      <w:r w:rsidR="002162D0" w:rsidRPr="00EA3866">
        <w:rPr>
          <w:rFonts w:ascii="Arial" w:eastAsia="Calibri" w:hAnsi="Arial" w:cs="Arial"/>
          <w:bCs/>
          <w:color w:val="000000"/>
          <w:sz w:val="24"/>
          <w:szCs w:val="24"/>
        </w:rPr>
        <w:t>Mexicanos,</w:t>
      </w:r>
      <w:r w:rsidRPr="00EA3866">
        <w:rPr>
          <w:rFonts w:ascii="Arial" w:eastAsia="Calibri" w:hAnsi="Arial" w:cs="Arial"/>
          <w:bCs/>
          <w:color w:val="000000"/>
          <w:sz w:val="24"/>
          <w:szCs w:val="24"/>
        </w:rPr>
        <w:t xml:space="preserve"> así como lo dispuesto por el artículo 113 de la </w:t>
      </w:r>
      <w:r w:rsidR="008E0641" w:rsidRPr="00EA3866">
        <w:rPr>
          <w:rFonts w:ascii="Arial" w:eastAsia="Calibri" w:hAnsi="Arial" w:cs="Arial"/>
          <w:bCs/>
          <w:color w:val="000000"/>
          <w:sz w:val="24"/>
          <w:szCs w:val="24"/>
        </w:rPr>
        <w:t>Constitución Política del Estado Libre y Soberano de Oaxaca</w:t>
      </w:r>
      <w:r w:rsidRPr="00EA3866">
        <w:rPr>
          <w:rFonts w:ascii="Arial" w:eastAsia="Calibri" w:hAnsi="Arial" w:cs="Arial"/>
          <w:bCs/>
          <w:color w:val="000000"/>
          <w:sz w:val="24"/>
          <w:szCs w:val="24"/>
        </w:rPr>
        <w:t>.</w:t>
      </w:r>
    </w:p>
    <w:p w:rsidR="00616B97" w:rsidRPr="00EA3866" w:rsidRDefault="00616B97" w:rsidP="00616B97">
      <w:pPr>
        <w:spacing w:after="0" w:line="240" w:lineRule="auto"/>
        <w:jc w:val="both"/>
        <w:rPr>
          <w:rFonts w:ascii="Arial" w:hAnsi="Arial" w:cs="Arial"/>
          <w:color w:val="000000"/>
          <w:sz w:val="24"/>
          <w:szCs w:val="24"/>
        </w:rPr>
      </w:pPr>
    </w:p>
    <w:p w:rsidR="00EA3866" w:rsidRDefault="00EA3866" w:rsidP="00C33B36">
      <w:pPr>
        <w:spacing w:after="0" w:line="240" w:lineRule="auto"/>
        <w:jc w:val="center"/>
        <w:rPr>
          <w:rFonts w:ascii="Arial" w:eastAsia="Calibri" w:hAnsi="Arial" w:cs="Arial"/>
          <w:b/>
          <w:bCs/>
          <w:sz w:val="24"/>
          <w:szCs w:val="24"/>
        </w:rPr>
      </w:pPr>
    </w:p>
    <w:p w:rsidR="00EA3866" w:rsidRDefault="00EA3866" w:rsidP="00C33B36">
      <w:pPr>
        <w:spacing w:after="0" w:line="240" w:lineRule="auto"/>
        <w:jc w:val="center"/>
        <w:rPr>
          <w:rFonts w:ascii="Arial" w:eastAsia="Calibri" w:hAnsi="Arial" w:cs="Arial"/>
          <w:b/>
          <w:bCs/>
          <w:sz w:val="24"/>
          <w:szCs w:val="24"/>
        </w:rPr>
      </w:pPr>
    </w:p>
    <w:p w:rsidR="00EA3866" w:rsidRDefault="00EA3866" w:rsidP="00C33B36">
      <w:pPr>
        <w:spacing w:after="0" w:line="240" w:lineRule="auto"/>
        <w:jc w:val="center"/>
        <w:rPr>
          <w:rFonts w:ascii="Arial" w:eastAsia="Calibri" w:hAnsi="Arial" w:cs="Arial"/>
          <w:b/>
          <w:bCs/>
          <w:sz w:val="24"/>
          <w:szCs w:val="24"/>
        </w:rPr>
      </w:pPr>
    </w:p>
    <w:p w:rsidR="00EA3866" w:rsidRDefault="00EA3866" w:rsidP="00C33B36">
      <w:pPr>
        <w:spacing w:after="0" w:line="240" w:lineRule="auto"/>
        <w:jc w:val="center"/>
        <w:rPr>
          <w:rFonts w:ascii="Arial" w:eastAsia="Calibri" w:hAnsi="Arial" w:cs="Arial"/>
          <w:b/>
          <w:bCs/>
          <w:sz w:val="24"/>
          <w:szCs w:val="24"/>
        </w:rPr>
      </w:pPr>
    </w:p>
    <w:p w:rsidR="00616B97" w:rsidRPr="00EA3866" w:rsidRDefault="006F2BFA" w:rsidP="00C33B36">
      <w:pPr>
        <w:spacing w:after="0" w:line="240" w:lineRule="auto"/>
        <w:jc w:val="center"/>
        <w:rPr>
          <w:rFonts w:ascii="Arial" w:eastAsia="Calibri" w:hAnsi="Arial" w:cs="Arial"/>
          <w:b/>
          <w:bCs/>
          <w:sz w:val="24"/>
          <w:szCs w:val="24"/>
        </w:rPr>
      </w:pPr>
      <w:r w:rsidRPr="00EA3866">
        <w:rPr>
          <w:rFonts w:ascii="Arial" w:eastAsia="Calibri" w:hAnsi="Arial" w:cs="Arial"/>
          <w:b/>
          <w:bCs/>
          <w:sz w:val="24"/>
          <w:szCs w:val="24"/>
        </w:rPr>
        <w:t>RESOLUCIÓN DE LA CONTROVERSIA CONSTITUCIONAL</w:t>
      </w:r>
    </w:p>
    <w:p w:rsidR="00616B97" w:rsidRPr="00EA3866" w:rsidRDefault="00616B97" w:rsidP="00616B97">
      <w:pPr>
        <w:spacing w:after="0" w:line="240" w:lineRule="auto"/>
        <w:rPr>
          <w:rFonts w:ascii="Arial" w:eastAsia="Calibri" w:hAnsi="Arial" w:cs="Arial"/>
          <w:b/>
          <w:bCs/>
          <w:sz w:val="24"/>
          <w:szCs w:val="24"/>
        </w:rPr>
      </w:pPr>
    </w:p>
    <w:p w:rsidR="00616B97" w:rsidRPr="00EA3866" w:rsidRDefault="006F2BFA" w:rsidP="00616B97">
      <w:pPr>
        <w:spacing w:after="0" w:line="240" w:lineRule="auto"/>
        <w:rPr>
          <w:rFonts w:ascii="Arial" w:eastAsia="Calibri" w:hAnsi="Arial" w:cs="Arial"/>
          <w:b/>
          <w:bCs/>
          <w:color w:val="000000"/>
          <w:sz w:val="24"/>
          <w:szCs w:val="24"/>
        </w:rPr>
      </w:pPr>
      <w:r w:rsidRPr="00EA3866">
        <w:rPr>
          <w:rFonts w:ascii="Arial" w:eastAsia="Calibri" w:hAnsi="Arial" w:cs="Arial"/>
          <w:b/>
          <w:bCs/>
          <w:color w:val="000000"/>
          <w:sz w:val="24"/>
          <w:szCs w:val="24"/>
        </w:rPr>
        <w:t>Propuesta</w:t>
      </w:r>
      <w:r w:rsidR="00616B97" w:rsidRPr="00EA3866">
        <w:rPr>
          <w:rFonts w:ascii="Arial" w:eastAsia="Calibri" w:hAnsi="Arial" w:cs="Arial"/>
          <w:b/>
          <w:bCs/>
          <w:color w:val="000000"/>
          <w:sz w:val="24"/>
          <w:szCs w:val="24"/>
        </w:rPr>
        <w:t>:</w:t>
      </w:r>
    </w:p>
    <w:p w:rsidR="00616B97" w:rsidRPr="00EA3866" w:rsidRDefault="00616B97" w:rsidP="00616B97">
      <w:pPr>
        <w:spacing w:after="0" w:line="240" w:lineRule="auto"/>
        <w:rPr>
          <w:rFonts w:ascii="Arial" w:eastAsia="Calibri" w:hAnsi="Arial" w:cs="Arial"/>
          <w:b/>
          <w:bCs/>
          <w:color w:val="000000"/>
          <w:sz w:val="24"/>
          <w:szCs w:val="24"/>
        </w:rPr>
      </w:pPr>
    </w:p>
    <w:p w:rsidR="00616B97" w:rsidRPr="00EA3866" w:rsidRDefault="00616B97" w:rsidP="00616B97">
      <w:pPr>
        <w:spacing w:after="0" w:line="240" w:lineRule="auto"/>
        <w:jc w:val="both"/>
        <w:rPr>
          <w:rFonts w:ascii="Arial" w:eastAsia="Calibri" w:hAnsi="Arial" w:cs="Arial"/>
          <w:bCs/>
          <w:color w:val="000000"/>
          <w:sz w:val="24"/>
          <w:szCs w:val="24"/>
        </w:rPr>
      </w:pPr>
      <w:r w:rsidRPr="00EA3866">
        <w:rPr>
          <w:rFonts w:ascii="Arial" w:eastAsia="Calibri" w:hAnsi="Arial" w:cs="Arial"/>
          <w:bCs/>
          <w:color w:val="000000"/>
          <w:sz w:val="24"/>
          <w:szCs w:val="24"/>
        </w:rPr>
        <w:t xml:space="preserve">La propuesta de resolución de la controversia constitucional bajo la ponencia del Señor Ministro Cossío Díaz versó en </w:t>
      </w:r>
      <w:r w:rsidR="00513EB7" w:rsidRPr="00EA3866">
        <w:rPr>
          <w:rFonts w:ascii="Arial" w:eastAsia="Calibri" w:hAnsi="Arial" w:cs="Arial"/>
          <w:bCs/>
          <w:color w:val="000000"/>
          <w:sz w:val="24"/>
          <w:szCs w:val="24"/>
        </w:rPr>
        <w:t xml:space="preserve">el </w:t>
      </w:r>
      <w:r w:rsidRPr="00EA3866">
        <w:rPr>
          <w:rFonts w:ascii="Arial" w:eastAsia="Calibri" w:hAnsi="Arial" w:cs="Arial"/>
          <w:bCs/>
          <w:color w:val="000000"/>
          <w:sz w:val="24"/>
          <w:szCs w:val="24"/>
        </w:rPr>
        <w:t xml:space="preserve">sentido de </w:t>
      </w:r>
      <w:r w:rsidR="00640EFF" w:rsidRPr="00EA3866">
        <w:rPr>
          <w:rFonts w:ascii="Arial" w:eastAsia="Calibri" w:hAnsi="Arial" w:cs="Arial"/>
          <w:bCs/>
          <w:color w:val="000000"/>
          <w:sz w:val="24"/>
          <w:szCs w:val="24"/>
        </w:rPr>
        <w:t>so</w:t>
      </w:r>
      <w:r w:rsidR="00513EB7" w:rsidRPr="00EA3866">
        <w:rPr>
          <w:rFonts w:ascii="Arial" w:eastAsia="Calibri" w:hAnsi="Arial" w:cs="Arial"/>
          <w:bCs/>
          <w:color w:val="000000"/>
          <w:sz w:val="24"/>
          <w:szCs w:val="24"/>
        </w:rPr>
        <w:t xml:space="preserve">breseer </w:t>
      </w:r>
      <w:r w:rsidR="00640EFF" w:rsidRPr="00EA3866">
        <w:rPr>
          <w:rFonts w:ascii="Arial" w:eastAsia="Calibri" w:hAnsi="Arial" w:cs="Arial"/>
          <w:bCs/>
          <w:color w:val="000000"/>
          <w:sz w:val="24"/>
          <w:szCs w:val="24"/>
        </w:rPr>
        <w:t>la controversia constitucional porque se impugna un acuerdo dictado en una resolución jurisdiccional que no es revisable en e</w:t>
      </w:r>
      <w:r w:rsidR="0005704C" w:rsidRPr="00EA3866">
        <w:rPr>
          <w:rFonts w:ascii="Arial" w:eastAsia="Calibri" w:hAnsi="Arial" w:cs="Arial"/>
          <w:bCs/>
          <w:color w:val="000000"/>
          <w:sz w:val="24"/>
          <w:szCs w:val="24"/>
        </w:rPr>
        <w:t>sa instancia jurisdiccional, p</w:t>
      </w:r>
      <w:r w:rsidR="00513EB7" w:rsidRPr="00EA3866">
        <w:rPr>
          <w:rFonts w:ascii="Arial" w:eastAsia="Calibri" w:hAnsi="Arial" w:cs="Arial"/>
          <w:bCs/>
          <w:color w:val="000000"/>
          <w:sz w:val="24"/>
          <w:szCs w:val="24"/>
        </w:rPr>
        <w:t>or</w:t>
      </w:r>
      <w:r w:rsidR="00640EFF" w:rsidRPr="00EA3866">
        <w:rPr>
          <w:rFonts w:ascii="Arial" w:eastAsia="Calibri" w:hAnsi="Arial" w:cs="Arial"/>
          <w:bCs/>
          <w:color w:val="000000"/>
          <w:sz w:val="24"/>
          <w:szCs w:val="24"/>
        </w:rPr>
        <w:t xml:space="preserve"> trata</w:t>
      </w:r>
      <w:r w:rsidR="00513EB7" w:rsidRPr="00EA3866">
        <w:rPr>
          <w:rFonts w:ascii="Arial" w:eastAsia="Calibri" w:hAnsi="Arial" w:cs="Arial"/>
          <w:bCs/>
          <w:color w:val="000000"/>
          <w:sz w:val="24"/>
          <w:szCs w:val="24"/>
        </w:rPr>
        <w:t>rse</w:t>
      </w:r>
      <w:r w:rsidR="00640EFF" w:rsidRPr="00EA3866">
        <w:rPr>
          <w:rFonts w:ascii="Arial" w:eastAsia="Calibri" w:hAnsi="Arial" w:cs="Arial"/>
          <w:bCs/>
          <w:color w:val="000000"/>
          <w:sz w:val="24"/>
          <w:szCs w:val="24"/>
        </w:rPr>
        <w:t xml:space="preserve"> de un acuerdo que admitió un juicio para la protección de los derechos político electorales del ciudadano en el ámbito local, donde se radicó y emplazó a las autoridades demandadas, y se reclaman entre otras prestaciones el pago de dietas y aguinaldo de diversos ex funcionarios municipales</w:t>
      </w:r>
      <w:r w:rsidRPr="00EA3866">
        <w:rPr>
          <w:rFonts w:ascii="Arial" w:eastAsia="Calibri" w:hAnsi="Arial" w:cs="Arial"/>
          <w:bCs/>
          <w:color w:val="000000"/>
          <w:sz w:val="24"/>
          <w:szCs w:val="24"/>
        </w:rPr>
        <w:t>.</w:t>
      </w:r>
    </w:p>
    <w:p w:rsidR="00616B97" w:rsidRPr="00EA3866" w:rsidRDefault="00616B97" w:rsidP="00616B97">
      <w:pPr>
        <w:spacing w:after="0" w:line="240" w:lineRule="auto"/>
        <w:jc w:val="both"/>
        <w:rPr>
          <w:rFonts w:ascii="Arial" w:eastAsia="Calibri" w:hAnsi="Arial" w:cs="Arial"/>
          <w:bCs/>
          <w:color w:val="000000"/>
          <w:sz w:val="24"/>
          <w:szCs w:val="24"/>
        </w:rPr>
      </w:pPr>
      <w:r w:rsidRPr="00EA3866">
        <w:rPr>
          <w:rFonts w:ascii="Arial" w:eastAsia="Calibri" w:hAnsi="Arial" w:cs="Arial"/>
          <w:bCs/>
          <w:color w:val="000000"/>
          <w:sz w:val="24"/>
          <w:szCs w:val="24"/>
        </w:rPr>
        <w:lastRenderedPageBreak/>
        <w:t xml:space="preserve"> </w:t>
      </w:r>
    </w:p>
    <w:p w:rsidR="006D5A83" w:rsidRPr="00EA3866" w:rsidRDefault="006D5A83" w:rsidP="00616B97">
      <w:pPr>
        <w:spacing w:after="0" w:line="240" w:lineRule="auto"/>
        <w:jc w:val="both"/>
        <w:rPr>
          <w:rFonts w:ascii="Arial" w:eastAsia="Calibri" w:hAnsi="Arial" w:cs="Arial"/>
          <w:b/>
          <w:bCs/>
          <w:color w:val="000000"/>
          <w:sz w:val="24"/>
          <w:szCs w:val="24"/>
        </w:rPr>
      </w:pPr>
    </w:p>
    <w:p w:rsidR="00616B97" w:rsidRPr="00EA3866" w:rsidRDefault="006F2BFA" w:rsidP="00616B97">
      <w:pPr>
        <w:spacing w:after="0" w:line="240" w:lineRule="auto"/>
        <w:jc w:val="both"/>
        <w:rPr>
          <w:rFonts w:ascii="Arial" w:eastAsia="Calibri" w:hAnsi="Arial" w:cs="Arial"/>
          <w:b/>
          <w:bCs/>
          <w:color w:val="000000"/>
          <w:sz w:val="24"/>
          <w:szCs w:val="24"/>
        </w:rPr>
      </w:pPr>
      <w:r w:rsidRPr="00EA3866">
        <w:rPr>
          <w:rFonts w:ascii="Arial" w:eastAsia="Calibri" w:hAnsi="Arial" w:cs="Arial"/>
          <w:b/>
          <w:bCs/>
          <w:color w:val="000000"/>
          <w:sz w:val="24"/>
          <w:szCs w:val="24"/>
        </w:rPr>
        <w:t>Consideraciones</w:t>
      </w:r>
      <w:r w:rsidR="00616B97" w:rsidRPr="00EA3866">
        <w:rPr>
          <w:rFonts w:ascii="Arial" w:eastAsia="Calibri" w:hAnsi="Arial" w:cs="Arial"/>
          <w:b/>
          <w:bCs/>
          <w:color w:val="000000"/>
          <w:sz w:val="24"/>
          <w:szCs w:val="24"/>
        </w:rPr>
        <w:t>:</w:t>
      </w:r>
    </w:p>
    <w:p w:rsidR="00616B97" w:rsidRPr="00EA3866" w:rsidRDefault="00616B97" w:rsidP="00616B97">
      <w:pPr>
        <w:spacing w:after="0" w:line="240" w:lineRule="auto"/>
        <w:jc w:val="both"/>
        <w:rPr>
          <w:rFonts w:ascii="Arial" w:eastAsia="Calibri" w:hAnsi="Arial" w:cs="Arial"/>
          <w:b/>
          <w:bCs/>
          <w:color w:val="000000"/>
          <w:sz w:val="24"/>
          <w:szCs w:val="24"/>
        </w:rPr>
      </w:pPr>
    </w:p>
    <w:p w:rsidR="00831628" w:rsidRPr="00EA3866" w:rsidRDefault="00C376EB" w:rsidP="00616B97">
      <w:pPr>
        <w:spacing w:after="0" w:line="240" w:lineRule="auto"/>
        <w:jc w:val="both"/>
        <w:rPr>
          <w:rFonts w:ascii="Arial" w:eastAsia="Calibri" w:hAnsi="Arial" w:cs="Arial"/>
          <w:bCs/>
          <w:color w:val="000000"/>
          <w:sz w:val="24"/>
          <w:szCs w:val="24"/>
        </w:rPr>
      </w:pPr>
      <w:r w:rsidRPr="00EA3866">
        <w:rPr>
          <w:rFonts w:ascii="Arial" w:eastAsia="Calibri" w:hAnsi="Arial" w:cs="Arial"/>
          <w:bCs/>
          <w:color w:val="000000"/>
          <w:sz w:val="24"/>
          <w:szCs w:val="24"/>
        </w:rPr>
        <w:t xml:space="preserve">El </w:t>
      </w:r>
      <w:r w:rsidR="00DC08B9" w:rsidRPr="00EA3866">
        <w:rPr>
          <w:rFonts w:ascii="Arial" w:eastAsia="Calibri" w:hAnsi="Arial" w:cs="Arial"/>
          <w:bCs/>
          <w:color w:val="000000"/>
          <w:sz w:val="24"/>
          <w:szCs w:val="24"/>
        </w:rPr>
        <w:t xml:space="preserve">municipio actor combatió el acuerdo de veintinueve de diciembre de dos mil dieciséis, dictado por el Tribunal Electoral del Estado de Oaxaca, en el juicio derivado del expediente número JDC/159/2016, </w:t>
      </w:r>
      <w:r w:rsidRPr="00EA3866">
        <w:rPr>
          <w:rFonts w:ascii="Arial" w:eastAsia="Calibri" w:hAnsi="Arial" w:cs="Arial"/>
          <w:bCs/>
          <w:color w:val="000000"/>
          <w:sz w:val="24"/>
          <w:szCs w:val="24"/>
        </w:rPr>
        <w:t xml:space="preserve">puesto </w:t>
      </w:r>
      <w:r w:rsidR="00300697" w:rsidRPr="00EA3866">
        <w:rPr>
          <w:rFonts w:ascii="Arial" w:eastAsia="Calibri" w:hAnsi="Arial" w:cs="Arial"/>
          <w:bCs/>
          <w:color w:val="000000"/>
          <w:sz w:val="24"/>
          <w:szCs w:val="24"/>
        </w:rPr>
        <w:t xml:space="preserve">que </w:t>
      </w:r>
      <w:r w:rsidR="00DC08B9" w:rsidRPr="00EA3866">
        <w:rPr>
          <w:rFonts w:ascii="Arial" w:eastAsia="Calibri" w:hAnsi="Arial" w:cs="Arial"/>
          <w:bCs/>
          <w:color w:val="000000"/>
          <w:sz w:val="24"/>
          <w:szCs w:val="24"/>
        </w:rPr>
        <w:t>no acredita la afectación a su ámbito competencia</w:t>
      </w:r>
      <w:r w:rsidR="00300697" w:rsidRPr="00EA3866">
        <w:rPr>
          <w:rFonts w:ascii="Arial" w:eastAsia="Calibri" w:hAnsi="Arial" w:cs="Arial"/>
          <w:bCs/>
          <w:color w:val="000000"/>
          <w:sz w:val="24"/>
          <w:szCs w:val="24"/>
        </w:rPr>
        <w:t>l</w:t>
      </w:r>
      <w:r w:rsidR="00F80F0A" w:rsidRPr="00EA3866">
        <w:rPr>
          <w:rFonts w:ascii="Arial" w:eastAsia="Calibri" w:hAnsi="Arial" w:cs="Arial"/>
          <w:bCs/>
          <w:color w:val="000000"/>
          <w:sz w:val="24"/>
          <w:szCs w:val="24"/>
        </w:rPr>
        <w:t xml:space="preserve"> ni una afectación a su integración democrática</w:t>
      </w:r>
      <w:r w:rsidR="00300697" w:rsidRPr="00EA3866">
        <w:rPr>
          <w:rFonts w:ascii="Arial" w:eastAsia="Calibri" w:hAnsi="Arial" w:cs="Arial"/>
          <w:bCs/>
          <w:color w:val="000000"/>
          <w:sz w:val="24"/>
          <w:szCs w:val="24"/>
        </w:rPr>
        <w:t xml:space="preserve">. </w:t>
      </w:r>
    </w:p>
    <w:p w:rsidR="00300697" w:rsidRPr="00EA3866" w:rsidRDefault="00300697" w:rsidP="00616B97">
      <w:pPr>
        <w:spacing w:after="0" w:line="240" w:lineRule="auto"/>
        <w:jc w:val="both"/>
        <w:rPr>
          <w:rFonts w:ascii="Arial" w:eastAsia="Calibri" w:hAnsi="Arial" w:cs="Arial"/>
          <w:bCs/>
          <w:color w:val="000000"/>
          <w:sz w:val="24"/>
          <w:szCs w:val="24"/>
        </w:rPr>
      </w:pPr>
    </w:p>
    <w:p w:rsidR="00831628" w:rsidRPr="00EA3866" w:rsidRDefault="00C376EB" w:rsidP="00B04C6F">
      <w:pPr>
        <w:spacing w:after="0" w:line="240" w:lineRule="auto"/>
        <w:jc w:val="both"/>
        <w:rPr>
          <w:rFonts w:ascii="Arial" w:eastAsia="Calibri" w:hAnsi="Arial" w:cs="Arial"/>
          <w:bCs/>
          <w:color w:val="000000"/>
          <w:sz w:val="24"/>
          <w:szCs w:val="24"/>
        </w:rPr>
      </w:pPr>
      <w:r w:rsidRPr="00EA3866">
        <w:rPr>
          <w:rFonts w:ascii="Arial" w:eastAsia="Calibri" w:hAnsi="Arial" w:cs="Arial"/>
          <w:bCs/>
          <w:color w:val="000000"/>
          <w:sz w:val="24"/>
          <w:szCs w:val="24"/>
        </w:rPr>
        <w:t xml:space="preserve">La </w:t>
      </w:r>
      <w:r w:rsidR="00300697" w:rsidRPr="00EA3866">
        <w:rPr>
          <w:rFonts w:ascii="Arial" w:eastAsia="Calibri" w:hAnsi="Arial" w:cs="Arial"/>
          <w:bCs/>
          <w:color w:val="000000"/>
          <w:sz w:val="24"/>
          <w:szCs w:val="24"/>
        </w:rPr>
        <w:t xml:space="preserve">Primera Sala consideró </w:t>
      </w:r>
      <w:r w:rsidR="008603F1" w:rsidRPr="00EA3866">
        <w:rPr>
          <w:rFonts w:ascii="Arial" w:eastAsia="Calibri" w:hAnsi="Arial" w:cs="Arial"/>
          <w:bCs/>
          <w:color w:val="000000"/>
          <w:sz w:val="24"/>
          <w:szCs w:val="24"/>
        </w:rPr>
        <w:t xml:space="preserve">que </w:t>
      </w:r>
      <w:r w:rsidR="00300697" w:rsidRPr="00EA3866">
        <w:rPr>
          <w:rFonts w:ascii="Arial" w:eastAsia="Calibri" w:hAnsi="Arial" w:cs="Arial"/>
          <w:bCs/>
          <w:color w:val="000000"/>
          <w:sz w:val="24"/>
          <w:szCs w:val="24"/>
        </w:rPr>
        <w:t>se actualiza la causal de improcedencia prevista en el artículo 19, fracción VIII de la Ley Reglamentaria</w:t>
      </w:r>
      <w:r w:rsidR="00B04C6F" w:rsidRPr="00EA3866">
        <w:rPr>
          <w:rFonts w:ascii="Arial" w:eastAsia="Calibri" w:hAnsi="Arial" w:cs="Arial"/>
          <w:bCs/>
          <w:color w:val="000000"/>
          <w:sz w:val="24"/>
          <w:szCs w:val="24"/>
        </w:rPr>
        <w:t xml:space="preserve"> de las fracciones I y II del artículo 105 de la Constitución Política de los Estados Unidos Mexicanos</w:t>
      </w:r>
      <w:r w:rsidR="00300697" w:rsidRPr="00EA3866">
        <w:rPr>
          <w:rFonts w:ascii="Arial" w:eastAsia="Calibri" w:hAnsi="Arial" w:cs="Arial"/>
          <w:bCs/>
          <w:color w:val="000000"/>
          <w:sz w:val="24"/>
          <w:szCs w:val="24"/>
        </w:rPr>
        <w:t>, en virtud de que en el medio de control constitucional se impugn</w:t>
      </w:r>
      <w:r w:rsidR="00C33B36" w:rsidRPr="00EA3866">
        <w:rPr>
          <w:rFonts w:ascii="Arial" w:eastAsia="Calibri" w:hAnsi="Arial" w:cs="Arial"/>
          <w:bCs/>
          <w:color w:val="000000"/>
          <w:sz w:val="24"/>
          <w:szCs w:val="24"/>
        </w:rPr>
        <w:t>ó</w:t>
      </w:r>
      <w:r w:rsidR="00300697" w:rsidRPr="00EA3866">
        <w:rPr>
          <w:rFonts w:ascii="Arial" w:eastAsia="Calibri" w:hAnsi="Arial" w:cs="Arial"/>
          <w:bCs/>
          <w:color w:val="000000"/>
          <w:sz w:val="24"/>
          <w:szCs w:val="24"/>
        </w:rPr>
        <w:t xml:space="preserve"> un acuerdo dictado en una resolución jurisdicc</w:t>
      </w:r>
      <w:r w:rsidR="00C33B36" w:rsidRPr="00EA3866">
        <w:rPr>
          <w:rFonts w:ascii="Arial" w:eastAsia="Calibri" w:hAnsi="Arial" w:cs="Arial"/>
          <w:bCs/>
          <w:color w:val="000000"/>
          <w:sz w:val="24"/>
          <w:szCs w:val="24"/>
        </w:rPr>
        <w:t>ional que no es revisable en es</w:t>
      </w:r>
      <w:r w:rsidR="00300697" w:rsidRPr="00EA3866">
        <w:rPr>
          <w:rFonts w:ascii="Arial" w:eastAsia="Calibri" w:hAnsi="Arial" w:cs="Arial"/>
          <w:bCs/>
          <w:color w:val="000000"/>
          <w:sz w:val="24"/>
          <w:szCs w:val="24"/>
        </w:rPr>
        <w:t xml:space="preserve">a instancia jurisdiccional. </w:t>
      </w:r>
    </w:p>
    <w:p w:rsidR="00B04C6F" w:rsidRPr="00EA3866" w:rsidRDefault="00B04C6F" w:rsidP="00B04C6F">
      <w:pPr>
        <w:spacing w:after="0" w:line="240" w:lineRule="auto"/>
        <w:jc w:val="both"/>
        <w:rPr>
          <w:rFonts w:ascii="Arial" w:eastAsia="Calibri" w:hAnsi="Arial" w:cs="Arial"/>
          <w:bCs/>
          <w:color w:val="000000"/>
          <w:sz w:val="24"/>
          <w:szCs w:val="24"/>
        </w:rPr>
      </w:pPr>
    </w:p>
    <w:p w:rsidR="00B04C6F" w:rsidRPr="00EA3866" w:rsidRDefault="00C33B36" w:rsidP="000A4445">
      <w:pPr>
        <w:spacing w:after="0" w:line="240" w:lineRule="auto"/>
        <w:jc w:val="both"/>
        <w:rPr>
          <w:rFonts w:ascii="Arial" w:eastAsia="Calibri" w:hAnsi="Arial" w:cs="Arial"/>
          <w:bCs/>
          <w:color w:val="000000"/>
          <w:sz w:val="24"/>
          <w:szCs w:val="24"/>
        </w:rPr>
      </w:pPr>
      <w:r w:rsidRPr="00EA3866">
        <w:rPr>
          <w:rFonts w:ascii="Arial" w:eastAsia="Calibri" w:hAnsi="Arial" w:cs="Arial"/>
          <w:bCs/>
          <w:color w:val="000000"/>
          <w:sz w:val="24"/>
          <w:szCs w:val="24"/>
        </w:rPr>
        <w:lastRenderedPageBreak/>
        <w:t>El P</w:t>
      </w:r>
      <w:r w:rsidR="004C2DC5" w:rsidRPr="00EA3866">
        <w:rPr>
          <w:rFonts w:ascii="Arial" w:eastAsia="Calibri" w:hAnsi="Arial" w:cs="Arial"/>
          <w:bCs/>
          <w:color w:val="000000"/>
          <w:sz w:val="24"/>
          <w:szCs w:val="24"/>
        </w:rPr>
        <w:t>leno de la Sala determinó</w:t>
      </w:r>
      <w:r w:rsidR="000A4445" w:rsidRPr="00EA3866">
        <w:rPr>
          <w:rFonts w:ascii="Arial" w:eastAsia="Calibri" w:hAnsi="Arial" w:cs="Arial"/>
          <w:bCs/>
          <w:color w:val="000000"/>
          <w:sz w:val="24"/>
          <w:szCs w:val="24"/>
        </w:rPr>
        <w:t xml:space="preserve"> que el acto impugnado efectivamente</w:t>
      </w:r>
      <w:r w:rsidR="000A4445" w:rsidRPr="00EA3866">
        <w:rPr>
          <w:rFonts w:ascii="Arial" w:hAnsi="Arial" w:cs="Arial"/>
          <w:sz w:val="24"/>
          <w:szCs w:val="24"/>
        </w:rPr>
        <w:t xml:space="preserve"> </w:t>
      </w:r>
      <w:r w:rsidR="000A4445" w:rsidRPr="00EA3866">
        <w:rPr>
          <w:rFonts w:ascii="Arial" w:eastAsia="Calibri" w:hAnsi="Arial" w:cs="Arial"/>
          <w:bCs/>
          <w:color w:val="000000"/>
          <w:sz w:val="24"/>
          <w:szCs w:val="24"/>
        </w:rPr>
        <w:t>constituye un acuerdo dictado en un expediente jurisdiccional, concretamente un juicio para la protección de los derechos político electorales del ciudadano en el ámbito local, y esta decisión jurisdiccional emitida por la autoridad demandada con motivo del conflicto sometido a su jurisdicción, por regla general, no es susceptible de impugnación a través de una controversia constitucional, en virtud de que se haría de esta vía un recurso o ulterior medio de defensa para someter a revisión la misma cuestión litigiosa debatida en el procedimiento natural, lo que es inadmisible</w:t>
      </w:r>
      <w:r w:rsidR="00C376EB" w:rsidRPr="00EA3866">
        <w:rPr>
          <w:rFonts w:ascii="Arial" w:eastAsia="Calibri" w:hAnsi="Arial" w:cs="Arial"/>
          <w:bCs/>
          <w:color w:val="000000"/>
          <w:sz w:val="24"/>
          <w:szCs w:val="24"/>
        </w:rPr>
        <w:t xml:space="preserve"> </w:t>
      </w:r>
      <w:r w:rsidR="000A4445" w:rsidRPr="00EA3866">
        <w:rPr>
          <w:rFonts w:ascii="Arial" w:eastAsia="Calibri" w:hAnsi="Arial" w:cs="Arial"/>
          <w:bCs/>
          <w:color w:val="000000"/>
          <w:sz w:val="24"/>
          <w:szCs w:val="24"/>
        </w:rPr>
        <w:t xml:space="preserve">mediante esta vía. </w:t>
      </w:r>
    </w:p>
    <w:p w:rsidR="00D27FF9" w:rsidRPr="00EA3866" w:rsidRDefault="00D27FF9" w:rsidP="000A4445">
      <w:pPr>
        <w:spacing w:after="0" w:line="240" w:lineRule="auto"/>
        <w:jc w:val="both"/>
        <w:rPr>
          <w:rFonts w:ascii="Arial" w:eastAsia="Calibri" w:hAnsi="Arial" w:cs="Arial"/>
          <w:bCs/>
          <w:color w:val="000000"/>
          <w:sz w:val="24"/>
          <w:szCs w:val="24"/>
        </w:rPr>
      </w:pPr>
    </w:p>
    <w:p w:rsidR="000A4445" w:rsidRPr="00EA3866" w:rsidRDefault="00C33B36" w:rsidP="00616B97">
      <w:pPr>
        <w:spacing w:after="0" w:line="240" w:lineRule="auto"/>
        <w:jc w:val="both"/>
        <w:rPr>
          <w:rFonts w:ascii="Arial" w:eastAsia="Calibri" w:hAnsi="Arial" w:cs="Arial"/>
          <w:bCs/>
          <w:color w:val="000000"/>
          <w:sz w:val="24"/>
          <w:szCs w:val="24"/>
        </w:rPr>
      </w:pPr>
      <w:r w:rsidRPr="00EA3866">
        <w:rPr>
          <w:rFonts w:ascii="Arial" w:eastAsia="Calibri" w:hAnsi="Arial" w:cs="Arial"/>
          <w:bCs/>
          <w:color w:val="000000"/>
          <w:sz w:val="24"/>
          <w:szCs w:val="24"/>
        </w:rPr>
        <w:t xml:space="preserve">El Pleno concluyó </w:t>
      </w:r>
      <w:r w:rsidR="00E47349" w:rsidRPr="00EA3866">
        <w:rPr>
          <w:rFonts w:ascii="Arial" w:eastAsia="Calibri" w:hAnsi="Arial" w:cs="Arial"/>
          <w:bCs/>
          <w:color w:val="000000"/>
          <w:sz w:val="24"/>
          <w:szCs w:val="24"/>
        </w:rPr>
        <w:t xml:space="preserve">que la controversia constitucional no es la vía idónea para controvertir los fundamentos y motivos de un acto dictado dentro de un juicio para la protección de los derechos político-electorales del ciudadano promovido ante un Tribunal Electoral local, porque dichos tribunales al conocer de conflictos que han sido sometidos a su conocimiento, ejercen </w:t>
      </w:r>
      <w:r w:rsidR="00E47349" w:rsidRPr="00EA3866">
        <w:rPr>
          <w:rFonts w:ascii="Arial" w:eastAsia="Calibri" w:hAnsi="Arial" w:cs="Arial"/>
          <w:bCs/>
          <w:color w:val="000000"/>
          <w:sz w:val="24"/>
          <w:szCs w:val="24"/>
        </w:rPr>
        <w:lastRenderedPageBreak/>
        <w:t>facultades de control jurisdiccional, razón por la cual en este medio no puede plantearse la invalidez de un auto dictado en un juicio, máxime que en dichos procedimientos no se dirimen conflictos entre los órganos, poderes o entes a que se refieren los artículos 105, fracción I de la Constitución Federal y 10 de la Ley Reglamentaria de la materia, sino que tienen como objeto salvaguardar los intereses de los gobernados.</w:t>
      </w:r>
    </w:p>
    <w:p w:rsidR="00326162" w:rsidRPr="00EA3866" w:rsidRDefault="00326162" w:rsidP="00616B97">
      <w:pPr>
        <w:spacing w:after="0" w:line="240" w:lineRule="auto"/>
        <w:jc w:val="both"/>
        <w:rPr>
          <w:rFonts w:ascii="Arial" w:eastAsia="Calibri" w:hAnsi="Arial" w:cs="Arial"/>
          <w:bCs/>
          <w:color w:val="000000"/>
          <w:sz w:val="24"/>
          <w:szCs w:val="24"/>
        </w:rPr>
      </w:pPr>
    </w:p>
    <w:p w:rsidR="00F11966" w:rsidRPr="00EA3866" w:rsidRDefault="008A7103" w:rsidP="006C60E1">
      <w:pPr>
        <w:spacing w:after="0" w:line="240" w:lineRule="auto"/>
        <w:jc w:val="both"/>
        <w:rPr>
          <w:rFonts w:ascii="Arial" w:eastAsia="Calibri" w:hAnsi="Arial" w:cs="Arial"/>
          <w:bCs/>
          <w:color w:val="000000"/>
          <w:sz w:val="24"/>
          <w:szCs w:val="24"/>
        </w:rPr>
      </w:pPr>
      <w:r w:rsidRPr="00EA3866">
        <w:rPr>
          <w:rFonts w:ascii="Arial" w:eastAsia="Calibri" w:hAnsi="Arial" w:cs="Arial"/>
          <w:bCs/>
          <w:color w:val="000000"/>
          <w:sz w:val="24"/>
          <w:szCs w:val="24"/>
        </w:rPr>
        <w:t>La Primera Sala resolvió</w:t>
      </w:r>
      <w:r w:rsidR="006C60E1" w:rsidRPr="00EA3866">
        <w:rPr>
          <w:rFonts w:ascii="Arial" w:eastAsia="Calibri" w:hAnsi="Arial" w:cs="Arial"/>
          <w:bCs/>
          <w:color w:val="000000"/>
          <w:sz w:val="24"/>
          <w:szCs w:val="24"/>
        </w:rPr>
        <w:t xml:space="preserve"> que no resulta aplicable el caso de excepción previsto por la jurisprudencia y por ende lo procedente es sobreseer en el juicio en términos del artículo 20, fracción II de la Ley Reglamentaria de la materia, por actualizarse la causal de improcedencia prevista en la fracción VIII del artículo 19 de l</w:t>
      </w:r>
      <w:r w:rsidRPr="00EA3866">
        <w:rPr>
          <w:rFonts w:ascii="Arial" w:eastAsia="Calibri" w:hAnsi="Arial" w:cs="Arial"/>
          <w:bCs/>
          <w:color w:val="000000"/>
          <w:sz w:val="24"/>
          <w:szCs w:val="24"/>
        </w:rPr>
        <w:t>a ley en comento</w:t>
      </w:r>
      <w:r w:rsidR="006C60E1" w:rsidRPr="00EA3866">
        <w:rPr>
          <w:rFonts w:ascii="Arial" w:eastAsia="Calibri" w:hAnsi="Arial" w:cs="Arial"/>
          <w:bCs/>
          <w:color w:val="000000"/>
          <w:sz w:val="24"/>
          <w:szCs w:val="24"/>
        </w:rPr>
        <w:t>, en relación con el diverso 105 de la Constitución Federal.</w:t>
      </w:r>
    </w:p>
    <w:p w:rsidR="00F11966" w:rsidRPr="00EA3866" w:rsidRDefault="00F11966" w:rsidP="00616B97">
      <w:pPr>
        <w:pStyle w:val="Prrafodelista"/>
        <w:spacing w:after="0" w:line="240" w:lineRule="auto"/>
        <w:jc w:val="both"/>
        <w:rPr>
          <w:rFonts w:ascii="Arial" w:eastAsia="Calibri" w:hAnsi="Arial" w:cs="Arial"/>
          <w:bCs/>
          <w:color w:val="000000"/>
          <w:sz w:val="24"/>
          <w:szCs w:val="24"/>
        </w:rPr>
      </w:pPr>
    </w:p>
    <w:p w:rsidR="00EA3866" w:rsidRDefault="00EA3866" w:rsidP="00616B97">
      <w:pPr>
        <w:spacing w:after="0" w:line="240" w:lineRule="auto"/>
        <w:jc w:val="both"/>
        <w:rPr>
          <w:rFonts w:ascii="Arial" w:eastAsia="Calibri" w:hAnsi="Arial" w:cs="Arial"/>
          <w:b/>
          <w:bCs/>
          <w:color w:val="000000"/>
          <w:sz w:val="24"/>
          <w:szCs w:val="24"/>
        </w:rPr>
      </w:pPr>
    </w:p>
    <w:p w:rsidR="00616B97" w:rsidRPr="00EA3866" w:rsidRDefault="006F2BFA" w:rsidP="00616B97">
      <w:pPr>
        <w:spacing w:after="0" w:line="240" w:lineRule="auto"/>
        <w:jc w:val="both"/>
        <w:rPr>
          <w:rFonts w:ascii="Arial" w:eastAsia="Calibri" w:hAnsi="Arial" w:cs="Arial"/>
          <w:b/>
          <w:bCs/>
          <w:color w:val="000000"/>
          <w:sz w:val="24"/>
          <w:szCs w:val="24"/>
        </w:rPr>
      </w:pPr>
      <w:r w:rsidRPr="00EA3866">
        <w:rPr>
          <w:rFonts w:ascii="Arial" w:eastAsia="Calibri" w:hAnsi="Arial" w:cs="Arial"/>
          <w:b/>
          <w:bCs/>
          <w:color w:val="000000"/>
          <w:sz w:val="24"/>
          <w:szCs w:val="24"/>
        </w:rPr>
        <w:t>Votación</w:t>
      </w:r>
      <w:r w:rsidR="00616B97" w:rsidRPr="00EA3866">
        <w:rPr>
          <w:rFonts w:ascii="Arial" w:eastAsia="Calibri" w:hAnsi="Arial" w:cs="Arial"/>
          <w:b/>
          <w:bCs/>
          <w:color w:val="000000"/>
          <w:sz w:val="24"/>
          <w:szCs w:val="24"/>
        </w:rPr>
        <w:t>:</w:t>
      </w:r>
    </w:p>
    <w:p w:rsidR="003D0841" w:rsidRPr="00EA3866" w:rsidRDefault="003D0841" w:rsidP="00616B97">
      <w:pPr>
        <w:spacing w:after="0" w:line="240" w:lineRule="auto"/>
        <w:jc w:val="both"/>
        <w:rPr>
          <w:rFonts w:ascii="Arial" w:eastAsia="Calibri" w:hAnsi="Arial" w:cs="Arial"/>
          <w:bCs/>
          <w:color w:val="000000"/>
          <w:sz w:val="24"/>
          <w:szCs w:val="24"/>
        </w:rPr>
      </w:pPr>
      <w:r w:rsidRPr="00EA3866">
        <w:rPr>
          <w:rFonts w:ascii="Arial" w:eastAsia="Calibri" w:hAnsi="Arial" w:cs="Arial"/>
          <w:bCs/>
          <w:color w:val="000000"/>
          <w:sz w:val="24"/>
          <w:szCs w:val="24"/>
        </w:rPr>
        <w:lastRenderedPageBreak/>
        <w:t>Por unanimidad</w:t>
      </w:r>
      <w:r w:rsidR="00616B97" w:rsidRPr="00EA3866">
        <w:rPr>
          <w:rFonts w:ascii="Arial" w:eastAsia="Calibri" w:hAnsi="Arial" w:cs="Arial"/>
          <w:bCs/>
          <w:color w:val="000000"/>
          <w:sz w:val="24"/>
          <w:szCs w:val="24"/>
        </w:rPr>
        <w:t xml:space="preserve"> de</w:t>
      </w:r>
      <w:r w:rsidRPr="00EA3866">
        <w:rPr>
          <w:rFonts w:ascii="Arial" w:eastAsia="Calibri" w:hAnsi="Arial" w:cs="Arial"/>
          <w:bCs/>
          <w:color w:val="000000"/>
          <w:sz w:val="24"/>
          <w:szCs w:val="24"/>
        </w:rPr>
        <w:t xml:space="preserve"> cinco votos, se declara el sobreseimiento de</w:t>
      </w:r>
      <w:r w:rsidR="00443AC1" w:rsidRPr="00EA3866">
        <w:rPr>
          <w:rFonts w:ascii="Arial" w:eastAsia="Calibri" w:hAnsi="Arial" w:cs="Arial"/>
          <w:bCs/>
          <w:color w:val="000000"/>
          <w:sz w:val="24"/>
          <w:szCs w:val="24"/>
        </w:rPr>
        <w:t xml:space="preserve"> la controversia constitucional</w:t>
      </w:r>
      <w:r w:rsidRPr="00EA3866">
        <w:rPr>
          <w:rFonts w:ascii="Arial" w:eastAsia="Calibri" w:hAnsi="Arial" w:cs="Arial"/>
          <w:bCs/>
          <w:color w:val="000000"/>
          <w:sz w:val="24"/>
          <w:szCs w:val="24"/>
        </w:rPr>
        <w:t xml:space="preserve"> </w:t>
      </w:r>
      <w:r w:rsidR="00443AC1" w:rsidRPr="00EA3866">
        <w:rPr>
          <w:rFonts w:ascii="Arial" w:eastAsia="Calibri" w:hAnsi="Arial" w:cs="Arial"/>
          <w:bCs/>
          <w:color w:val="000000"/>
          <w:sz w:val="24"/>
          <w:szCs w:val="24"/>
        </w:rPr>
        <w:t>d</w:t>
      </w:r>
      <w:r w:rsidR="00E64575" w:rsidRPr="00EA3866">
        <w:rPr>
          <w:rFonts w:ascii="Arial" w:eastAsia="Calibri" w:hAnsi="Arial" w:cs="Arial"/>
          <w:bCs/>
          <w:color w:val="000000"/>
          <w:sz w:val="24"/>
          <w:szCs w:val="24"/>
        </w:rPr>
        <w:t>el cual u</w:t>
      </w:r>
      <w:r w:rsidRPr="00EA3866">
        <w:rPr>
          <w:rFonts w:ascii="Arial" w:eastAsia="Calibri" w:hAnsi="Arial" w:cs="Arial"/>
          <w:bCs/>
          <w:color w:val="000000"/>
          <w:sz w:val="24"/>
          <w:szCs w:val="24"/>
        </w:rPr>
        <w:t>n</w:t>
      </w:r>
      <w:r w:rsidR="00E64575" w:rsidRPr="00EA3866">
        <w:rPr>
          <w:rFonts w:ascii="Arial" w:eastAsia="Calibri" w:hAnsi="Arial" w:cs="Arial"/>
          <w:bCs/>
          <w:color w:val="000000"/>
          <w:sz w:val="24"/>
          <w:szCs w:val="24"/>
        </w:rPr>
        <w:t xml:space="preserve">o de los </w:t>
      </w:r>
      <w:r w:rsidRPr="00EA3866">
        <w:rPr>
          <w:rFonts w:ascii="Arial" w:eastAsia="Calibri" w:hAnsi="Arial" w:cs="Arial"/>
          <w:bCs/>
          <w:color w:val="000000"/>
          <w:sz w:val="24"/>
          <w:szCs w:val="24"/>
        </w:rPr>
        <w:t>Ministro</w:t>
      </w:r>
      <w:r w:rsidR="00FA4702">
        <w:rPr>
          <w:rFonts w:ascii="Arial" w:eastAsia="Calibri" w:hAnsi="Arial" w:cs="Arial"/>
          <w:bCs/>
          <w:color w:val="000000"/>
          <w:sz w:val="24"/>
          <w:szCs w:val="24"/>
        </w:rPr>
        <w:t>s</w:t>
      </w:r>
      <w:r w:rsidRPr="00EA3866">
        <w:rPr>
          <w:rFonts w:ascii="Arial" w:eastAsia="Calibri" w:hAnsi="Arial" w:cs="Arial"/>
          <w:bCs/>
          <w:color w:val="000000"/>
          <w:sz w:val="24"/>
          <w:szCs w:val="24"/>
        </w:rPr>
        <w:t xml:space="preserve"> </w:t>
      </w:r>
      <w:r w:rsidR="00E64575" w:rsidRPr="00EA3866">
        <w:rPr>
          <w:rFonts w:ascii="Arial" w:eastAsia="Calibri" w:hAnsi="Arial" w:cs="Arial"/>
          <w:bCs/>
          <w:color w:val="000000"/>
          <w:sz w:val="24"/>
          <w:szCs w:val="24"/>
        </w:rPr>
        <w:t>está</w:t>
      </w:r>
      <w:r w:rsidRPr="00EA3866">
        <w:rPr>
          <w:rFonts w:ascii="Arial" w:eastAsia="Calibri" w:hAnsi="Arial" w:cs="Arial"/>
          <w:bCs/>
          <w:color w:val="000000"/>
          <w:sz w:val="24"/>
          <w:szCs w:val="24"/>
        </w:rPr>
        <w:t xml:space="preserve"> </w:t>
      </w:r>
      <w:r w:rsidR="00E64575" w:rsidRPr="00EA3866">
        <w:rPr>
          <w:rFonts w:ascii="Arial" w:eastAsia="Calibri" w:hAnsi="Arial" w:cs="Arial"/>
          <w:bCs/>
          <w:color w:val="000000"/>
          <w:sz w:val="24"/>
          <w:szCs w:val="24"/>
        </w:rPr>
        <w:t xml:space="preserve">a </w:t>
      </w:r>
      <w:r w:rsidRPr="00EA3866">
        <w:rPr>
          <w:rFonts w:ascii="Arial" w:eastAsia="Calibri" w:hAnsi="Arial" w:cs="Arial"/>
          <w:bCs/>
          <w:color w:val="000000"/>
          <w:sz w:val="24"/>
          <w:szCs w:val="24"/>
        </w:rPr>
        <w:t xml:space="preserve">favor del </w:t>
      </w:r>
      <w:r w:rsidR="009174B8" w:rsidRPr="00EA3866">
        <w:rPr>
          <w:rFonts w:ascii="Arial" w:eastAsia="Calibri" w:hAnsi="Arial" w:cs="Arial"/>
          <w:bCs/>
          <w:color w:val="000000"/>
          <w:sz w:val="24"/>
          <w:szCs w:val="24"/>
        </w:rPr>
        <w:t>sentido,</w:t>
      </w:r>
      <w:r w:rsidR="00E64575" w:rsidRPr="00EA3866">
        <w:rPr>
          <w:rFonts w:ascii="Arial" w:eastAsia="Calibri" w:hAnsi="Arial" w:cs="Arial"/>
          <w:bCs/>
          <w:color w:val="000000"/>
          <w:sz w:val="24"/>
          <w:szCs w:val="24"/>
        </w:rPr>
        <w:t xml:space="preserve"> </w:t>
      </w:r>
      <w:r w:rsidRPr="00EA3866">
        <w:rPr>
          <w:rFonts w:ascii="Arial" w:eastAsia="Calibri" w:hAnsi="Arial" w:cs="Arial"/>
          <w:bCs/>
          <w:color w:val="000000"/>
          <w:sz w:val="24"/>
          <w:szCs w:val="24"/>
        </w:rPr>
        <w:t>por consideraciones distintas.</w:t>
      </w:r>
    </w:p>
    <w:p w:rsidR="00616B97" w:rsidRDefault="00616B97" w:rsidP="00616B97">
      <w:pPr>
        <w:spacing w:after="0" w:line="240" w:lineRule="auto"/>
        <w:jc w:val="both"/>
        <w:rPr>
          <w:rFonts w:ascii="Arial" w:eastAsia="Calibri" w:hAnsi="Arial" w:cs="Arial"/>
          <w:bCs/>
          <w:color w:val="000000"/>
          <w:sz w:val="24"/>
          <w:szCs w:val="24"/>
        </w:rPr>
      </w:pPr>
    </w:p>
    <w:p w:rsidR="00EA3866" w:rsidRPr="00EA3866" w:rsidRDefault="00EA3866" w:rsidP="00616B97">
      <w:pPr>
        <w:spacing w:after="0" w:line="240" w:lineRule="auto"/>
        <w:jc w:val="both"/>
        <w:rPr>
          <w:rFonts w:ascii="Arial" w:eastAsia="Calibri" w:hAnsi="Arial" w:cs="Arial"/>
          <w:bCs/>
          <w:color w:val="000000"/>
          <w:sz w:val="24"/>
          <w:szCs w:val="24"/>
        </w:rPr>
      </w:pPr>
    </w:p>
    <w:p w:rsidR="00EC4687" w:rsidRPr="00EA3866" w:rsidRDefault="00443AC1" w:rsidP="006D5A83">
      <w:pPr>
        <w:spacing w:after="0" w:line="240" w:lineRule="auto"/>
        <w:jc w:val="both"/>
        <w:rPr>
          <w:rFonts w:ascii="Arial" w:hAnsi="Arial" w:cs="Arial"/>
          <w:sz w:val="24"/>
          <w:szCs w:val="24"/>
        </w:rPr>
      </w:pPr>
      <w:r w:rsidRPr="00EA3866">
        <w:rPr>
          <w:rFonts w:ascii="Arial" w:eastAsia="Calibri" w:hAnsi="Arial" w:cs="Arial"/>
          <w:b/>
          <w:bCs/>
          <w:color w:val="000000"/>
          <w:sz w:val="24"/>
          <w:szCs w:val="24"/>
        </w:rPr>
        <w:t xml:space="preserve">DECLARA </w:t>
      </w:r>
      <w:r w:rsidR="00616B97" w:rsidRPr="00EA3866">
        <w:rPr>
          <w:rFonts w:ascii="Arial" w:eastAsia="Calibri" w:hAnsi="Arial" w:cs="Arial"/>
          <w:b/>
          <w:bCs/>
          <w:color w:val="000000"/>
          <w:sz w:val="24"/>
          <w:szCs w:val="24"/>
        </w:rPr>
        <w:t>RESUELTA L</w:t>
      </w:r>
      <w:r w:rsidR="003D0841" w:rsidRPr="00EA3866">
        <w:rPr>
          <w:rFonts w:ascii="Arial" w:eastAsia="Calibri" w:hAnsi="Arial" w:cs="Arial"/>
          <w:b/>
          <w:bCs/>
          <w:color w:val="000000"/>
          <w:sz w:val="24"/>
          <w:szCs w:val="24"/>
        </w:rPr>
        <w:t>A CONTROVERSIA CONSTITUCIONAL 77/2017</w:t>
      </w:r>
      <w:r w:rsidR="00616B97" w:rsidRPr="00EA3866">
        <w:rPr>
          <w:rFonts w:ascii="Arial" w:eastAsia="Calibri" w:hAnsi="Arial" w:cs="Arial"/>
          <w:b/>
          <w:bCs/>
          <w:color w:val="000000"/>
          <w:sz w:val="24"/>
          <w:szCs w:val="24"/>
        </w:rPr>
        <w:t>, CON LA VOTACIÓN Y CON EL SENTIDO CON QUE SE HA DETERMINADO.</w:t>
      </w:r>
    </w:p>
    <w:sectPr w:rsidR="00EC4687" w:rsidRPr="00EA3866" w:rsidSect="00616462">
      <w:headerReference w:type="default" r:id="rId8"/>
      <w:footerReference w:type="default" r:id="rId9"/>
      <w:pgSz w:w="12240" w:h="15840"/>
      <w:pgMar w:top="18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A12" w:rsidRDefault="00792A12" w:rsidP="002162D0">
      <w:pPr>
        <w:spacing w:after="0" w:line="240" w:lineRule="auto"/>
      </w:pPr>
      <w:r>
        <w:separator/>
      </w:r>
    </w:p>
  </w:endnote>
  <w:endnote w:type="continuationSeparator" w:id="0">
    <w:p w:rsidR="00792A12" w:rsidRDefault="00792A12" w:rsidP="0021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860461"/>
      <w:docPartObj>
        <w:docPartGallery w:val="Page Numbers (Bottom of Page)"/>
        <w:docPartUnique/>
      </w:docPartObj>
    </w:sdtPr>
    <w:sdtEndPr/>
    <w:sdtContent>
      <w:p w:rsidR="00616462" w:rsidRDefault="006C60E1">
        <w:pPr>
          <w:pStyle w:val="Piedepgina"/>
          <w:jc w:val="center"/>
        </w:pPr>
        <w:r>
          <w:fldChar w:fldCharType="begin"/>
        </w:r>
        <w:r>
          <w:instrText>PAGE   \* MERGEFORMAT</w:instrText>
        </w:r>
        <w:r>
          <w:fldChar w:fldCharType="separate"/>
        </w:r>
        <w:r w:rsidR="00474755" w:rsidRPr="00474755">
          <w:rPr>
            <w:noProof/>
            <w:lang w:val="es-ES"/>
          </w:rPr>
          <w:t>1</w:t>
        </w:r>
        <w:r>
          <w:fldChar w:fldCharType="end"/>
        </w:r>
      </w:p>
    </w:sdtContent>
  </w:sdt>
  <w:p w:rsidR="00616462" w:rsidRDefault="006164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A12" w:rsidRDefault="00792A12" w:rsidP="002162D0">
      <w:pPr>
        <w:spacing w:after="0" w:line="240" w:lineRule="auto"/>
      </w:pPr>
      <w:r>
        <w:separator/>
      </w:r>
    </w:p>
  </w:footnote>
  <w:footnote w:type="continuationSeparator" w:id="0">
    <w:p w:rsidR="00792A12" w:rsidRDefault="00792A12" w:rsidP="00216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62" w:rsidRPr="00B63991" w:rsidRDefault="006C60E1" w:rsidP="00616462">
    <w:pPr>
      <w:pStyle w:val="Encabezado"/>
      <w:tabs>
        <w:tab w:val="left" w:pos="5104"/>
      </w:tabs>
      <w:rPr>
        <w:rFonts w:ascii="Gloucester MT Extra Condensed" w:hAnsi="Gloucester MT Extra Condensed"/>
        <w:color w:val="660033"/>
        <w:sz w:val="24"/>
      </w:rPr>
    </w:pPr>
    <w:r>
      <w:rPr>
        <w:noProof/>
        <w:lang w:val="en-US"/>
      </w:rPr>
      <w:drawing>
        <wp:anchor distT="0" distB="0" distL="114300" distR="114300" simplePos="0" relativeHeight="251659264" behindDoc="1" locked="0" layoutInCell="1" allowOverlap="1" wp14:anchorId="4A002302" wp14:editId="024BE1EA">
          <wp:simplePos x="0" y="0"/>
          <wp:positionH relativeFrom="column">
            <wp:posOffset>-521970</wp:posOffset>
          </wp:positionH>
          <wp:positionV relativeFrom="paragraph">
            <wp:posOffset>-387350</wp:posOffset>
          </wp:positionV>
          <wp:extent cx="1079500" cy="704850"/>
          <wp:effectExtent l="0" t="0" r="6350" b="0"/>
          <wp:wrapThrough wrapText="bothSides">
            <wp:wrapPolygon edited="0">
              <wp:start x="0" y="0"/>
              <wp:lineTo x="0" y="21016"/>
              <wp:lineTo x="21346" y="21016"/>
              <wp:lineTo x="21346" y="0"/>
              <wp:lineTo x="0" y="0"/>
            </wp:wrapPolygon>
          </wp:wrapThrough>
          <wp:docPr id="5" name="Imagen 5" descr="http://intranet.te.gob.mx/identidad/logos_TEPJF_imagen/nuevo_logo_TEPJF_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te.gob.mx/identidad/logos_TEPJF_imagen/nuevo_logo_TEPJF_caf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70485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61312" behindDoc="0" locked="0" layoutInCell="1" allowOverlap="1" wp14:anchorId="34268DD9" wp14:editId="461C8E62">
              <wp:simplePos x="0" y="0"/>
              <wp:positionH relativeFrom="column">
                <wp:posOffset>4317555</wp:posOffset>
              </wp:positionH>
              <wp:positionV relativeFrom="paragraph">
                <wp:posOffset>-115210</wp:posOffset>
              </wp:positionV>
              <wp:extent cx="2237740" cy="661917"/>
              <wp:effectExtent l="0" t="0" r="3175" b="50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61917"/>
                      </a:xfrm>
                      <a:prstGeom prst="rect">
                        <a:avLst/>
                      </a:prstGeom>
                      <a:solidFill>
                        <a:srgbClr val="FFFFFF"/>
                      </a:solidFill>
                      <a:ln w="9525">
                        <a:noFill/>
                        <a:miter lim="800000"/>
                        <a:headEnd/>
                        <a:tailEnd/>
                      </a:ln>
                    </wps:spPr>
                    <wps:txbx>
                      <w:txbxContent>
                        <w:p w:rsidR="00616462" w:rsidRPr="00DB0AF6" w:rsidRDefault="006C60E1" w:rsidP="00616462">
                          <w:pPr>
                            <w:spacing w:after="0"/>
                            <w:jc w:val="both"/>
                            <w:rPr>
                              <w:rFonts w:ascii="Gloucester MT Extra Condensed" w:hAnsi="Gloucester MT Extra Condensed"/>
                              <w:color w:val="660033"/>
                              <w:sz w:val="24"/>
                            </w:rPr>
                          </w:pPr>
                          <w:r w:rsidRPr="00DB0AF6">
                            <w:rPr>
                              <w:rFonts w:ascii="Gloucester MT Extra Condensed" w:hAnsi="Gloucester MT Extra Condensed"/>
                              <w:color w:val="660033"/>
                              <w:sz w:val="24"/>
                            </w:rPr>
                            <w:t>Suprema Corte de Justicia de la Nación</w:t>
                          </w:r>
                        </w:p>
                        <w:p w:rsidR="00616462" w:rsidRPr="00DC10FB" w:rsidRDefault="006C60E1" w:rsidP="00616462">
                          <w:pPr>
                            <w:spacing w:after="0"/>
                            <w:jc w:val="both"/>
                            <w:rPr>
                              <w:rFonts w:ascii="Gloucester MT Extra Condensed" w:hAnsi="Gloucester MT Extra Condensed"/>
                              <w:color w:val="660033"/>
                              <w:sz w:val="24"/>
                            </w:rPr>
                          </w:pPr>
                          <w:r>
                            <w:rPr>
                              <w:rFonts w:ascii="Gloucester MT Extra Condensed" w:hAnsi="Gloucester MT Extra Condensed"/>
                              <w:color w:val="660033"/>
                              <w:sz w:val="24"/>
                            </w:rPr>
                            <w:t>“</w:t>
                          </w:r>
                          <w:r w:rsidR="003C1EF5">
                            <w:rPr>
                              <w:rFonts w:ascii="Gloucester MT Extra Condensed" w:hAnsi="Gloucester MT Extra Condensed"/>
                              <w:color w:val="660033"/>
                              <w:sz w:val="24"/>
                            </w:rPr>
                            <w:t>Síntesis</w:t>
                          </w:r>
                          <w:r w:rsidRPr="00DB0AF6">
                            <w:rPr>
                              <w:rFonts w:ascii="Gloucester MT Extra Condensed" w:hAnsi="Gloucester MT Extra Condensed"/>
                              <w:color w:val="660033"/>
                              <w:sz w:val="24"/>
                            </w:rPr>
                            <w:t>”</w:t>
                          </w:r>
                        </w:p>
                        <w:p w:rsidR="00616462" w:rsidRPr="003C1EF5" w:rsidRDefault="003C1EF5" w:rsidP="00616462">
                          <w:pPr>
                            <w:spacing w:after="0"/>
                            <w:jc w:val="both"/>
                            <w:rPr>
                              <w:rFonts w:ascii="Gloucester MT Extra Condensed" w:hAnsi="Gloucester MT Extra Condensed"/>
                              <w:sz w:val="24"/>
                            </w:rPr>
                          </w:pPr>
                          <w:r w:rsidRPr="003C1EF5">
                            <w:rPr>
                              <w:rFonts w:ascii="Gloucester MT Extra Condensed" w:hAnsi="Gloucester MT Extra Condensed"/>
                              <w:sz w:val="24"/>
                            </w:rPr>
                            <w:t>31 de enero de 2018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type w14:anchorId="34268DD9" id="_x0000_t202" coordsize="21600,21600" o:spt="202" path="m,l,21600r21600,l21600,xe">
              <v:stroke joinstyle="miter"/>
              <v:path gradientshapeok="t" o:connecttype="rect"/>
            </v:shapetype>
            <v:shape id="Cuadro de texto 2" o:spid="_x0000_s1026" type="#_x0000_t202" style="position:absolute;margin-left:339.95pt;margin-top:-9.05pt;width:176.2pt;height:52.1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" stroked="f">
              <v:textbox>
                <w:txbxContent>
                  <w:p w:rsidR="00616462" w:rsidRPr="00DB0AF6" w:rsidRDefault="006C60E1" w:rsidP="00616462">
                    <w:pPr>
                      <w:spacing w:after="0"/>
                      <w:jc w:val="both"/>
                      <w:rPr>
                        <w:rFonts w:ascii="Gloucester MT Extra Condensed" w:hAnsi="Gloucester MT Extra Condensed"/>
                        <w:color w:val="660033"/>
                        <w:sz w:val="24"/>
                      </w:rPr>
                    </w:pPr>
                    <w:r w:rsidRPr="00DB0AF6">
                      <w:rPr>
                        <w:rFonts w:ascii="Gloucester MT Extra Condensed" w:hAnsi="Gloucester MT Extra Condensed"/>
                        <w:color w:val="660033"/>
                        <w:sz w:val="24"/>
                      </w:rPr>
                      <w:t>Suprema Corte de Justicia de la Nación</w:t>
                    </w:r>
                  </w:p>
                  <w:p w:rsidR="00616462" w:rsidRPr="00DC10FB" w:rsidRDefault="006C60E1" w:rsidP="00616462">
                    <w:pPr>
                      <w:spacing w:after="0"/>
                      <w:jc w:val="both"/>
                      <w:rPr>
                        <w:rFonts w:ascii="Gloucester MT Extra Condensed" w:hAnsi="Gloucester MT Extra Condensed"/>
                        <w:color w:val="660033"/>
                        <w:sz w:val="24"/>
                      </w:rPr>
                    </w:pPr>
                    <w:r>
                      <w:rPr>
                        <w:rFonts w:ascii="Gloucester MT Extra Condensed" w:hAnsi="Gloucester MT Extra Condensed"/>
                        <w:color w:val="660033"/>
                        <w:sz w:val="24"/>
                      </w:rPr>
                      <w:t>“</w:t>
                    </w:r>
                    <w:r w:rsidR="003C1EF5">
                      <w:rPr>
                        <w:rFonts w:ascii="Gloucester MT Extra Condensed" w:hAnsi="Gloucester MT Extra Condensed"/>
                        <w:color w:val="660033"/>
                        <w:sz w:val="24"/>
                      </w:rPr>
                      <w:t>Síntesis</w:t>
                    </w:r>
                    <w:r w:rsidRPr="00DB0AF6">
                      <w:rPr>
                        <w:rFonts w:ascii="Gloucester MT Extra Condensed" w:hAnsi="Gloucester MT Extra Condensed"/>
                        <w:color w:val="660033"/>
                        <w:sz w:val="24"/>
                      </w:rPr>
                      <w:t>”</w:t>
                    </w:r>
                  </w:p>
                  <w:p w:rsidR="00616462" w:rsidRPr="003C1EF5" w:rsidRDefault="003C1EF5" w:rsidP="00616462">
                    <w:pPr>
                      <w:spacing w:after="0"/>
                      <w:jc w:val="both"/>
                      <w:rPr>
                        <w:rFonts w:ascii="Gloucester MT Extra Condensed" w:hAnsi="Gloucester MT Extra Condensed"/>
                        <w:sz w:val="24"/>
                      </w:rPr>
                    </w:pPr>
                    <w:r w:rsidRPr="003C1EF5">
                      <w:rPr>
                        <w:rFonts w:ascii="Gloucester MT Extra Condensed" w:hAnsi="Gloucester MT Extra Condensed"/>
                        <w:sz w:val="24"/>
                      </w:rPr>
                      <w:t>31 de enero de 2018</w:t>
                    </w:r>
                  </w:p>
                </w:txbxContent>
              </v:textbox>
            </v:shape>
          </w:pict>
        </mc:Fallback>
      </mc:AlternateContent>
    </w:r>
    <w:r>
      <w:tab/>
    </w:r>
  </w:p>
  <w:p w:rsidR="00616462" w:rsidRDefault="006C60E1" w:rsidP="00616462">
    <w:pPr>
      <w:pStyle w:val="Encabezado"/>
      <w:tabs>
        <w:tab w:val="left" w:pos="5104"/>
      </w:tabs>
    </w:pPr>
    <w:r>
      <w:rPr>
        <w:noProof/>
        <w:lang w:val="en-US"/>
      </w:rPr>
      <mc:AlternateContent>
        <mc:Choice Requires="wps">
          <w:drawing>
            <wp:anchor distT="0" distB="0" distL="114300" distR="114300" simplePos="0" relativeHeight="251660288" behindDoc="0" locked="0" layoutInCell="1" allowOverlap="1" wp14:anchorId="508F1A32" wp14:editId="1CECCCC7">
              <wp:simplePos x="0" y="0"/>
              <wp:positionH relativeFrom="column">
                <wp:posOffset>-1038860</wp:posOffset>
              </wp:positionH>
              <wp:positionV relativeFrom="paragraph">
                <wp:posOffset>140335</wp:posOffset>
              </wp:positionV>
              <wp:extent cx="2244725" cy="327660"/>
              <wp:effectExtent l="0" t="0" r="3175"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27660"/>
                      </a:xfrm>
                      <a:prstGeom prst="rect">
                        <a:avLst/>
                      </a:prstGeom>
                      <a:solidFill>
                        <a:srgbClr val="FFFFFF"/>
                      </a:solidFill>
                      <a:ln w="9525">
                        <a:noFill/>
                        <a:miter lim="800000"/>
                        <a:headEnd/>
                        <a:tailEnd/>
                      </a:ln>
                    </wps:spPr>
                    <wps:txbx>
                      <w:txbxContent>
                        <w:p w:rsidR="00616462" w:rsidRPr="00257504" w:rsidRDefault="006C60E1" w:rsidP="00616462">
                          <w:pPr>
                            <w:spacing w:after="0" w:line="240" w:lineRule="auto"/>
                            <w:jc w:val="center"/>
                            <w:rPr>
                              <w:rFonts w:ascii="Gloucester MT Extra Condensed" w:hAnsi="Gloucester MT Extra Condensed"/>
                              <w:color w:val="003300"/>
                              <w:sz w:val="16"/>
                            </w:rPr>
                          </w:pPr>
                          <w:r w:rsidRPr="00257504">
                            <w:rPr>
                              <w:rFonts w:ascii="Gloucester MT Extra Condensed" w:hAnsi="Gloucester MT Extra Condensed"/>
                              <w:color w:val="003300"/>
                              <w:sz w:val="16"/>
                            </w:rPr>
                            <w:t>Coordinación de Jurisprudencia, Seguimiento y Consulta</w:t>
                          </w:r>
                        </w:p>
                        <w:p w:rsidR="00616462" w:rsidRPr="00257504" w:rsidRDefault="006C60E1" w:rsidP="00616462">
                          <w:pPr>
                            <w:spacing w:after="0" w:line="240" w:lineRule="auto"/>
                            <w:jc w:val="center"/>
                            <w:rPr>
                              <w:rFonts w:ascii="Gloucester MT Extra Condensed" w:hAnsi="Gloucester MT Extra Condensed"/>
                              <w:color w:val="003300"/>
                              <w:sz w:val="16"/>
                            </w:rPr>
                          </w:pPr>
                          <w:r w:rsidRPr="00257504">
                            <w:rPr>
                              <w:rFonts w:ascii="Gloucester MT Extra Condensed" w:hAnsi="Gloucester MT Extra Condensed"/>
                              <w:color w:val="003300"/>
                              <w:sz w:val="16"/>
                            </w:rPr>
                            <w:t>Dirección de Seguimiento y Análisis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 w14:anchorId="508F1A32" id="_x0000_s1027" type="#_x0000_t202" style="position:absolute;margin-left:-81.8pt;margin-top:11.05pt;width:176.75pt;height:25.8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" stroked="f">
              <v:textbox style="mso-fit-shape-to-text:t">
                <w:txbxContent>
                  <w:p w:rsidR="00616462" w:rsidRPr="00257504" w:rsidRDefault="006C60E1" w:rsidP="00616462">
                    <w:pPr>
                      <w:spacing w:after="0" w:line="240" w:lineRule="auto"/>
                      <w:jc w:val="center"/>
                      <w:rPr>
                        <w:rFonts w:ascii="Gloucester MT Extra Condensed" w:hAnsi="Gloucester MT Extra Condensed"/>
                        <w:color w:val="003300"/>
                        <w:sz w:val="16"/>
                      </w:rPr>
                    </w:pPr>
                    <w:r w:rsidRPr="00257504">
                      <w:rPr>
                        <w:rFonts w:ascii="Gloucester MT Extra Condensed" w:hAnsi="Gloucester MT Extra Condensed"/>
                        <w:color w:val="003300"/>
                        <w:sz w:val="16"/>
                      </w:rPr>
                      <w:t>Coordinación de Jurisprudencia, Seguimiento y Consulta</w:t>
                    </w:r>
                  </w:p>
                  <w:p w:rsidR="00616462" w:rsidRPr="00257504" w:rsidRDefault="006C60E1" w:rsidP="00616462">
                    <w:pPr>
                      <w:spacing w:after="0" w:line="240" w:lineRule="auto"/>
                      <w:jc w:val="center"/>
                      <w:rPr>
                        <w:rFonts w:ascii="Gloucester MT Extra Condensed" w:hAnsi="Gloucester MT Extra Condensed"/>
                        <w:color w:val="003300"/>
                        <w:sz w:val="16"/>
                      </w:rPr>
                    </w:pPr>
                    <w:r w:rsidRPr="00257504">
                      <w:rPr>
                        <w:rFonts w:ascii="Gloucester MT Extra Condensed" w:hAnsi="Gloucester MT Extra Condensed"/>
                        <w:color w:val="003300"/>
                        <w:sz w:val="16"/>
                      </w:rPr>
                      <w:t>Dirección de Seguimiento y Análisis</w:t>
                    </w:r>
                  </w:p>
                </w:txbxContent>
              </v:textbox>
            </v:shape>
          </w:pict>
        </mc:Fallback>
      </mc:AlternateContent>
    </w:r>
    <w:r>
      <w:tab/>
    </w:r>
    <w:r>
      <w:tab/>
    </w:r>
  </w:p>
  <w:p w:rsidR="00616462" w:rsidRDefault="006C60E1" w:rsidP="00616462">
    <w:pPr>
      <w:pStyle w:val="Encabezado"/>
      <w:tabs>
        <w:tab w:val="clear" w:pos="8838"/>
      </w:tabs>
    </w:pPr>
    <w:r>
      <w:tab/>
    </w:r>
  </w:p>
  <w:p w:rsidR="00616462" w:rsidRDefault="006C60E1" w:rsidP="00616462">
    <w:pPr>
      <w:pStyle w:val="Encabezado"/>
      <w:tabs>
        <w:tab w:val="clear" w:pos="8838"/>
      </w:tabs>
    </w:pPr>
    <w:r>
      <w:rPr>
        <w:noProof/>
        <w:lang w:val="en-US"/>
      </w:rPr>
      <mc:AlternateContent>
        <mc:Choice Requires="wps">
          <w:drawing>
            <wp:anchor distT="4294967295" distB="4294967295" distL="114300" distR="114300" simplePos="0" relativeHeight="251663360" behindDoc="0" locked="0" layoutInCell="1" allowOverlap="1" wp14:anchorId="4378B540" wp14:editId="08CE329E">
              <wp:simplePos x="0" y="0"/>
              <wp:positionH relativeFrom="column">
                <wp:posOffset>-708660</wp:posOffset>
              </wp:positionH>
              <wp:positionV relativeFrom="paragraph">
                <wp:posOffset>133985</wp:posOffset>
              </wp:positionV>
              <wp:extent cx="6965315" cy="0"/>
              <wp:effectExtent l="0" t="19050" r="6985"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5315" cy="0"/>
                      </a:xfrm>
                      <a:prstGeom prst="line">
                        <a:avLst/>
                      </a:prstGeom>
                      <a:ln w="28575">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4DF0812" id="4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10.55pt" to="492.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" strokecolor="#a50021" strokeweight="2.25pt">
              <v:stroke joinstyle="miter"/>
              <o:lock v:ext="edit" shapetype="f"/>
            </v:line>
          </w:pict>
        </mc:Fallback>
      </mc:AlternateContent>
    </w:r>
    <w:r>
      <w:rPr>
        <w:noProof/>
        <w:lang w:val="en-US"/>
      </w:rPr>
      <mc:AlternateContent>
        <mc:Choice Requires="wps">
          <w:drawing>
            <wp:anchor distT="4294967295" distB="4294967295" distL="114300" distR="114300" simplePos="0" relativeHeight="251662336" behindDoc="0" locked="0" layoutInCell="1" allowOverlap="1" wp14:anchorId="69788D1F" wp14:editId="50CAC12B">
              <wp:simplePos x="0" y="0"/>
              <wp:positionH relativeFrom="column">
                <wp:posOffset>-707409</wp:posOffset>
              </wp:positionH>
              <wp:positionV relativeFrom="paragraph">
                <wp:posOffset>96567</wp:posOffset>
              </wp:positionV>
              <wp:extent cx="6965315" cy="0"/>
              <wp:effectExtent l="0" t="0" r="2603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5315" cy="0"/>
                      </a:xfrm>
                      <a:prstGeom prst="line">
                        <a:avLst/>
                      </a:prstGeom>
                      <a:ln w="1270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30EF511"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7.6pt" to="492.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" strokecolor="#a50021"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36A8"/>
    <w:multiLevelType w:val="hybridMultilevel"/>
    <w:tmpl w:val="2026B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514FDB"/>
    <w:multiLevelType w:val="hybridMultilevel"/>
    <w:tmpl w:val="B9AC7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A874A2"/>
    <w:multiLevelType w:val="hybridMultilevel"/>
    <w:tmpl w:val="74288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97"/>
    <w:rsid w:val="00021792"/>
    <w:rsid w:val="00056D19"/>
    <w:rsid w:val="0005704C"/>
    <w:rsid w:val="00095E9B"/>
    <w:rsid w:val="000A4445"/>
    <w:rsid w:val="0010111E"/>
    <w:rsid w:val="00200047"/>
    <w:rsid w:val="002162D0"/>
    <w:rsid w:val="0023534A"/>
    <w:rsid w:val="002D3D34"/>
    <w:rsid w:val="00300697"/>
    <w:rsid w:val="003014B6"/>
    <w:rsid w:val="00326162"/>
    <w:rsid w:val="00346C9A"/>
    <w:rsid w:val="00355DD3"/>
    <w:rsid w:val="003C1EF5"/>
    <w:rsid w:val="003D0841"/>
    <w:rsid w:val="003D5A97"/>
    <w:rsid w:val="00443AC1"/>
    <w:rsid w:val="00474755"/>
    <w:rsid w:val="004C2DC5"/>
    <w:rsid w:val="004C64A7"/>
    <w:rsid w:val="004E0F60"/>
    <w:rsid w:val="00513EB7"/>
    <w:rsid w:val="00616462"/>
    <w:rsid w:val="00616B97"/>
    <w:rsid w:val="00635449"/>
    <w:rsid w:val="00640EFF"/>
    <w:rsid w:val="00656C8B"/>
    <w:rsid w:val="00656FDF"/>
    <w:rsid w:val="006748D1"/>
    <w:rsid w:val="006775BD"/>
    <w:rsid w:val="006C60E1"/>
    <w:rsid w:val="006D5A83"/>
    <w:rsid w:val="006F2BFA"/>
    <w:rsid w:val="00727EFC"/>
    <w:rsid w:val="0076482C"/>
    <w:rsid w:val="00792A12"/>
    <w:rsid w:val="00811F5A"/>
    <w:rsid w:val="008243A3"/>
    <w:rsid w:val="00831628"/>
    <w:rsid w:val="00841DF7"/>
    <w:rsid w:val="008603F1"/>
    <w:rsid w:val="008A7103"/>
    <w:rsid w:val="008E0641"/>
    <w:rsid w:val="00916DF2"/>
    <w:rsid w:val="009174B8"/>
    <w:rsid w:val="00942937"/>
    <w:rsid w:val="009B0152"/>
    <w:rsid w:val="00A374A7"/>
    <w:rsid w:val="00A44A77"/>
    <w:rsid w:val="00AF5CE7"/>
    <w:rsid w:val="00AF722B"/>
    <w:rsid w:val="00B04C6F"/>
    <w:rsid w:val="00B44098"/>
    <w:rsid w:val="00B5698A"/>
    <w:rsid w:val="00B6230B"/>
    <w:rsid w:val="00B73997"/>
    <w:rsid w:val="00C0015F"/>
    <w:rsid w:val="00C33B36"/>
    <w:rsid w:val="00C376EB"/>
    <w:rsid w:val="00C75D5B"/>
    <w:rsid w:val="00D078DC"/>
    <w:rsid w:val="00D2630C"/>
    <w:rsid w:val="00D27FF9"/>
    <w:rsid w:val="00D625E8"/>
    <w:rsid w:val="00DC08B9"/>
    <w:rsid w:val="00E376BF"/>
    <w:rsid w:val="00E472DC"/>
    <w:rsid w:val="00E47349"/>
    <w:rsid w:val="00E64575"/>
    <w:rsid w:val="00EA3866"/>
    <w:rsid w:val="00EC4687"/>
    <w:rsid w:val="00F11966"/>
    <w:rsid w:val="00F80F0A"/>
    <w:rsid w:val="00F93ED1"/>
    <w:rsid w:val="00FA4702"/>
    <w:rsid w:val="00FC1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F38EC2-F6ED-4E2E-8C0C-241FE977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9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B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B97"/>
  </w:style>
  <w:style w:type="paragraph" w:styleId="Piedepgina">
    <w:name w:val="footer"/>
    <w:basedOn w:val="Normal"/>
    <w:link w:val="PiedepginaCar"/>
    <w:uiPriority w:val="99"/>
    <w:unhideWhenUsed/>
    <w:rsid w:val="00616B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B97"/>
  </w:style>
  <w:style w:type="paragraph" w:styleId="Prrafodelista">
    <w:name w:val="List Paragraph"/>
    <w:basedOn w:val="Normal"/>
    <w:uiPriority w:val="34"/>
    <w:qFormat/>
    <w:rsid w:val="00616B97"/>
    <w:pPr>
      <w:ind w:left="720"/>
      <w:contextualSpacing/>
    </w:pPr>
  </w:style>
  <w:style w:type="paragraph" w:styleId="Textodeglobo">
    <w:name w:val="Balloon Text"/>
    <w:basedOn w:val="Normal"/>
    <w:link w:val="TextodegloboCar"/>
    <w:uiPriority w:val="99"/>
    <w:semiHidden/>
    <w:unhideWhenUsed/>
    <w:rsid w:val="007648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4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629E-D706-4C8F-B3A3-E8E4D5C9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4690</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Terrazas Cárdenas</dc:creator>
  <cp:keywords/>
  <dc:description/>
  <cp:lastModifiedBy>Yutzumi Citlali Ponce Morales</cp:lastModifiedBy>
  <cp:revision>2</cp:revision>
  <cp:lastPrinted>2018-04-20T15:37:00Z</cp:lastPrinted>
  <dcterms:created xsi:type="dcterms:W3CDTF">2018-04-24T17:29:00Z</dcterms:created>
  <dcterms:modified xsi:type="dcterms:W3CDTF">2018-04-24T17:29:00Z</dcterms:modified>
</cp:coreProperties>
</file>