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86A9B" w14:textId="409DCD71" w:rsidR="00CD3D69" w:rsidRPr="00853434" w:rsidRDefault="00971A48" w:rsidP="00F87DD7">
      <w:pPr>
        <w:spacing w:after="240"/>
        <w:ind w:left="3402"/>
        <w:jc w:val="center"/>
        <w:rPr>
          <w:rFonts w:ascii="Century Gothic" w:hAnsi="Century Gothic" w:cs="Arial"/>
          <w:b/>
          <w:bCs/>
          <w:caps/>
          <w:sz w:val="26"/>
          <w:szCs w:val="26"/>
          <w:lang w:val="es-419"/>
        </w:rPr>
      </w:pPr>
      <w:r>
        <w:rPr>
          <w:rFonts w:ascii="Century Gothic" w:hAnsi="Century Gothic" w:cs="Arial"/>
          <w:b/>
          <w:bCs/>
          <w:caps/>
          <w:sz w:val="26"/>
          <w:szCs w:val="26"/>
          <w:lang w:val="es-419"/>
        </w:rPr>
        <w:t>R</w:t>
      </w:r>
      <w:r w:rsidR="00CD3D69" w:rsidRPr="00853434">
        <w:rPr>
          <w:rFonts w:ascii="Century Gothic" w:hAnsi="Century Gothic" w:cs="Arial"/>
          <w:b/>
          <w:bCs/>
          <w:caps/>
          <w:sz w:val="26"/>
          <w:szCs w:val="26"/>
          <w:lang w:val="es-419"/>
        </w:rPr>
        <w:t>ECURSO de RECONSIDERACIÓN</w:t>
      </w:r>
    </w:p>
    <w:p w14:paraId="200EBCE3" w14:textId="791F3746" w:rsidR="00CD3D69" w:rsidRPr="00853434" w:rsidRDefault="00CD3D69" w:rsidP="00A17C82">
      <w:pPr>
        <w:spacing w:before="240" w:after="240"/>
        <w:ind w:left="3969"/>
        <w:jc w:val="both"/>
        <w:rPr>
          <w:rFonts w:ascii="Century Gothic" w:hAnsi="Century Gothic" w:cs="Arial"/>
          <w:caps/>
          <w:sz w:val="26"/>
          <w:szCs w:val="26"/>
          <w:lang w:val="es-419"/>
        </w:rPr>
      </w:pPr>
      <w:r w:rsidRPr="00853434">
        <w:rPr>
          <w:rFonts w:ascii="Century Gothic" w:hAnsi="Century Gothic" w:cs="Arial"/>
          <w:b/>
          <w:bCs/>
          <w:caps/>
          <w:sz w:val="26"/>
          <w:szCs w:val="26"/>
          <w:lang w:val="es-419"/>
        </w:rPr>
        <w:t>EXPEDIENTE:</w:t>
      </w:r>
      <w:r w:rsidRPr="00853434">
        <w:rPr>
          <w:rFonts w:ascii="Century Gothic" w:hAnsi="Century Gothic" w:cs="Arial"/>
          <w:caps/>
          <w:sz w:val="26"/>
          <w:szCs w:val="26"/>
          <w:lang w:val="es-419"/>
        </w:rPr>
        <w:t xml:space="preserve"> SUP-REC</w:t>
      </w:r>
      <w:r w:rsidR="0018531D" w:rsidRPr="00853434">
        <w:rPr>
          <w:rFonts w:ascii="Century Gothic" w:hAnsi="Century Gothic" w:cs="Arial"/>
          <w:caps/>
          <w:sz w:val="26"/>
          <w:szCs w:val="26"/>
          <w:lang w:val="es-419"/>
        </w:rPr>
        <w:t>-</w:t>
      </w:r>
      <w:r w:rsidR="003A77FD">
        <w:rPr>
          <w:rFonts w:ascii="Century Gothic" w:hAnsi="Century Gothic" w:cs="Arial"/>
          <w:caps/>
          <w:sz w:val="26"/>
          <w:szCs w:val="26"/>
          <w:lang w:val="es-419"/>
        </w:rPr>
        <w:t>2</w:t>
      </w:r>
      <w:r w:rsidR="00F42211">
        <w:rPr>
          <w:rFonts w:ascii="Century Gothic" w:hAnsi="Century Gothic" w:cs="Arial"/>
          <w:caps/>
          <w:sz w:val="26"/>
          <w:szCs w:val="26"/>
          <w:lang w:val="es-419"/>
        </w:rPr>
        <w:t>74</w:t>
      </w:r>
      <w:r w:rsidR="006E5599" w:rsidRPr="00853434">
        <w:rPr>
          <w:rFonts w:ascii="Century Gothic" w:hAnsi="Century Gothic" w:cs="Arial"/>
          <w:caps/>
          <w:sz w:val="26"/>
          <w:szCs w:val="26"/>
          <w:lang w:val="es-419"/>
        </w:rPr>
        <w:t>/</w:t>
      </w:r>
      <w:r w:rsidRPr="00853434">
        <w:rPr>
          <w:rFonts w:ascii="Century Gothic" w:hAnsi="Century Gothic" w:cs="Arial"/>
          <w:caps/>
          <w:sz w:val="26"/>
          <w:szCs w:val="26"/>
          <w:lang w:val="es-419"/>
        </w:rPr>
        <w:t>202</w:t>
      </w:r>
      <w:r w:rsidR="00011C33">
        <w:rPr>
          <w:rFonts w:ascii="Century Gothic" w:hAnsi="Century Gothic" w:cs="Arial"/>
          <w:caps/>
          <w:sz w:val="26"/>
          <w:szCs w:val="26"/>
          <w:lang w:val="es-419"/>
        </w:rPr>
        <w:t>6</w:t>
      </w:r>
    </w:p>
    <w:p w14:paraId="2E3FD51E" w14:textId="16A701C5" w:rsidR="004306F2" w:rsidRPr="00B85E85" w:rsidRDefault="00561732" w:rsidP="00904CC6">
      <w:pPr>
        <w:spacing w:before="240" w:after="240"/>
        <w:ind w:left="3969"/>
        <w:jc w:val="both"/>
        <w:rPr>
          <w:rFonts w:ascii="Century Gothic" w:hAnsi="Century Gothic" w:cs="Arial"/>
          <w:sz w:val="26"/>
          <w:szCs w:val="26"/>
          <w:lang w:val="es-419"/>
        </w:rPr>
      </w:pPr>
      <w:r w:rsidRPr="00853434">
        <w:rPr>
          <w:rFonts w:ascii="Century Gothic" w:hAnsi="Century Gothic" w:cs="Arial"/>
          <w:b/>
          <w:bCs/>
          <w:sz w:val="26"/>
          <w:szCs w:val="26"/>
          <w:lang w:val="es-419"/>
        </w:rPr>
        <w:t>PARTE RECURRENTE</w:t>
      </w:r>
      <w:r w:rsidR="0052268D" w:rsidRPr="00853434">
        <w:rPr>
          <w:rFonts w:ascii="Century Gothic" w:hAnsi="Century Gothic" w:cs="Arial"/>
          <w:b/>
          <w:bCs/>
          <w:sz w:val="26"/>
          <w:szCs w:val="26"/>
          <w:lang w:val="es-419"/>
        </w:rPr>
        <w:t>:</w:t>
      </w:r>
      <w:r w:rsidR="0052268D" w:rsidRPr="00853434">
        <w:rPr>
          <w:rFonts w:ascii="Century Gothic" w:hAnsi="Century Gothic" w:cs="Arial"/>
          <w:sz w:val="26"/>
          <w:szCs w:val="26"/>
          <w:lang w:val="es-419"/>
        </w:rPr>
        <w:t xml:space="preserve"> </w:t>
      </w:r>
      <w:r w:rsidR="00B85E85">
        <w:rPr>
          <w:rFonts w:ascii="Century Gothic" w:hAnsi="Century Gothic" w:cs="Arial"/>
          <w:sz w:val="26"/>
          <w:szCs w:val="26"/>
          <w:lang w:val="es-419"/>
        </w:rPr>
        <w:t>ANDRÉS CONCEPCIÓN MIJES LLOVERA</w:t>
      </w:r>
    </w:p>
    <w:p w14:paraId="3EB0582F" w14:textId="2D7C1BC0" w:rsidR="00CD3D69" w:rsidRPr="00853434" w:rsidRDefault="00F44AA3" w:rsidP="00A17C82">
      <w:pPr>
        <w:spacing w:before="240" w:after="240"/>
        <w:ind w:left="3969"/>
        <w:jc w:val="both"/>
        <w:rPr>
          <w:rFonts w:ascii="Century Gothic" w:hAnsi="Century Gothic" w:cs="Arial"/>
          <w:caps/>
          <w:sz w:val="26"/>
          <w:szCs w:val="26"/>
          <w:lang w:val="es-419"/>
        </w:rPr>
      </w:pPr>
      <w:r w:rsidRPr="00853434">
        <w:rPr>
          <w:rFonts w:ascii="Century Gothic" w:hAnsi="Century Gothic" w:cs="Arial"/>
          <w:b/>
          <w:bCs/>
          <w:caps/>
          <w:sz w:val="26"/>
          <w:szCs w:val="26"/>
          <w:lang w:val="es-419"/>
        </w:rPr>
        <w:t xml:space="preserve">autoridad </w:t>
      </w:r>
      <w:r w:rsidR="00CD3D69" w:rsidRPr="00853434">
        <w:rPr>
          <w:rFonts w:ascii="Century Gothic" w:hAnsi="Century Gothic" w:cs="Arial"/>
          <w:b/>
          <w:bCs/>
          <w:caps/>
          <w:sz w:val="26"/>
          <w:szCs w:val="26"/>
          <w:lang w:val="es-419"/>
        </w:rPr>
        <w:t>RESPONSABLE:</w:t>
      </w:r>
      <w:r w:rsidR="004306F2" w:rsidRPr="00853434">
        <w:rPr>
          <w:rFonts w:ascii="Century Gothic" w:hAnsi="Century Gothic"/>
          <w:sz w:val="26"/>
          <w:szCs w:val="26"/>
        </w:rPr>
        <w:t xml:space="preserve"> </w:t>
      </w:r>
      <w:r w:rsidR="00D72C28" w:rsidRPr="00853434">
        <w:rPr>
          <w:rFonts w:ascii="Century Gothic" w:hAnsi="Century Gothic" w:cs="Arial"/>
          <w:caps/>
          <w:sz w:val="26"/>
          <w:szCs w:val="26"/>
          <w:lang w:val="es-419"/>
        </w:rPr>
        <w:t xml:space="preserve">Sala Regional del Tribunal Electoral del Poder Judicial de la Federación, correspondiente a la </w:t>
      </w:r>
      <w:r w:rsidR="00B85E85">
        <w:rPr>
          <w:rFonts w:ascii="Century Gothic" w:hAnsi="Century Gothic" w:cs="Arial"/>
          <w:caps/>
          <w:sz w:val="26"/>
          <w:szCs w:val="26"/>
          <w:lang w:val="es-419"/>
        </w:rPr>
        <w:t>sEGUNDA</w:t>
      </w:r>
      <w:r w:rsidR="005500A8">
        <w:rPr>
          <w:rFonts w:ascii="Century Gothic" w:hAnsi="Century Gothic" w:cs="Arial"/>
          <w:caps/>
          <w:sz w:val="26"/>
          <w:szCs w:val="26"/>
          <w:lang w:val="es-419"/>
        </w:rPr>
        <w:t xml:space="preserve"> </w:t>
      </w:r>
      <w:r w:rsidR="00D72C28" w:rsidRPr="00853434">
        <w:rPr>
          <w:rFonts w:ascii="Century Gothic" w:hAnsi="Century Gothic" w:cs="Arial"/>
          <w:caps/>
          <w:sz w:val="26"/>
          <w:szCs w:val="26"/>
          <w:lang w:val="es-419"/>
        </w:rPr>
        <w:t xml:space="preserve">Circunscripción Plurinominal, con sede en </w:t>
      </w:r>
      <w:r w:rsidR="003A77FD">
        <w:rPr>
          <w:rFonts w:ascii="Century Gothic" w:hAnsi="Century Gothic" w:cs="Arial"/>
          <w:caps/>
          <w:sz w:val="26"/>
          <w:szCs w:val="26"/>
          <w:lang w:val="es-419"/>
        </w:rPr>
        <w:t>LA CIUDAD DE</w:t>
      </w:r>
      <w:r w:rsidR="00C20607">
        <w:rPr>
          <w:rFonts w:ascii="Century Gothic" w:hAnsi="Century Gothic" w:cs="Arial"/>
          <w:caps/>
          <w:sz w:val="26"/>
          <w:szCs w:val="26"/>
          <w:lang w:val="es-419"/>
        </w:rPr>
        <w:t xml:space="preserve"> monterrey, nuevo león</w:t>
      </w:r>
      <w:r w:rsidR="00636B1F" w:rsidRPr="00853434">
        <w:rPr>
          <w:rStyle w:val="Refdenotaalpie"/>
          <w:rFonts w:ascii="Century Gothic" w:hAnsi="Century Gothic"/>
          <w:caps/>
          <w:sz w:val="26"/>
          <w:szCs w:val="26"/>
          <w:lang w:val="es-419"/>
        </w:rPr>
        <w:footnoteReference w:id="2"/>
      </w:r>
    </w:p>
    <w:p w14:paraId="5EB3CA32" w14:textId="55CD6599" w:rsidR="003A77FD" w:rsidRPr="00853434" w:rsidRDefault="00CD3D69" w:rsidP="00A17C82">
      <w:pPr>
        <w:spacing w:before="240" w:after="240"/>
        <w:ind w:left="3969"/>
        <w:jc w:val="both"/>
        <w:rPr>
          <w:rFonts w:ascii="Century Gothic" w:hAnsi="Century Gothic" w:cs="Arial"/>
          <w:caps/>
          <w:sz w:val="26"/>
          <w:szCs w:val="26"/>
          <w:lang w:val="es-MX"/>
        </w:rPr>
      </w:pPr>
      <w:r w:rsidRPr="00853434">
        <w:rPr>
          <w:rFonts w:ascii="Century Gothic" w:hAnsi="Century Gothic" w:cs="Arial"/>
          <w:b/>
          <w:bCs/>
          <w:caps/>
          <w:sz w:val="26"/>
          <w:szCs w:val="26"/>
          <w:lang w:val="es-MX"/>
        </w:rPr>
        <w:t>MAGISTRADA</w:t>
      </w:r>
      <w:r w:rsidR="000356D2" w:rsidRPr="00853434">
        <w:rPr>
          <w:rFonts w:ascii="Century Gothic" w:hAnsi="Century Gothic" w:cs="Arial"/>
          <w:b/>
          <w:bCs/>
          <w:caps/>
          <w:sz w:val="26"/>
          <w:szCs w:val="26"/>
          <w:lang w:val="es-MX"/>
        </w:rPr>
        <w:t xml:space="preserve"> PONENTE</w:t>
      </w:r>
      <w:r w:rsidRPr="00853434">
        <w:rPr>
          <w:rFonts w:ascii="Century Gothic" w:hAnsi="Century Gothic" w:cs="Arial"/>
          <w:b/>
          <w:bCs/>
          <w:caps/>
          <w:sz w:val="26"/>
          <w:szCs w:val="26"/>
          <w:lang w:val="es-MX"/>
        </w:rPr>
        <w:t>:</w:t>
      </w:r>
      <w:r w:rsidRPr="00853434">
        <w:rPr>
          <w:rFonts w:ascii="Century Gothic" w:hAnsi="Century Gothic" w:cs="Arial"/>
          <w:caps/>
          <w:sz w:val="26"/>
          <w:szCs w:val="26"/>
          <w:lang w:val="es-MX"/>
        </w:rPr>
        <w:t xml:space="preserve"> </w:t>
      </w:r>
      <w:r w:rsidR="003A77FD">
        <w:rPr>
          <w:rFonts w:ascii="Century Gothic" w:hAnsi="Century Gothic" w:cs="Arial"/>
          <w:caps/>
          <w:sz w:val="26"/>
          <w:szCs w:val="26"/>
          <w:lang w:val="es-MX"/>
        </w:rPr>
        <w:t>mónica aralí soto fregoso</w:t>
      </w:r>
    </w:p>
    <w:p w14:paraId="64D23083" w14:textId="3961300A" w:rsidR="00F87DD7" w:rsidRPr="00853434" w:rsidRDefault="00F87DD7" w:rsidP="00A17C82">
      <w:pPr>
        <w:spacing w:before="240" w:after="240"/>
        <w:ind w:left="3969"/>
        <w:jc w:val="both"/>
        <w:rPr>
          <w:rFonts w:ascii="Century Gothic" w:hAnsi="Century Gothic" w:cs="Arial"/>
          <w:caps/>
          <w:sz w:val="26"/>
          <w:szCs w:val="26"/>
          <w:lang w:val="es-MX"/>
        </w:rPr>
      </w:pPr>
      <w:r w:rsidRPr="00853434">
        <w:rPr>
          <w:rFonts w:ascii="Century Gothic" w:hAnsi="Century Gothic" w:cs="Arial"/>
          <w:b/>
          <w:bCs/>
          <w:caps/>
          <w:sz w:val="26"/>
          <w:szCs w:val="26"/>
          <w:lang w:val="es-MX"/>
        </w:rPr>
        <w:t>SECRETARIADO:</w:t>
      </w:r>
      <w:r w:rsidR="00A21388">
        <w:rPr>
          <w:rFonts w:ascii="Century Gothic" w:hAnsi="Century Gothic" w:cs="Arial"/>
          <w:b/>
          <w:bCs/>
          <w:caps/>
          <w:sz w:val="26"/>
          <w:szCs w:val="26"/>
          <w:lang w:val="es-MX"/>
        </w:rPr>
        <w:t xml:space="preserve"> </w:t>
      </w:r>
      <w:r w:rsidR="00A21388" w:rsidRPr="00A21388">
        <w:rPr>
          <w:rFonts w:ascii="Century Gothic" w:hAnsi="Century Gothic" w:cs="Arial"/>
          <w:caps/>
          <w:sz w:val="26"/>
          <w:szCs w:val="26"/>
          <w:lang w:val="es-MX"/>
        </w:rPr>
        <w:t>hertino avilés albavera</w:t>
      </w:r>
      <w:r w:rsidR="00A21388">
        <w:rPr>
          <w:rFonts w:ascii="Century Gothic" w:hAnsi="Century Gothic" w:cs="Arial"/>
          <w:b/>
          <w:bCs/>
          <w:caps/>
          <w:sz w:val="26"/>
          <w:szCs w:val="26"/>
          <w:lang w:val="es-MX"/>
        </w:rPr>
        <w:t>,</w:t>
      </w:r>
      <w:r w:rsidR="00606988" w:rsidRPr="00853434">
        <w:rPr>
          <w:rFonts w:ascii="Century Gothic" w:hAnsi="Century Gothic" w:cs="Arial"/>
          <w:b/>
          <w:bCs/>
          <w:caps/>
          <w:sz w:val="26"/>
          <w:szCs w:val="26"/>
          <w:lang w:val="es-MX"/>
        </w:rPr>
        <w:t xml:space="preserve"> </w:t>
      </w:r>
      <w:r w:rsidRPr="00853434">
        <w:rPr>
          <w:rFonts w:ascii="Century Gothic" w:hAnsi="Century Gothic" w:cs="Arial"/>
          <w:caps/>
          <w:sz w:val="26"/>
          <w:szCs w:val="26"/>
          <w:lang w:val="es-MX"/>
        </w:rPr>
        <w:t>Carmelo Maldonado Hernández</w:t>
      </w:r>
      <w:r w:rsidR="00606988" w:rsidRPr="00853434">
        <w:rPr>
          <w:rFonts w:ascii="Century Gothic" w:hAnsi="Century Gothic" w:cs="Arial"/>
          <w:caps/>
          <w:sz w:val="26"/>
          <w:szCs w:val="26"/>
          <w:lang w:val="es-MX"/>
        </w:rPr>
        <w:t xml:space="preserve"> y gustavo césar pale beristain</w:t>
      </w:r>
    </w:p>
    <w:p w14:paraId="10CFC9CA" w14:textId="75ED53DC" w:rsidR="00262045" w:rsidRPr="00853434" w:rsidRDefault="00262045" w:rsidP="00663CEB">
      <w:pPr>
        <w:tabs>
          <w:tab w:val="left" w:pos="1215"/>
        </w:tabs>
        <w:spacing w:before="240" w:after="240" w:line="360" w:lineRule="auto"/>
        <w:jc w:val="both"/>
        <w:rPr>
          <w:rFonts w:ascii="Century Gothic" w:hAnsi="Century Gothic" w:cs="Arial"/>
          <w:bCs/>
          <w:sz w:val="26"/>
          <w:szCs w:val="26"/>
          <w:lang w:val="es-419"/>
        </w:rPr>
      </w:pPr>
      <w:r w:rsidRPr="00853434">
        <w:rPr>
          <w:rFonts w:ascii="Century Gothic" w:hAnsi="Century Gothic" w:cs="Arial"/>
          <w:bCs/>
          <w:sz w:val="26"/>
          <w:szCs w:val="26"/>
          <w:lang w:val="es-419"/>
        </w:rPr>
        <w:t xml:space="preserve">Ciudad de México, </w:t>
      </w:r>
      <w:r w:rsidR="000F737C" w:rsidRPr="00853434">
        <w:rPr>
          <w:rFonts w:ascii="Century Gothic" w:hAnsi="Century Gothic" w:cs="Arial"/>
          <w:bCs/>
          <w:sz w:val="26"/>
          <w:szCs w:val="26"/>
          <w:lang w:val="es-419"/>
        </w:rPr>
        <w:t>a</w:t>
      </w:r>
      <w:r w:rsidR="003A6882" w:rsidRPr="00853434">
        <w:rPr>
          <w:rFonts w:ascii="Century Gothic" w:hAnsi="Century Gothic" w:cs="Arial"/>
          <w:bCs/>
          <w:sz w:val="26"/>
          <w:szCs w:val="26"/>
          <w:lang w:val="es-419"/>
        </w:rPr>
        <w:t xml:space="preserve"> </w:t>
      </w:r>
      <w:r w:rsidR="00FB1990">
        <w:rPr>
          <w:rFonts w:ascii="Century Gothic" w:hAnsi="Century Gothic" w:cs="Arial"/>
          <w:bCs/>
          <w:sz w:val="26"/>
          <w:szCs w:val="26"/>
          <w:lang w:val="es-419"/>
        </w:rPr>
        <w:t xml:space="preserve">uno </w:t>
      </w:r>
      <w:r w:rsidR="003A6882" w:rsidRPr="00853434">
        <w:rPr>
          <w:rFonts w:ascii="Century Gothic" w:hAnsi="Century Gothic" w:cs="Arial"/>
          <w:bCs/>
          <w:sz w:val="26"/>
          <w:szCs w:val="26"/>
          <w:lang w:val="es-419"/>
        </w:rPr>
        <w:t>d</w:t>
      </w:r>
      <w:r w:rsidR="00785BAC" w:rsidRPr="00853434">
        <w:rPr>
          <w:rFonts w:ascii="Century Gothic" w:hAnsi="Century Gothic" w:cs="Arial"/>
          <w:bCs/>
          <w:sz w:val="26"/>
          <w:szCs w:val="26"/>
          <w:lang w:val="es-419"/>
        </w:rPr>
        <w:t xml:space="preserve">e </w:t>
      </w:r>
      <w:r w:rsidR="002E6F77">
        <w:rPr>
          <w:rFonts w:ascii="Century Gothic" w:hAnsi="Century Gothic" w:cs="Arial"/>
          <w:bCs/>
          <w:sz w:val="26"/>
          <w:szCs w:val="26"/>
          <w:lang w:val="es-419"/>
        </w:rPr>
        <w:t>ju</w:t>
      </w:r>
      <w:r w:rsidR="00E5263B">
        <w:rPr>
          <w:rFonts w:ascii="Century Gothic" w:hAnsi="Century Gothic" w:cs="Arial"/>
          <w:bCs/>
          <w:sz w:val="26"/>
          <w:szCs w:val="26"/>
          <w:lang w:val="es-419"/>
        </w:rPr>
        <w:t>lio</w:t>
      </w:r>
      <w:r w:rsidR="005500A8">
        <w:rPr>
          <w:rFonts w:ascii="Century Gothic" w:hAnsi="Century Gothic" w:cs="Arial"/>
          <w:bCs/>
          <w:sz w:val="26"/>
          <w:szCs w:val="26"/>
          <w:lang w:val="es-419"/>
        </w:rPr>
        <w:t xml:space="preserve"> </w:t>
      </w:r>
      <w:r w:rsidRPr="00853434">
        <w:rPr>
          <w:rFonts w:ascii="Century Gothic" w:hAnsi="Century Gothic" w:cs="Arial"/>
          <w:bCs/>
          <w:sz w:val="26"/>
          <w:szCs w:val="26"/>
          <w:lang w:val="es-419"/>
        </w:rPr>
        <w:t xml:space="preserve">de dos mil </w:t>
      </w:r>
      <w:r w:rsidR="00B81C19" w:rsidRPr="00853434">
        <w:rPr>
          <w:rFonts w:ascii="Century Gothic" w:hAnsi="Century Gothic" w:cs="Arial"/>
          <w:bCs/>
          <w:sz w:val="26"/>
          <w:szCs w:val="26"/>
          <w:lang w:val="es-419"/>
        </w:rPr>
        <w:t>v</w:t>
      </w:r>
      <w:r w:rsidR="00596A90" w:rsidRPr="00853434">
        <w:rPr>
          <w:rFonts w:ascii="Century Gothic" w:hAnsi="Century Gothic" w:cs="Arial"/>
          <w:bCs/>
          <w:sz w:val="26"/>
          <w:szCs w:val="26"/>
          <w:lang w:val="es-419"/>
        </w:rPr>
        <w:t>eintiséis</w:t>
      </w:r>
      <w:r w:rsidR="00636B1F" w:rsidRPr="00853434">
        <w:rPr>
          <w:rFonts w:ascii="Century Gothic" w:hAnsi="Century Gothic" w:cs="Arial"/>
          <w:bCs/>
          <w:sz w:val="26"/>
          <w:szCs w:val="26"/>
          <w:lang w:val="es-419"/>
        </w:rPr>
        <w:t>.</w:t>
      </w:r>
      <w:r w:rsidR="001F222D" w:rsidRPr="00853434">
        <w:rPr>
          <w:rFonts w:ascii="Century Gothic" w:eastAsiaTheme="minorHAnsi" w:hAnsi="Century Gothic" w:cstheme="minorBidi"/>
          <w:sz w:val="26"/>
          <w:szCs w:val="26"/>
          <w:vertAlign w:val="superscript"/>
          <w:lang w:val="es-MX" w:eastAsia="en-US"/>
        </w:rPr>
        <w:footnoteReference w:id="3"/>
      </w:r>
    </w:p>
    <w:p w14:paraId="1C13CD43" w14:textId="5914A928" w:rsidR="00D308BB" w:rsidRPr="00853434" w:rsidRDefault="002A7E00" w:rsidP="00074050">
      <w:pPr>
        <w:tabs>
          <w:tab w:val="left" w:pos="1215"/>
        </w:tabs>
        <w:spacing w:before="240" w:after="240" w:line="360" w:lineRule="auto"/>
        <w:jc w:val="both"/>
        <w:rPr>
          <w:rFonts w:ascii="Century Gothic" w:hAnsi="Century Gothic" w:cs="Arial"/>
          <w:bCs/>
          <w:sz w:val="26"/>
          <w:szCs w:val="26"/>
          <w:lang w:val="es-419" w:eastAsia="es-MX"/>
        </w:rPr>
      </w:pPr>
      <w:r w:rsidRPr="00853434">
        <w:rPr>
          <w:rFonts w:ascii="Century Gothic" w:hAnsi="Century Gothic" w:cs="Arial"/>
          <w:bCs/>
          <w:sz w:val="26"/>
          <w:szCs w:val="26"/>
          <w:lang w:val="es-419" w:eastAsia="es-MX"/>
        </w:rPr>
        <w:t>La Sala Superior del Tribunal Electoral del Poder Judicial de la Federación</w:t>
      </w:r>
      <w:r w:rsidR="00D56C2F" w:rsidRPr="00853434">
        <w:rPr>
          <w:rStyle w:val="Refdenotaalpie"/>
          <w:rFonts w:ascii="Century Gothic" w:hAnsi="Century Gothic"/>
          <w:bCs/>
          <w:sz w:val="26"/>
          <w:szCs w:val="26"/>
          <w:lang w:val="es-419" w:eastAsia="es-MX"/>
        </w:rPr>
        <w:footnoteReference w:id="4"/>
      </w:r>
      <w:r w:rsidRPr="00853434">
        <w:rPr>
          <w:rFonts w:ascii="Century Gothic" w:hAnsi="Century Gothic" w:cs="Arial"/>
          <w:bCs/>
          <w:sz w:val="26"/>
          <w:szCs w:val="26"/>
          <w:lang w:val="es-419" w:eastAsia="es-MX"/>
        </w:rPr>
        <w:t xml:space="preserve"> </w:t>
      </w:r>
      <w:r w:rsidR="00A00E94">
        <w:rPr>
          <w:rFonts w:ascii="Century Gothic" w:hAnsi="Century Gothic" w:cs="Arial"/>
          <w:bCs/>
          <w:sz w:val="26"/>
          <w:szCs w:val="26"/>
          <w:lang w:val="es-419" w:eastAsia="es-MX"/>
        </w:rPr>
        <w:t>resuelve</w:t>
      </w:r>
      <w:r w:rsidR="00074050">
        <w:rPr>
          <w:rFonts w:ascii="Century Gothic" w:hAnsi="Century Gothic" w:cs="Arial"/>
          <w:bCs/>
          <w:sz w:val="26"/>
          <w:szCs w:val="26"/>
          <w:lang w:val="es-419" w:eastAsia="es-MX"/>
        </w:rPr>
        <w:t xml:space="preserve"> </w:t>
      </w:r>
      <w:r w:rsidR="00074050" w:rsidRPr="00074050">
        <w:rPr>
          <w:rFonts w:ascii="Century Gothic" w:hAnsi="Century Gothic" w:cs="Arial"/>
          <w:b/>
          <w:sz w:val="26"/>
          <w:szCs w:val="26"/>
          <w:lang w:val="es-419" w:eastAsia="es-MX"/>
        </w:rPr>
        <w:t>desechar de plano</w:t>
      </w:r>
      <w:r w:rsidR="00074050">
        <w:rPr>
          <w:rFonts w:ascii="Century Gothic" w:hAnsi="Century Gothic" w:cs="Arial"/>
          <w:bCs/>
          <w:sz w:val="26"/>
          <w:szCs w:val="26"/>
          <w:lang w:val="es-419" w:eastAsia="es-MX"/>
        </w:rPr>
        <w:t xml:space="preserve"> la demanda de</w:t>
      </w:r>
      <w:r w:rsidR="00525AF1">
        <w:rPr>
          <w:rFonts w:ascii="Century Gothic" w:hAnsi="Century Gothic" w:cs="Arial"/>
          <w:bCs/>
          <w:sz w:val="26"/>
          <w:szCs w:val="26"/>
          <w:lang w:val="es-419" w:eastAsia="es-MX"/>
        </w:rPr>
        <w:t xml:space="preserve"> </w:t>
      </w:r>
      <w:r w:rsidR="00074050">
        <w:rPr>
          <w:rFonts w:ascii="Century Gothic" w:hAnsi="Century Gothic" w:cs="Arial"/>
          <w:bCs/>
          <w:sz w:val="26"/>
          <w:szCs w:val="26"/>
          <w:lang w:val="es-419" w:eastAsia="es-MX"/>
        </w:rPr>
        <w:t>recurso de reconsideración, interpues</w:t>
      </w:r>
      <w:r w:rsidR="003A77FD">
        <w:rPr>
          <w:rFonts w:ascii="Century Gothic" w:hAnsi="Century Gothic" w:cs="Arial"/>
          <w:bCs/>
          <w:sz w:val="26"/>
          <w:szCs w:val="26"/>
          <w:lang w:val="es-419" w:eastAsia="es-MX"/>
        </w:rPr>
        <w:t>ta</w:t>
      </w:r>
      <w:r w:rsidR="00074050">
        <w:rPr>
          <w:rFonts w:ascii="Century Gothic" w:hAnsi="Century Gothic" w:cs="Arial"/>
          <w:bCs/>
          <w:sz w:val="26"/>
          <w:szCs w:val="26"/>
          <w:lang w:val="es-419" w:eastAsia="es-MX"/>
        </w:rPr>
        <w:t xml:space="preserve"> contra </w:t>
      </w:r>
      <w:r w:rsidR="009B43C9">
        <w:rPr>
          <w:rFonts w:ascii="Century Gothic" w:hAnsi="Century Gothic" w:cs="Arial"/>
          <w:bCs/>
          <w:sz w:val="26"/>
          <w:szCs w:val="26"/>
          <w:lang w:val="es-419" w:eastAsia="es-MX"/>
        </w:rPr>
        <w:t xml:space="preserve">la </w:t>
      </w:r>
      <w:r w:rsidR="00606988" w:rsidRPr="00853434">
        <w:rPr>
          <w:rFonts w:ascii="Century Gothic" w:hAnsi="Century Gothic" w:cs="Arial"/>
          <w:bCs/>
          <w:sz w:val="26"/>
          <w:szCs w:val="26"/>
          <w:lang w:val="es-419" w:eastAsia="es-MX"/>
        </w:rPr>
        <w:t xml:space="preserve">resolución dictada por </w:t>
      </w:r>
      <w:r w:rsidRPr="00853434">
        <w:rPr>
          <w:rFonts w:ascii="Century Gothic" w:hAnsi="Century Gothic" w:cs="Arial"/>
          <w:bCs/>
          <w:sz w:val="26"/>
          <w:szCs w:val="26"/>
          <w:lang w:val="es-419" w:eastAsia="es-MX"/>
        </w:rPr>
        <w:t>la Sala</w:t>
      </w:r>
      <w:r w:rsidR="007139A1" w:rsidRPr="00853434">
        <w:rPr>
          <w:rFonts w:ascii="Century Gothic" w:hAnsi="Century Gothic" w:cs="Arial"/>
          <w:bCs/>
          <w:sz w:val="26"/>
          <w:szCs w:val="26"/>
          <w:lang w:val="es-419" w:eastAsia="es-MX"/>
        </w:rPr>
        <w:t xml:space="preserve"> </w:t>
      </w:r>
      <w:r w:rsidR="005500A8">
        <w:rPr>
          <w:rFonts w:ascii="Century Gothic" w:hAnsi="Century Gothic" w:cs="Arial"/>
          <w:bCs/>
          <w:sz w:val="26"/>
          <w:szCs w:val="26"/>
          <w:lang w:val="es-419" w:eastAsia="es-MX"/>
        </w:rPr>
        <w:t xml:space="preserve">Regional </w:t>
      </w:r>
      <w:r w:rsidR="003A77FD">
        <w:rPr>
          <w:rFonts w:ascii="Century Gothic" w:hAnsi="Century Gothic" w:cs="Arial"/>
          <w:bCs/>
          <w:sz w:val="26"/>
          <w:szCs w:val="26"/>
          <w:lang w:val="es-419" w:eastAsia="es-MX"/>
        </w:rPr>
        <w:t>señalada como responsable</w:t>
      </w:r>
      <w:r w:rsidR="005500A8">
        <w:rPr>
          <w:rFonts w:ascii="Century Gothic" w:hAnsi="Century Gothic" w:cs="Arial"/>
          <w:bCs/>
          <w:sz w:val="26"/>
          <w:szCs w:val="26"/>
          <w:lang w:val="es-419" w:eastAsia="es-MX"/>
        </w:rPr>
        <w:t xml:space="preserve"> </w:t>
      </w:r>
      <w:r w:rsidRPr="00853434">
        <w:rPr>
          <w:rFonts w:ascii="Century Gothic" w:hAnsi="Century Gothic" w:cs="Arial"/>
          <w:bCs/>
          <w:sz w:val="26"/>
          <w:szCs w:val="26"/>
          <w:lang w:val="es-419" w:eastAsia="es-MX"/>
        </w:rPr>
        <w:t xml:space="preserve">en el juicio </w:t>
      </w:r>
      <w:r w:rsidR="00750839">
        <w:rPr>
          <w:rFonts w:ascii="Century Gothic" w:hAnsi="Century Gothic" w:cs="Arial"/>
          <w:bCs/>
          <w:sz w:val="26"/>
          <w:szCs w:val="26"/>
          <w:lang w:val="es-419" w:eastAsia="es-MX"/>
        </w:rPr>
        <w:t>general</w:t>
      </w:r>
      <w:r w:rsidR="00C10E20">
        <w:rPr>
          <w:rFonts w:ascii="Century Gothic" w:hAnsi="Century Gothic" w:cs="Arial"/>
          <w:bCs/>
          <w:sz w:val="26"/>
          <w:szCs w:val="26"/>
          <w:lang w:val="es-419" w:eastAsia="es-MX"/>
        </w:rPr>
        <w:t xml:space="preserve"> </w:t>
      </w:r>
      <w:r w:rsidR="00750839" w:rsidRPr="00750839">
        <w:rPr>
          <w:rFonts w:ascii="Century Gothic" w:hAnsi="Century Gothic" w:cs="Arial"/>
          <w:b/>
          <w:sz w:val="26"/>
          <w:szCs w:val="26"/>
          <w:lang w:val="es-419" w:eastAsia="es-MX"/>
        </w:rPr>
        <w:t>SM-JG-24/2026</w:t>
      </w:r>
      <w:r w:rsidR="00651A12">
        <w:rPr>
          <w:rFonts w:ascii="Century Gothic" w:hAnsi="Century Gothic" w:cs="Arial"/>
          <w:bCs/>
          <w:sz w:val="26"/>
          <w:szCs w:val="26"/>
          <w:lang w:val="es-419" w:eastAsia="es-MX"/>
        </w:rPr>
        <w:t xml:space="preserve">, </w:t>
      </w:r>
      <w:r w:rsidR="00036E06">
        <w:rPr>
          <w:rFonts w:ascii="Century Gothic" w:hAnsi="Century Gothic" w:cs="Arial"/>
          <w:bCs/>
          <w:sz w:val="26"/>
          <w:szCs w:val="26"/>
          <w:lang w:val="es-419" w:eastAsia="es-MX"/>
        </w:rPr>
        <w:t>debido a que incumple con el requisito especial de procedencia del medio de impugnación.</w:t>
      </w:r>
    </w:p>
    <w:p w14:paraId="65CC4780" w14:textId="3F960147" w:rsidR="00CD3D69" w:rsidRPr="00853434" w:rsidRDefault="00CD3D69" w:rsidP="00663CEB">
      <w:pPr>
        <w:keepNext/>
        <w:tabs>
          <w:tab w:val="left" w:pos="1215"/>
        </w:tabs>
        <w:spacing w:before="240" w:after="240" w:line="360" w:lineRule="auto"/>
        <w:jc w:val="center"/>
        <w:rPr>
          <w:rFonts w:ascii="Century Gothic" w:hAnsi="Century Gothic" w:cs="Arial"/>
          <w:b/>
          <w:bCs/>
          <w:spacing w:val="30"/>
          <w:sz w:val="26"/>
          <w:szCs w:val="26"/>
          <w:lang w:val="es-419" w:eastAsia="es-MX"/>
        </w:rPr>
      </w:pPr>
      <w:r w:rsidRPr="00853434">
        <w:rPr>
          <w:rFonts w:ascii="Century Gothic" w:hAnsi="Century Gothic" w:cs="Arial"/>
          <w:b/>
          <w:bCs/>
          <w:spacing w:val="30"/>
          <w:sz w:val="26"/>
          <w:szCs w:val="26"/>
          <w:lang w:val="es-419" w:eastAsia="es-MX"/>
        </w:rPr>
        <w:t>ANTECEDENTES</w:t>
      </w:r>
    </w:p>
    <w:p w14:paraId="6DD02439" w14:textId="0C57644F" w:rsidR="00CE7DDE" w:rsidRPr="00853434" w:rsidRDefault="008F3098" w:rsidP="00663CEB">
      <w:pPr>
        <w:spacing w:before="240" w:after="240" w:line="360" w:lineRule="auto"/>
        <w:jc w:val="both"/>
        <w:rPr>
          <w:rFonts w:ascii="Century Gothic" w:hAnsi="Century Gothic" w:cs="Arial"/>
          <w:sz w:val="26"/>
          <w:szCs w:val="26"/>
          <w:lang w:val="es-419"/>
        </w:rPr>
      </w:pPr>
      <w:r w:rsidRPr="00853434">
        <w:rPr>
          <w:rFonts w:ascii="Century Gothic" w:hAnsi="Century Gothic" w:cs="Arial"/>
          <w:sz w:val="26"/>
          <w:szCs w:val="26"/>
          <w:lang w:val="es-419"/>
        </w:rPr>
        <w:t>De</w:t>
      </w:r>
      <w:r w:rsidR="003A77FD">
        <w:rPr>
          <w:rFonts w:ascii="Century Gothic" w:hAnsi="Century Gothic" w:cs="Arial"/>
          <w:sz w:val="26"/>
          <w:szCs w:val="26"/>
          <w:lang w:val="es-419"/>
        </w:rPr>
        <w:t>l</w:t>
      </w:r>
      <w:r w:rsidR="0052268D" w:rsidRPr="00853434">
        <w:rPr>
          <w:rFonts w:ascii="Century Gothic" w:hAnsi="Century Gothic" w:cs="Arial"/>
          <w:sz w:val="26"/>
          <w:szCs w:val="26"/>
          <w:lang w:val="es-419"/>
        </w:rPr>
        <w:t xml:space="preserve"> </w:t>
      </w:r>
      <w:r w:rsidRPr="00853434">
        <w:rPr>
          <w:rFonts w:ascii="Century Gothic" w:hAnsi="Century Gothic" w:cs="Arial"/>
          <w:sz w:val="26"/>
          <w:szCs w:val="26"/>
          <w:lang w:val="es-419"/>
        </w:rPr>
        <w:t xml:space="preserve">escrito presentado por la </w:t>
      </w:r>
      <w:r w:rsidR="00C20607">
        <w:rPr>
          <w:rFonts w:ascii="Century Gothic" w:hAnsi="Century Gothic" w:cs="Arial"/>
          <w:sz w:val="26"/>
          <w:szCs w:val="26"/>
          <w:lang w:val="es-419"/>
        </w:rPr>
        <w:t xml:space="preserve">parte </w:t>
      </w:r>
      <w:r w:rsidRPr="00853434">
        <w:rPr>
          <w:rFonts w:ascii="Century Gothic" w:hAnsi="Century Gothic" w:cs="Arial"/>
          <w:sz w:val="26"/>
          <w:szCs w:val="26"/>
          <w:lang w:val="es-419"/>
        </w:rPr>
        <w:t xml:space="preserve">recurrente </w:t>
      </w:r>
      <w:r w:rsidR="00D74802" w:rsidRPr="00853434">
        <w:rPr>
          <w:rFonts w:ascii="Century Gothic" w:hAnsi="Century Gothic" w:cs="Arial"/>
          <w:sz w:val="26"/>
          <w:szCs w:val="26"/>
          <w:lang w:val="es-419"/>
        </w:rPr>
        <w:t xml:space="preserve">y de las constancias </w:t>
      </w:r>
      <w:r w:rsidR="005C1FB2" w:rsidRPr="00853434">
        <w:rPr>
          <w:rFonts w:ascii="Century Gothic" w:hAnsi="Century Gothic" w:cs="Arial"/>
          <w:sz w:val="26"/>
          <w:szCs w:val="26"/>
          <w:lang w:val="es-419"/>
        </w:rPr>
        <w:t>de</w:t>
      </w:r>
      <w:r w:rsidR="005E0202" w:rsidRPr="00853434">
        <w:rPr>
          <w:rFonts w:ascii="Century Gothic" w:hAnsi="Century Gothic" w:cs="Arial"/>
          <w:sz w:val="26"/>
          <w:szCs w:val="26"/>
          <w:lang w:val="es-419"/>
        </w:rPr>
        <w:t xml:space="preserve">l </w:t>
      </w:r>
      <w:r w:rsidR="00D74802" w:rsidRPr="00853434">
        <w:rPr>
          <w:rFonts w:ascii="Century Gothic" w:hAnsi="Century Gothic" w:cs="Arial"/>
          <w:sz w:val="26"/>
          <w:szCs w:val="26"/>
          <w:lang w:val="es-419"/>
        </w:rPr>
        <w:t>expediente se advierten los hechos siguientes</w:t>
      </w:r>
      <w:r w:rsidR="00515E97" w:rsidRPr="00853434">
        <w:rPr>
          <w:rFonts w:ascii="Century Gothic" w:hAnsi="Century Gothic" w:cs="Arial"/>
          <w:sz w:val="26"/>
          <w:szCs w:val="26"/>
          <w:lang w:val="es-419"/>
        </w:rPr>
        <w:t>:</w:t>
      </w:r>
    </w:p>
    <w:p w14:paraId="5FF783A9" w14:textId="2BFFCD67" w:rsidR="00BB033F" w:rsidRDefault="008D67F7" w:rsidP="00BB033F">
      <w:pPr>
        <w:spacing w:before="240" w:after="240" w:line="360" w:lineRule="auto"/>
        <w:jc w:val="both"/>
        <w:rPr>
          <w:rFonts w:ascii="Century Gothic" w:eastAsiaTheme="minorHAnsi" w:hAnsi="Century Gothic" w:cstheme="minorBidi"/>
          <w:b/>
          <w:bCs/>
          <w:sz w:val="26"/>
          <w:szCs w:val="26"/>
          <w:lang w:val="es-MX" w:eastAsia="en-US"/>
        </w:rPr>
      </w:pPr>
      <w:r w:rsidRPr="008D67F7">
        <w:rPr>
          <w:rFonts w:ascii="Century Gothic" w:eastAsiaTheme="minorHAnsi" w:hAnsi="Century Gothic" w:cstheme="minorBidi"/>
          <w:b/>
          <w:bCs/>
          <w:sz w:val="26"/>
          <w:szCs w:val="26"/>
          <w:lang w:val="es-MX" w:eastAsia="en-US"/>
        </w:rPr>
        <w:t xml:space="preserve">1. </w:t>
      </w:r>
      <w:r w:rsidR="00BB033F" w:rsidRPr="00BB033F">
        <w:rPr>
          <w:rFonts w:ascii="Century Gothic" w:eastAsiaTheme="minorHAnsi" w:hAnsi="Century Gothic" w:cstheme="minorBidi"/>
          <w:b/>
          <w:bCs/>
          <w:sz w:val="26"/>
          <w:szCs w:val="26"/>
          <w:lang w:val="es-MX" w:eastAsia="en-US"/>
        </w:rPr>
        <w:t>Denuncia</w:t>
      </w:r>
      <w:r w:rsidR="00BB033F" w:rsidRPr="00C772A2">
        <w:rPr>
          <w:rFonts w:ascii="Century Gothic" w:eastAsiaTheme="minorHAnsi" w:hAnsi="Century Gothic" w:cstheme="minorBidi"/>
          <w:sz w:val="26"/>
          <w:szCs w:val="26"/>
          <w:lang w:val="es-MX" w:eastAsia="en-US"/>
        </w:rPr>
        <w:t xml:space="preserve">. El </w:t>
      </w:r>
      <w:r w:rsidR="00C772A2">
        <w:rPr>
          <w:rFonts w:ascii="Century Gothic" w:eastAsiaTheme="minorHAnsi" w:hAnsi="Century Gothic" w:cstheme="minorBidi"/>
          <w:sz w:val="26"/>
          <w:szCs w:val="26"/>
          <w:lang w:val="es-MX" w:eastAsia="en-US"/>
        </w:rPr>
        <w:t>nueve</w:t>
      </w:r>
      <w:r w:rsidR="00BB033F" w:rsidRPr="00C772A2">
        <w:rPr>
          <w:rFonts w:ascii="Century Gothic" w:eastAsiaTheme="minorHAnsi" w:hAnsi="Century Gothic" w:cstheme="minorBidi"/>
          <w:sz w:val="26"/>
          <w:szCs w:val="26"/>
          <w:lang w:val="es-MX" w:eastAsia="en-US"/>
        </w:rPr>
        <w:t xml:space="preserve"> de octubre de </w:t>
      </w:r>
      <w:r w:rsidR="00C772A2">
        <w:rPr>
          <w:rFonts w:ascii="Century Gothic" w:eastAsiaTheme="minorHAnsi" w:hAnsi="Century Gothic" w:cstheme="minorBidi"/>
          <w:sz w:val="26"/>
          <w:szCs w:val="26"/>
          <w:lang w:val="es-MX" w:eastAsia="en-US"/>
        </w:rPr>
        <w:t>dos mil veinticinco</w:t>
      </w:r>
      <w:r w:rsidR="00BB033F" w:rsidRPr="00C772A2">
        <w:rPr>
          <w:rFonts w:ascii="Century Gothic" w:eastAsiaTheme="minorHAnsi" w:hAnsi="Century Gothic" w:cstheme="minorBidi"/>
          <w:sz w:val="26"/>
          <w:szCs w:val="26"/>
          <w:lang w:val="es-MX" w:eastAsia="en-US"/>
        </w:rPr>
        <w:t xml:space="preserve">, el </w:t>
      </w:r>
      <w:r w:rsidR="00C772A2">
        <w:rPr>
          <w:rFonts w:ascii="Century Gothic" w:eastAsiaTheme="minorHAnsi" w:hAnsi="Century Gothic" w:cstheme="minorBidi"/>
          <w:sz w:val="26"/>
          <w:szCs w:val="26"/>
          <w:lang w:val="es-MX" w:eastAsia="en-US"/>
        </w:rPr>
        <w:t>Partido Acción Nacional</w:t>
      </w:r>
      <w:r w:rsidR="002E455E">
        <w:rPr>
          <w:rStyle w:val="Refdenotaalpie"/>
          <w:rFonts w:ascii="Century Gothic" w:eastAsiaTheme="minorHAnsi" w:hAnsi="Century Gothic"/>
          <w:sz w:val="26"/>
          <w:szCs w:val="26"/>
          <w:lang w:val="es-MX" w:eastAsia="en-US"/>
        </w:rPr>
        <w:footnoteReference w:id="5"/>
      </w:r>
      <w:r w:rsidR="00C772A2">
        <w:rPr>
          <w:rFonts w:ascii="Century Gothic" w:eastAsiaTheme="minorHAnsi" w:hAnsi="Century Gothic" w:cstheme="minorBidi"/>
          <w:sz w:val="26"/>
          <w:szCs w:val="26"/>
          <w:lang w:val="es-MX" w:eastAsia="en-US"/>
        </w:rPr>
        <w:t xml:space="preserve"> presentó denuncia contra </w:t>
      </w:r>
      <w:r w:rsidR="00BB033F" w:rsidRPr="00C772A2">
        <w:rPr>
          <w:rFonts w:ascii="Century Gothic" w:eastAsiaTheme="minorHAnsi" w:hAnsi="Century Gothic" w:cstheme="minorBidi"/>
          <w:sz w:val="26"/>
          <w:szCs w:val="26"/>
          <w:lang w:val="es-MX" w:eastAsia="en-US"/>
        </w:rPr>
        <w:t>Andrés Concepción Mijes Llovera</w:t>
      </w:r>
      <w:r w:rsidR="00C772A2">
        <w:rPr>
          <w:rFonts w:ascii="Century Gothic" w:eastAsiaTheme="minorHAnsi" w:hAnsi="Century Gothic" w:cstheme="minorBidi"/>
          <w:sz w:val="26"/>
          <w:szCs w:val="26"/>
          <w:lang w:val="es-MX" w:eastAsia="en-US"/>
        </w:rPr>
        <w:t xml:space="preserve">, </w:t>
      </w:r>
      <w:r w:rsidR="00BB033F" w:rsidRPr="00C772A2">
        <w:rPr>
          <w:rFonts w:ascii="Century Gothic" w:eastAsiaTheme="minorHAnsi" w:hAnsi="Century Gothic" w:cstheme="minorBidi"/>
          <w:sz w:val="26"/>
          <w:szCs w:val="26"/>
          <w:lang w:val="es-MX" w:eastAsia="en-US"/>
        </w:rPr>
        <w:t>presidente municipal de General Escobedo, Nuevo León y</w:t>
      </w:r>
      <w:r w:rsidR="001634C1">
        <w:rPr>
          <w:rFonts w:ascii="Century Gothic" w:eastAsiaTheme="minorHAnsi" w:hAnsi="Century Gothic" w:cstheme="minorBidi"/>
          <w:sz w:val="26"/>
          <w:szCs w:val="26"/>
          <w:lang w:val="es-MX" w:eastAsia="en-US"/>
        </w:rPr>
        <w:t xml:space="preserve"> el</w:t>
      </w:r>
      <w:r w:rsidR="00BB033F" w:rsidRPr="00C772A2">
        <w:rPr>
          <w:rFonts w:ascii="Century Gothic" w:eastAsiaTheme="minorHAnsi" w:hAnsi="Century Gothic" w:cstheme="minorBidi"/>
          <w:sz w:val="26"/>
          <w:szCs w:val="26"/>
          <w:lang w:val="es-MX" w:eastAsia="en-US"/>
        </w:rPr>
        <w:t xml:space="preserve"> partido MORENA por uso indebido de recursos públicos, promoción personalizada, vulneración a los principios de imparcialidad y neutralidad, así como la indebida difusión del informe de labores.</w:t>
      </w:r>
    </w:p>
    <w:p w14:paraId="712694F5" w14:textId="459B09DF" w:rsidR="00262A47" w:rsidRDefault="00262A47" w:rsidP="001771FA">
      <w:pPr>
        <w:spacing w:before="240" w:after="240" w:line="360" w:lineRule="auto"/>
        <w:jc w:val="both"/>
        <w:rPr>
          <w:rFonts w:ascii="Century Gothic" w:eastAsiaTheme="minorHAnsi" w:hAnsi="Century Gothic" w:cstheme="minorBidi"/>
          <w:sz w:val="26"/>
          <w:szCs w:val="26"/>
          <w:lang w:val="es-MX" w:eastAsia="en-US"/>
        </w:rPr>
      </w:pPr>
      <w:r>
        <w:rPr>
          <w:rFonts w:ascii="Century Gothic" w:eastAsiaTheme="minorHAnsi" w:hAnsi="Century Gothic" w:cstheme="minorBidi"/>
          <w:b/>
          <w:bCs/>
          <w:sz w:val="26"/>
          <w:szCs w:val="26"/>
          <w:lang w:val="es-MX" w:eastAsia="en-US"/>
        </w:rPr>
        <w:t>2.</w:t>
      </w:r>
      <w:r w:rsidR="00B23D33">
        <w:rPr>
          <w:rFonts w:ascii="Century Gothic" w:eastAsiaTheme="minorHAnsi" w:hAnsi="Century Gothic" w:cstheme="minorBidi"/>
          <w:b/>
          <w:bCs/>
          <w:sz w:val="26"/>
          <w:szCs w:val="26"/>
          <w:lang w:val="es-MX" w:eastAsia="en-US"/>
        </w:rPr>
        <w:t xml:space="preserve"> </w:t>
      </w:r>
      <w:r w:rsidR="00CF6E8D">
        <w:rPr>
          <w:rFonts w:ascii="Century Gothic" w:eastAsiaTheme="minorHAnsi" w:hAnsi="Century Gothic" w:cstheme="minorBidi"/>
          <w:b/>
          <w:bCs/>
          <w:sz w:val="26"/>
          <w:szCs w:val="26"/>
          <w:lang w:val="es-MX" w:eastAsia="en-US"/>
        </w:rPr>
        <w:t>R</w:t>
      </w:r>
      <w:r w:rsidR="00B23D33">
        <w:rPr>
          <w:rFonts w:ascii="Century Gothic" w:eastAsiaTheme="minorHAnsi" w:hAnsi="Century Gothic" w:cstheme="minorBidi"/>
          <w:b/>
          <w:bCs/>
          <w:sz w:val="26"/>
          <w:szCs w:val="26"/>
          <w:lang w:val="es-MX" w:eastAsia="en-US"/>
        </w:rPr>
        <w:t>egistro y sustanciación</w:t>
      </w:r>
      <w:r>
        <w:rPr>
          <w:rFonts w:ascii="Century Gothic" w:eastAsiaTheme="minorHAnsi" w:hAnsi="Century Gothic" w:cstheme="minorBidi"/>
          <w:b/>
          <w:bCs/>
          <w:sz w:val="26"/>
          <w:szCs w:val="26"/>
          <w:lang w:val="es-MX" w:eastAsia="en-US"/>
        </w:rPr>
        <w:t xml:space="preserve">. </w:t>
      </w:r>
      <w:r w:rsidR="00B23D33">
        <w:rPr>
          <w:rFonts w:ascii="Century Gothic" w:eastAsiaTheme="minorHAnsi" w:hAnsi="Century Gothic" w:cstheme="minorBidi"/>
          <w:sz w:val="26"/>
          <w:szCs w:val="26"/>
          <w:lang w:val="es-MX" w:eastAsia="en-US"/>
        </w:rPr>
        <w:t>La denuncia fue registrada</w:t>
      </w:r>
      <w:r w:rsidR="001771FA">
        <w:rPr>
          <w:rFonts w:ascii="Century Gothic" w:eastAsiaTheme="minorHAnsi" w:hAnsi="Century Gothic" w:cstheme="minorBidi"/>
          <w:sz w:val="26"/>
          <w:szCs w:val="26"/>
          <w:lang w:val="es-MX" w:eastAsia="en-US"/>
        </w:rPr>
        <w:t xml:space="preserve"> el catorce de octubre siguiente,</w:t>
      </w:r>
      <w:r w:rsidR="00B23D33">
        <w:rPr>
          <w:rFonts w:ascii="Century Gothic" w:eastAsiaTheme="minorHAnsi" w:hAnsi="Century Gothic" w:cstheme="minorBidi"/>
          <w:sz w:val="26"/>
          <w:szCs w:val="26"/>
          <w:lang w:val="es-MX" w:eastAsia="en-US"/>
        </w:rPr>
        <w:t xml:space="preserve"> </w:t>
      </w:r>
      <w:r w:rsidR="001370F4">
        <w:rPr>
          <w:rFonts w:ascii="Century Gothic" w:eastAsiaTheme="minorHAnsi" w:hAnsi="Century Gothic" w:cstheme="minorBidi"/>
          <w:sz w:val="26"/>
          <w:szCs w:val="26"/>
          <w:lang w:val="es-MX" w:eastAsia="en-US"/>
        </w:rPr>
        <w:t>ante</w:t>
      </w:r>
      <w:r w:rsidR="003C0233">
        <w:rPr>
          <w:rFonts w:ascii="Century Gothic" w:eastAsiaTheme="minorHAnsi" w:hAnsi="Century Gothic" w:cstheme="minorBidi"/>
          <w:sz w:val="26"/>
          <w:szCs w:val="26"/>
          <w:lang w:val="es-MX" w:eastAsia="en-US"/>
        </w:rPr>
        <w:t xml:space="preserve"> el </w:t>
      </w:r>
      <w:r w:rsidR="001771FA" w:rsidRPr="001771FA">
        <w:rPr>
          <w:rFonts w:ascii="Century Gothic" w:eastAsiaTheme="minorHAnsi" w:hAnsi="Century Gothic" w:cstheme="minorBidi"/>
          <w:sz w:val="26"/>
          <w:szCs w:val="26"/>
          <w:lang w:val="es-MX" w:eastAsia="en-US"/>
        </w:rPr>
        <w:t>Instituto Estatal Electoral y de</w:t>
      </w:r>
      <w:r w:rsidR="001771FA">
        <w:rPr>
          <w:rFonts w:ascii="Century Gothic" w:eastAsiaTheme="minorHAnsi" w:hAnsi="Century Gothic" w:cstheme="minorBidi"/>
          <w:sz w:val="26"/>
          <w:szCs w:val="26"/>
          <w:lang w:val="es-MX" w:eastAsia="en-US"/>
        </w:rPr>
        <w:t xml:space="preserve"> </w:t>
      </w:r>
      <w:r w:rsidR="001771FA" w:rsidRPr="001771FA">
        <w:rPr>
          <w:rFonts w:ascii="Century Gothic" w:eastAsiaTheme="minorHAnsi" w:hAnsi="Century Gothic" w:cstheme="minorBidi"/>
          <w:sz w:val="26"/>
          <w:szCs w:val="26"/>
          <w:lang w:val="es-MX" w:eastAsia="en-US"/>
        </w:rPr>
        <w:t>Participación Ciudadana de Nuevo León</w:t>
      </w:r>
      <w:r w:rsidR="002D2858">
        <w:rPr>
          <w:rStyle w:val="Refdenotaalpie"/>
          <w:rFonts w:ascii="Century Gothic" w:eastAsiaTheme="minorHAnsi" w:hAnsi="Century Gothic"/>
          <w:sz w:val="26"/>
          <w:szCs w:val="26"/>
          <w:lang w:val="es-MX" w:eastAsia="en-US"/>
        </w:rPr>
        <w:footnoteReference w:id="6"/>
      </w:r>
      <w:r w:rsidR="001370F4">
        <w:rPr>
          <w:rFonts w:ascii="Century Gothic" w:eastAsiaTheme="minorHAnsi" w:hAnsi="Century Gothic" w:cstheme="minorBidi"/>
          <w:sz w:val="26"/>
          <w:szCs w:val="26"/>
          <w:lang w:val="es-MX" w:eastAsia="en-US"/>
        </w:rPr>
        <w:t xml:space="preserve">, </w:t>
      </w:r>
      <w:r w:rsidR="003C0233">
        <w:rPr>
          <w:rFonts w:ascii="Century Gothic" w:eastAsiaTheme="minorHAnsi" w:hAnsi="Century Gothic" w:cstheme="minorBidi"/>
          <w:sz w:val="26"/>
          <w:szCs w:val="26"/>
          <w:lang w:val="es-MX" w:eastAsia="en-US"/>
        </w:rPr>
        <w:t xml:space="preserve">con </w:t>
      </w:r>
      <w:r w:rsidR="001370F4">
        <w:rPr>
          <w:rFonts w:ascii="Century Gothic" w:eastAsiaTheme="minorHAnsi" w:hAnsi="Century Gothic" w:cstheme="minorBidi"/>
          <w:sz w:val="26"/>
          <w:szCs w:val="26"/>
          <w:lang w:val="es-MX" w:eastAsia="en-US"/>
        </w:rPr>
        <w:t>número de</w:t>
      </w:r>
      <w:r w:rsidR="003C0233">
        <w:rPr>
          <w:rFonts w:ascii="Century Gothic" w:eastAsiaTheme="minorHAnsi" w:hAnsi="Century Gothic" w:cstheme="minorBidi"/>
          <w:sz w:val="26"/>
          <w:szCs w:val="26"/>
          <w:lang w:val="es-MX" w:eastAsia="en-US"/>
        </w:rPr>
        <w:t xml:space="preserve"> expediente </w:t>
      </w:r>
      <w:r w:rsidR="003C0233" w:rsidRPr="003C0233">
        <w:rPr>
          <w:rFonts w:ascii="Century Gothic" w:eastAsiaTheme="minorHAnsi" w:hAnsi="Century Gothic" w:cstheme="minorBidi"/>
          <w:sz w:val="26"/>
          <w:szCs w:val="26"/>
          <w:lang w:val="es-MX" w:eastAsia="en-US"/>
        </w:rPr>
        <w:t>POS-14/2025</w:t>
      </w:r>
      <w:r w:rsidR="001771FA">
        <w:rPr>
          <w:rFonts w:ascii="Century Gothic" w:eastAsiaTheme="minorHAnsi" w:hAnsi="Century Gothic" w:cstheme="minorBidi"/>
          <w:sz w:val="26"/>
          <w:szCs w:val="26"/>
          <w:lang w:val="es-MX" w:eastAsia="en-US"/>
        </w:rPr>
        <w:t xml:space="preserve"> y posterior a</w:t>
      </w:r>
      <w:r w:rsidR="008461DA">
        <w:rPr>
          <w:rFonts w:ascii="Century Gothic" w:eastAsiaTheme="minorHAnsi" w:hAnsi="Century Gothic" w:cstheme="minorBidi"/>
          <w:sz w:val="26"/>
          <w:szCs w:val="26"/>
          <w:lang w:val="es-MX" w:eastAsia="en-US"/>
        </w:rPr>
        <w:t xml:space="preserve"> la sustanciación se remitió al Tribunal Electoral del Estado de Nuevo León</w:t>
      </w:r>
      <w:r w:rsidR="002D2858">
        <w:rPr>
          <w:rStyle w:val="Refdenotaalpie"/>
          <w:rFonts w:ascii="Century Gothic" w:eastAsiaTheme="minorHAnsi" w:hAnsi="Century Gothic"/>
          <w:sz w:val="26"/>
          <w:szCs w:val="26"/>
          <w:lang w:val="es-MX" w:eastAsia="en-US"/>
        </w:rPr>
        <w:footnoteReference w:id="7"/>
      </w:r>
      <w:r w:rsidR="008461DA">
        <w:rPr>
          <w:rFonts w:ascii="Century Gothic" w:eastAsiaTheme="minorHAnsi" w:hAnsi="Century Gothic" w:cstheme="minorBidi"/>
          <w:sz w:val="26"/>
          <w:szCs w:val="26"/>
          <w:lang w:val="es-MX" w:eastAsia="en-US"/>
        </w:rPr>
        <w:t>, para su resolución.</w:t>
      </w:r>
    </w:p>
    <w:p w14:paraId="16FA8AA0" w14:textId="012BCA20" w:rsidR="000549AF" w:rsidRDefault="008461DA" w:rsidP="001771FA">
      <w:pPr>
        <w:spacing w:before="240" w:after="240" w:line="360" w:lineRule="auto"/>
        <w:jc w:val="both"/>
        <w:rPr>
          <w:rFonts w:ascii="Century Gothic" w:eastAsiaTheme="minorHAnsi" w:hAnsi="Century Gothic" w:cstheme="minorBidi"/>
          <w:sz w:val="26"/>
          <w:szCs w:val="26"/>
          <w:lang w:val="es-MX" w:eastAsia="en-US"/>
        </w:rPr>
      </w:pPr>
      <w:r>
        <w:rPr>
          <w:rFonts w:ascii="Century Gothic" w:eastAsiaTheme="minorHAnsi" w:hAnsi="Century Gothic" w:cstheme="minorBidi"/>
          <w:b/>
          <w:bCs/>
          <w:sz w:val="26"/>
          <w:szCs w:val="26"/>
          <w:lang w:val="es-MX" w:eastAsia="en-US"/>
        </w:rPr>
        <w:t xml:space="preserve">3. </w:t>
      </w:r>
      <w:r w:rsidR="007D60D0">
        <w:rPr>
          <w:rFonts w:ascii="Century Gothic" w:eastAsiaTheme="minorHAnsi" w:hAnsi="Century Gothic" w:cstheme="minorBidi"/>
          <w:b/>
          <w:bCs/>
          <w:sz w:val="26"/>
          <w:szCs w:val="26"/>
          <w:lang w:val="es-MX" w:eastAsia="en-US"/>
        </w:rPr>
        <w:t>Primera r</w:t>
      </w:r>
      <w:r>
        <w:rPr>
          <w:rFonts w:ascii="Century Gothic" w:eastAsiaTheme="minorHAnsi" w:hAnsi="Century Gothic" w:cstheme="minorBidi"/>
          <w:b/>
          <w:bCs/>
          <w:sz w:val="26"/>
          <w:szCs w:val="26"/>
          <w:lang w:val="es-MX" w:eastAsia="en-US"/>
        </w:rPr>
        <w:t>esolución local.</w:t>
      </w:r>
      <w:r>
        <w:rPr>
          <w:rFonts w:ascii="Century Gothic" w:eastAsiaTheme="minorHAnsi" w:hAnsi="Century Gothic" w:cstheme="minorBidi"/>
          <w:sz w:val="26"/>
          <w:szCs w:val="26"/>
          <w:lang w:val="es-MX" w:eastAsia="en-US"/>
        </w:rPr>
        <w:t xml:space="preserve"> El </w:t>
      </w:r>
      <w:r w:rsidR="009A5E10">
        <w:rPr>
          <w:rFonts w:ascii="Century Gothic" w:eastAsiaTheme="minorHAnsi" w:hAnsi="Century Gothic" w:cstheme="minorBidi"/>
          <w:sz w:val="26"/>
          <w:szCs w:val="26"/>
          <w:lang w:val="es-MX" w:eastAsia="en-US"/>
        </w:rPr>
        <w:t>veintidós de enero el órgano jurisdiccional electoral de Nuevo León resolvió el procedimiento de referencia</w:t>
      </w:r>
      <w:r w:rsidR="000549AF">
        <w:rPr>
          <w:rFonts w:ascii="Century Gothic" w:eastAsiaTheme="minorHAnsi" w:hAnsi="Century Gothic" w:cstheme="minorBidi"/>
          <w:sz w:val="26"/>
          <w:szCs w:val="26"/>
          <w:lang w:val="es-MX" w:eastAsia="en-US"/>
        </w:rPr>
        <w:t xml:space="preserve"> y declaró inexistentes las conductas denunciadas</w:t>
      </w:r>
      <w:r w:rsidR="00884583">
        <w:rPr>
          <w:rStyle w:val="Refdenotaalpie"/>
          <w:rFonts w:ascii="Century Gothic" w:eastAsiaTheme="minorHAnsi" w:hAnsi="Century Gothic"/>
          <w:sz w:val="26"/>
          <w:szCs w:val="26"/>
          <w:lang w:val="es-MX" w:eastAsia="en-US"/>
        </w:rPr>
        <w:footnoteReference w:id="8"/>
      </w:r>
      <w:r w:rsidR="000549AF">
        <w:rPr>
          <w:rFonts w:ascii="Century Gothic" w:eastAsiaTheme="minorHAnsi" w:hAnsi="Century Gothic" w:cstheme="minorBidi"/>
          <w:sz w:val="26"/>
          <w:szCs w:val="26"/>
          <w:lang w:val="es-MX" w:eastAsia="en-US"/>
        </w:rPr>
        <w:t>.</w:t>
      </w:r>
    </w:p>
    <w:p w14:paraId="653DF044" w14:textId="06DB2990" w:rsidR="00D179AE" w:rsidRDefault="000549AF" w:rsidP="00D179AE">
      <w:pPr>
        <w:spacing w:before="240" w:after="240" w:line="360" w:lineRule="auto"/>
        <w:jc w:val="both"/>
        <w:rPr>
          <w:rFonts w:ascii="Century Gothic" w:eastAsiaTheme="minorHAnsi" w:hAnsi="Century Gothic" w:cstheme="minorBidi"/>
          <w:sz w:val="26"/>
          <w:szCs w:val="26"/>
          <w:lang w:val="es-MX" w:eastAsia="en-US"/>
        </w:rPr>
      </w:pPr>
      <w:r>
        <w:rPr>
          <w:rFonts w:ascii="Century Gothic" w:eastAsiaTheme="minorHAnsi" w:hAnsi="Century Gothic" w:cstheme="minorBidi"/>
          <w:b/>
          <w:bCs/>
          <w:sz w:val="26"/>
          <w:szCs w:val="26"/>
          <w:lang w:val="es-MX" w:eastAsia="en-US"/>
        </w:rPr>
        <w:t xml:space="preserve">4. </w:t>
      </w:r>
      <w:r w:rsidR="007D60D0">
        <w:rPr>
          <w:rFonts w:ascii="Century Gothic" w:eastAsiaTheme="minorHAnsi" w:hAnsi="Century Gothic" w:cstheme="minorBidi"/>
          <w:b/>
          <w:bCs/>
          <w:sz w:val="26"/>
          <w:szCs w:val="26"/>
          <w:lang w:val="es-MX" w:eastAsia="en-US"/>
        </w:rPr>
        <w:t xml:space="preserve">Primer juicio </w:t>
      </w:r>
      <w:r w:rsidR="00C86B73">
        <w:rPr>
          <w:rFonts w:ascii="Century Gothic" w:eastAsiaTheme="minorHAnsi" w:hAnsi="Century Gothic" w:cstheme="minorBidi"/>
          <w:b/>
          <w:bCs/>
          <w:sz w:val="26"/>
          <w:szCs w:val="26"/>
          <w:lang w:val="es-MX" w:eastAsia="en-US"/>
        </w:rPr>
        <w:t>federal regional.</w:t>
      </w:r>
      <w:r w:rsidR="00C86B73">
        <w:rPr>
          <w:rFonts w:ascii="Century Gothic" w:eastAsiaTheme="minorHAnsi" w:hAnsi="Century Gothic" w:cstheme="minorBidi"/>
          <w:sz w:val="26"/>
          <w:szCs w:val="26"/>
          <w:lang w:val="es-MX" w:eastAsia="en-US"/>
        </w:rPr>
        <w:t xml:space="preserve"> Contra lo resuelto por el Tribunal local, el </w:t>
      </w:r>
      <w:r w:rsidR="00AB53C7">
        <w:rPr>
          <w:rFonts w:ascii="Century Gothic" w:eastAsiaTheme="minorHAnsi" w:hAnsi="Century Gothic" w:cstheme="minorBidi"/>
          <w:sz w:val="26"/>
          <w:szCs w:val="26"/>
          <w:lang w:val="es-MX" w:eastAsia="en-US"/>
        </w:rPr>
        <w:t>Partido Acción Nacional</w:t>
      </w:r>
      <w:r w:rsidR="00C86B73">
        <w:rPr>
          <w:rFonts w:ascii="Century Gothic" w:eastAsiaTheme="minorHAnsi" w:hAnsi="Century Gothic" w:cstheme="minorBidi"/>
          <w:sz w:val="26"/>
          <w:szCs w:val="26"/>
          <w:lang w:val="es-MX" w:eastAsia="en-US"/>
        </w:rPr>
        <w:t xml:space="preserve"> acudió a la Sala Regional</w:t>
      </w:r>
      <w:r w:rsidR="00D179AE">
        <w:rPr>
          <w:rFonts w:ascii="Century Gothic" w:eastAsiaTheme="minorHAnsi" w:hAnsi="Century Gothic" w:cstheme="minorBidi"/>
          <w:sz w:val="26"/>
          <w:szCs w:val="26"/>
          <w:lang w:val="es-MX" w:eastAsia="en-US"/>
        </w:rPr>
        <w:t xml:space="preserve"> Monterrey de este Tribunal</w:t>
      </w:r>
      <w:r w:rsidR="00AB53C7">
        <w:rPr>
          <w:rFonts w:ascii="Century Gothic" w:eastAsiaTheme="minorHAnsi" w:hAnsi="Century Gothic" w:cstheme="minorBidi"/>
          <w:sz w:val="26"/>
          <w:szCs w:val="26"/>
          <w:lang w:val="es-MX" w:eastAsia="en-US"/>
        </w:rPr>
        <w:t>, quien</w:t>
      </w:r>
      <w:r w:rsidR="003417C0">
        <w:rPr>
          <w:rFonts w:ascii="Century Gothic" w:eastAsiaTheme="minorHAnsi" w:hAnsi="Century Gothic" w:cstheme="minorBidi"/>
          <w:sz w:val="26"/>
          <w:szCs w:val="26"/>
          <w:lang w:val="es-MX" w:eastAsia="en-US"/>
        </w:rPr>
        <w:t xml:space="preserve"> el diecisiete de marzo,</w:t>
      </w:r>
      <w:r w:rsidR="00AB53C7">
        <w:rPr>
          <w:rFonts w:ascii="Century Gothic" w:eastAsiaTheme="minorHAnsi" w:hAnsi="Century Gothic" w:cstheme="minorBidi"/>
          <w:sz w:val="26"/>
          <w:szCs w:val="26"/>
          <w:lang w:val="es-MX" w:eastAsia="en-US"/>
        </w:rPr>
        <w:t xml:space="preserve"> a través del juicio gener</w:t>
      </w:r>
      <w:r w:rsidR="00D77DB9">
        <w:rPr>
          <w:rFonts w:ascii="Century Gothic" w:eastAsiaTheme="minorHAnsi" w:hAnsi="Century Gothic" w:cstheme="minorBidi"/>
          <w:sz w:val="26"/>
          <w:szCs w:val="26"/>
          <w:lang w:val="es-MX" w:eastAsia="en-US"/>
        </w:rPr>
        <w:t xml:space="preserve">al </w:t>
      </w:r>
      <w:r w:rsidR="00D77DB9" w:rsidRPr="00D77DB9">
        <w:rPr>
          <w:rFonts w:ascii="Century Gothic" w:eastAsiaTheme="minorHAnsi" w:hAnsi="Century Gothic" w:cstheme="minorBidi"/>
          <w:sz w:val="26"/>
          <w:szCs w:val="26"/>
          <w:lang w:val="es-MX" w:eastAsia="en-US"/>
        </w:rPr>
        <w:t>SM-JG-14/2026</w:t>
      </w:r>
      <w:r w:rsidR="003417C0">
        <w:rPr>
          <w:rFonts w:ascii="Century Gothic" w:eastAsiaTheme="minorHAnsi" w:hAnsi="Century Gothic" w:cstheme="minorBidi"/>
          <w:sz w:val="26"/>
          <w:szCs w:val="26"/>
          <w:lang w:val="es-MX" w:eastAsia="en-US"/>
        </w:rPr>
        <w:t>,</w:t>
      </w:r>
      <w:r w:rsidR="00D77DB9">
        <w:rPr>
          <w:rFonts w:ascii="Century Gothic" w:eastAsiaTheme="minorHAnsi" w:hAnsi="Century Gothic" w:cstheme="minorBidi"/>
          <w:sz w:val="26"/>
          <w:szCs w:val="26"/>
          <w:lang w:val="es-MX" w:eastAsia="en-US"/>
        </w:rPr>
        <w:t xml:space="preserve"> </w:t>
      </w:r>
      <w:r w:rsidR="00D77DB9" w:rsidRPr="00D77DB9">
        <w:rPr>
          <w:rFonts w:ascii="Century Gothic" w:eastAsiaTheme="minorHAnsi" w:hAnsi="Century Gothic" w:cstheme="minorBidi"/>
          <w:sz w:val="26"/>
          <w:szCs w:val="26"/>
          <w:lang w:val="es-MX" w:eastAsia="en-US"/>
        </w:rPr>
        <w:t>revoc</w:t>
      </w:r>
      <w:r w:rsidR="00D77DB9">
        <w:rPr>
          <w:rFonts w:ascii="Century Gothic" w:eastAsiaTheme="minorHAnsi" w:hAnsi="Century Gothic" w:cstheme="minorBidi"/>
          <w:sz w:val="26"/>
          <w:szCs w:val="26"/>
          <w:lang w:val="es-MX" w:eastAsia="en-US"/>
        </w:rPr>
        <w:t>ó</w:t>
      </w:r>
      <w:r w:rsidR="00D77DB9" w:rsidRPr="00D77DB9">
        <w:rPr>
          <w:rFonts w:ascii="Century Gothic" w:eastAsiaTheme="minorHAnsi" w:hAnsi="Century Gothic" w:cstheme="minorBidi"/>
          <w:sz w:val="26"/>
          <w:szCs w:val="26"/>
          <w:lang w:val="es-MX" w:eastAsia="en-US"/>
        </w:rPr>
        <w:t xml:space="preserve"> la resolución </w:t>
      </w:r>
      <w:r w:rsidR="00D77DB9">
        <w:rPr>
          <w:rFonts w:ascii="Century Gothic" w:eastAsiaTheme="minorHAnsi" w:hAnsi="Century Gothic" w:cstheme="minorBidi"/>
          <w:sz w:val="26"/>
          <w:szCs w:val="26"/>
          <w:lang w:val="es-MX" w:eastAsia="en-US"/>
        </w:rPr>
        <w:t>impugnada</w:t>
      </w:r>
      <w:r w:rsidR="005F2BD2">
        <w:rPr>
          <w:rFonts w:ascii="Century Gothic" w:eastAsiaTheme="minorHAnsi" w:hAnsi="Century Gothic" w:cstheme="minorBidi"/>
          <w:sz w:val="26"/>
          <w:szCs w:val="26"/>
          <w:lang w:val="es-MX" w:eastAsia="en-US"/>
        </w:rPr>
        <w:t xml:space="preserve"> y ordenó a la responsable la emisión de una nueva resolución en la que</w:t>
      </w:r>
      <w:r w:rsidR="00E937D7" w:rsidRPr="00E937D7">
        <w:rPr>
          <w:rFonts w:ascii="Century Gothic" w:eastAsiaTheme="minorHAnsi" w:hAnsi="Century Gothic" w:cstheme="minorBidi"/>
          <w:sz w:val="26"/>
          <w:szCs w:val="26"/>
          <w:lang w:val="es-MX" w:eastAsia="en-US"/>
        </w:rPr>
        <w:t xml:space="preserve"> </w:t>
      </w:r>
      <w:r w:rsidR="00E937D7">
        <w:rPr>
          <w:rFonts w:ascii="Century Gothic" w:eastAsiaTheme="minorHAnsi" w:hAnsi="Century Gothic" w:cstheme="minorBidi"/>
          <w:sz w:val="26"/>
          <w:szCs w:val="26"/>
          <w:lang w:val="es-MX" w:eastAsia="en-US"/>
        </w:rPr>
        <w:t>t</w:t>
      </w:r>
      <w:r w:rsidR="00E937D7" w:rsidRPr="00E937D7">
        <w:rPr>
          <w:rFonts w:ascii="Century Gothic" w:eastAsiaTheme="minorHAnsi" w:hAnsi="Century Gothic" w:cstheme="minorBidi"/>
          <w:sz w:val="26"/>
          <w:szCs w:val="26"/>
          <w:lang w:val="es-MX" w:eastAsia="en-US"/>
        </w:rPr>
        <w:t>uviera por acreditada la indebida</w:t>
      </w:r>
      <w:r w:rsidR="00E937D7">
        <w:rPr>
          <w:rFonts w:ascii="Century Gothic" w:eastAsiaTheme="minorHAnsi" w:hAnsi="Century Gothic" w:cstheme="minorBidi"/>
          <w:sz w:val="26"/>
          <w:szCs w:val="26"/>
          <w:lang w:val="es-MX" w:eastAsia="en-US"/>
        </w:rPr>
        <w:t xml:space="preserve"> </w:t>
      </w:r>
      <w:r w:rsidR="00E937D7" w:rsidRPr="00E937D7">
        <w:rPr>
          <w:rFonts w:ascii="Century Gothic" w:eastAsiaTheme="minorHAnsi" w:hAnsi="Century Gothic" w:cstheme="minorBidi"/>
          <w:sz w:val="26"/>
          <w:szCs w:val="26"/>
          <w:lang w:val="es-MX" w:eastAsia="en-US"/>
        </w:rPr>
        <w:t>difusión del informe de labores del sujeto denunciado</w:t>
      </w:r>
      <w:r w:rsidR="00D179AE">
        <w:rPr>
          <w:rFonts w:ascii="Century Gothic" w:eastAsiaTheme="minorHAnsi" w:hAnsi="Century Gothic" w:cstheme="minorBidi"/>
          <w:sz w:val="26"/>
          <w:szCs w:val="26"/>
          <w:lang w:val="es-MX" w:eastAsia="en-US"/>
        </w:rPr>
        <w:t xml:space="preserve"> (hoy recurrente)</w:t>
      </w:r>
      <w:r w:rsidR="00E937D7" w:rsidRPr="00E937D7">
        <w:rPr>
          <w:rFonts w:ascii="Century Gothic" w:eastAsiaTheme="minorHAnsi" w:hAnsi="Century Gothic" w:cstheme="minorBidi"/>
          <w:sz w:val="26"/>
          <w:szCs w:val="26"/>
          <w:lang w:val="es-MX" w:eastAsia="en-US"/>
        </w:rPr>
        <w:t xml:space="preserve"> y determinara la</w:t>
      </w:r>
      <w:r w:rsidR="00E937D7">
        <w:rPr>
          <w:rFonts w:ascii="Century Gothic" w:eastAsiaTheme="minorHAnsi" w:hAnsi="Century Gothic" w:cstheme="minorBidi"/>
          <w:sz w:val="26"/>
          <w:szCs w:val="26"/>
          <w:lang w:val="es-MX" w:eastAsia="en-US"/>
        </w:rPr>
        <w:t xml:space="preserve"> </w:t>
      </w:r>
      <w:r w:rsidR="00E937D7" w:rsidRPr="00E937D7">
        <w:rPr>
          <w:rFonts w:ascii="Century Gothic" w:eastAsiaTheme="minorHAnsi" w:hAnsi="Century Gothic" w:cstheme="minorBidi"/>
          <w:sz w:val="26"/>
          <w:szCs w:val="26"/>
          <w:lang w:val="es-MX" w:eastAsia="en-US"/>
        </w:rPr>
        <w:t>consecuencia que conforme a Derecho procediera</w:t>
      </w:r>
      <w:r w:rsidR="00D179AE">
        <w:rPr>
          <w:rFonts w:ascii="Century Gothic" w:eastAsiaTheme="minorHAnsi" w:hAnsi="Century Gothic" w:cstheme="minorBidi"/>
          <w:sz w:val="26"/>
          <w:szCs w:val="26"/>
          <w:lang w:val="es-MX" w:eastAsia="en-US"/>
        </w:rPr>
        <w:t>; además</w:t>
      </w:r>
      <w:r w:rsidR="002127B1">
        <w:rPr>
          <w:rFonts w:ascii="Century Gothic" w:eastAsiaTheme="minorHAnsi" w:hAnsi="Century Gothic" w:cstheme="minorBidi"/>
          <w:sz w:val="26"/>
          <w:szCs w:val="26"/>
          <w:lang w:val="es-MX" w:eastAsia="en-US"/>
        </w:rPr>
        <w:t>,</w:t>
      </w:r>
      <w:r w:rsidR="00D179AE">
        <w:rPr>
          <w:rFonts w:ascii="Century Gothic" w:eastAsiaTheme="minorHAnsi" w:hAnsi="Century Gothic" w:cstheme="minorBidi"/>
          <w:sz w:val="26"/>
          <w:szCs w:val="26"/>
          <w:lang w:val="es-MX" w:eastAsia="en-US"/>
        </w:rPr>
        <w:t xml:space="preserve">  que </w:t>
      </w:r>
      <w:r w:rsidR="00E937D7" w:rsidRPr="00E937D7">
        <w:rPr>
          <w:rFonts w:ascii="Century Gothic" w:eastAsiaTheme="minorHAnsi" w:hAnsi="Century Gothic" w:cstheme="minorBidi"/>
          <w:sz w:val="26"/>
          <w:szCs w:val="26"/>
          <w:lang w:val="es-MX" w:eastAsia="en-US"/>
        </w:rPr>
        <w:t>analizara si se</w:t>
      </w:r>
      <w:r w:rsidR="00D179AE">
        <w:rPr>
          <w:rFonts w:ascii="Century Gothic" w:eastAsiaTheme="minorHAnsi" w:hAnsi="Century Gothic" w:cstheme="minorBidi"/>
          <w:sz w:val="26"/>
          <w:szCs w:val="26"/>
          <w:lang w:val="es-MX" w:eastAsia="en-US"/>
        </w:rPr>
        <w:t xml:space="preserve"> </w:t>
      </w:r>
      <w:r w:rsidR="00E937D7" w:rsidRPr="00E937D7">
        <w:rPr>
          <w:rFonts w:ascii="Century Gothic" w:eastAsiaTheme="minorHAnsi" w:hAnsi="Century Gothic" w:cstheme="minorBidi"/>
          <w:sz w:val="26"/>
          <w:szCs w:val="26"/>
          <w:lang w:val="es-MX" w:eastAsia="en-US"/>
        </w:rPr>
        <w:t>incurrió o no en alguna infracción conforme a lo previsto en los párrafos</w:t>
      </w:r>
      <w:r w:rsidR="00D179AE">
        <w:rPr>
          <w:rFonts w:ascii="Century Gothic" w:eastAsiaTheme="minorHAnsi" w:hAnsi="Century Gothic" w:cstheme="minorBidi"/>
          <w:sz w:val="26"/>
          <w:szCs w:val="26"/>
          <w:lang w:val="es-MX" w:eastAsia="en-US"/>
        </w:rPr>
        <w:t xml:space="preserve"> </w:t>
      </w:r>
      <w:r w:rsidR="00E937D7" w:rsidRPr="00E937D7">
        <w:rPr>
          <w:rFonts w:ascii="Century Gothic" w:eastAsiaTheme="minorHAnsi" w:hAnsi="Century Gothic" w:cstheme="minorBidi"/>
          <w:sz w:val="26"/>
          <w:szCs w:val="26"/>
          <w:lang w:val="es-MX" w:eastAsia="en-US"/>
        </w:rPr>
        <w:t>octavo y noveno del artículo 134 de la Constitución Federal, sobre la</w:t>
      </w:r>
      <w:r w:rsidR="00D179AE">
        <w:rPr>
          <w:rFonts w:ascii="Century Gothic" w:eastAsiaTheme="minorHAnsi" w:hAnsi="Century Gothic" w:cstheme="minorBidi"/>
          <w:sz w:val="26"/>
          <w:szCs w:val="26"/>
          <w:lang w:val="es-MX" w:eastAsia="en-US"/>
        </w:rPr>
        <w:t xml:space="preserve"> </w:t>
      </w:r>
      <w:r w:rsidR="00E937D7" w:rsidRPr="00E937D7">
        <w:rPr>
          <w:rFonts w:ascii="Century Gothic" w:eastAsiaTheme="minorHAnsi" w:hAnsi="Century Gothic" w:cstheme="minorBidi"/>
          <w:sz w:val="26"/>
          <w:szCs w:val="26"/>
          <w:lang w:val="es-MX" w:eastAsia="en-US"/>
        </w:rPr>
        <w:t>base de que, los anuncios espectaculares que difundieron el informe</w:t>
      </w:r>
      <w:r w:rsidR="00D179AE">
        <w:rPr>
          <w:rFonts w:ascii="Century Gothic" w:eastAsiaTheme="minorHAnsi" w:hAnsi="Century Gothic" w:cstheme="minorBidi"/>
          <w:sz w:val="26"/>
          <w:szCs w:val="26"/>
          <w:lang w:val="es-MX" w:eastAsia="en-US"/>
        </w:rPr>
        <w:t xml:space="preserve"> </w:t>
      </w:r>
      <w:r w:rsidR="00E937D7" w:rsidRPr="00E937D7">
        <w:rPr>
          <w:rFonts w:ascii="Century Gothic" w:eastAsiaTheme="minorHAnsi" w:hAnsi="Century Gothic" w:cstheme="minorBidi"/>
          <w:sz w:val="26"/>
          <w:szCs w:val="26"/>
          <w:lang w:val="es-MX" w:eastAsia="en-US"/>
        </w:rPr>
        <w:t>tienen el carácter de propaganda gubernamental</w:t>
      </w:r>
      <w:r w:rsidR="00657638">
        <w:rPr>
          <w:rStyle w:val="Refdenotaalpie"/>
          <w:rFonts w:ascii="Century Gothic" w:eastAsiaTheme="minorHAnsi" w:hAnsi="Century Gothic"/>
          <w:sz w:val="26"/>
          <w:szCs w:val="26"/>
          <w:lang w:val="es-MX" w:eastAsia="en-US"/>
        </w:rPr>
        <w:footnoteReference w:id="9"/>
      </w:r>
      <w:r w:rsidR="00D179AE">
        <w:rPr>
          <w:rFonts w:ascii="Century Gothic" w:eastAsiaTheme="minorHAnsi" w:hAnsi="Century Gothic" w:cstheme="minorBidi"/>
          <w:sz w:val="26"/>
          <w:szCs w:val="26"/>
          <w:lang w:val="es-MX" w:eastAsia="en-US"/>
        </w:rPr>
        <w:t>.</w:t>
      </w:r>
    </w:p>
    <w:p w14:paraId="203F1766" w14:textId="1A6529E4" w:rsidR="00D179AE" w:rsidRDefault="00D179AE" w:rsidP="004B473E">
      <w:pPr>
        <w:spacing w:before="240" w:after="240" w:line="360" w:lineRule="auto"/>
        <w:jc w:val="both"/>
        <w:rPr>
          <w:rFonts w:ascii="Century Gothic" w:eastAsiaTheme="minorHAnsi" w:hAnsi="Century Gothic" w:cstheme="minorBidi"/>
          <w:sz w:val="26"/>
          <w:szCs w:val="26"/>
          <w:lang w:val="es-MX" w:eastAsia="en-US"/>
        </w:rPr>
      </w:pPr>
      <w:r>
        <w:rPr>
          <w:rFonts w:ascii="Century Gothic" w:eastAsiaTheme="minorHAnsi" w:hAnsi="Century Gothic" w:cstheme="minorBidi"/>
          <w:b/>
          <w:bCs/>
          <w:sz w:val="26"/>
          <w:szCs w:val="26"/>
          <w:lang w:val="es-MX" w:eastAsia="en-US"/>
        </w:rPr>
        <w:t xml:space="preserve">5. Segunda resolución local. </w:t>
      </w:r>
      <w:r>
        <w:rPr>
          <w:rFonts w:ascii="Century Gothic" w:eastAsiaTheme="minorHAnsi" w:hAnsi="Century Gothic" w:cstheme="minorBidi"/>
          <w:sz w:val="26"/>
          <w:szCs w:val="26"/>
          <w:lang w:val="es-MX" w:eastAsia="en-US"/>
        </w:rPr>
        <w:t>En acatamiento a lo ordenado por la Sala Regiona</w:t>
      </w:r>
      <w:r w:rsidR="005A75EA">
        <w:rPr>
          <w:rFonts w:ascii="Century Gothic" w:eastAsiaTheme="minorHAnsi" w:hAnsi="Century Gothic" w:cstheme="minorBidi"/>
          <w:sz w:val="26"/>
          <w:szCs w:val="26"/>
          <w:lang w:val="es-MX" w:eastAsia="en-US"/>
        </w:rPr>
        <w:t xml:space="preserve">l, </w:t>
      </w:r>
      <w:r w:rsidR="00D6179D">
        <w:rPr>
          <w:rFonts w:ascii="Century Gothic" w:eastAsiaTheme="minorHAnsi" w:hAnsi="Century Gothic" w:cstheme="minorBidi"/>
          <w:sz w:val="26"/>
          <w:szCs w:val="26"/>
          <w:lang w:val="es-MX" w:eastAsia="en-US"/>
        </w:rPr>
        <w:t xml:space="preserve">el quince de abril </w:t>
      </w:r>
      <w:r w:rsidR="005A75EA">
        <w:rPr>
          <w:rFonts w:ascii="Century Gothic" w:eastAsiaTheme="minorHAnsi" w:hAnsi="Century Gothic" w:cstheme="minorBidi"/>
          <w:sz w:val="26"/>
          <w:szCs w:val="26"/>
          <w:lang w:val="es-MX" w:eastAsia="en-US"/>
        </w:rPr>
        <w:t xml:space="preserve">el Tribunal local </w:t>
      </w:r>
      <w:r w:rsidR="004B3969">
        <w:rPr>
          <w:rFonts w:ascii="Century Gothic" w:eastAsiaTheme="minorHAnsi" w:hAnsi="Century Gothic" w:cstheme="minorBidi"/>
          <w:sz w:val="26"/>
          <w:szCs w:val="26"/>
          <w:lang w:val="es-MX" w:eastAsia="en-US"/>
        </w:rPr>
        <w:t xml:space="preserve">dictó </w:t>
      </w:r>
      <w:r w:rsidR="004B473E">
        <w:rPr>
          <w:rFonts w:ascii="Century Gothic" w:eastAsiaTheme="minorHAnsi" w:hAnsi="Century Gothic" w:cstheme="minorBidi"/>
          <w:sz w:val="26"/>
          <w:szCs w:val="26"/>
          <w:lang w:val="es-MX" w:eastAsia="en-US"/>
        </w:rPr>
        <w:t xml:space="preserve">nueva resolución en la que, en esencia, </w:t>
      </w:r>
      <w:r w:rsidR="004B473E" w:rsidRPr="004B473E">
        <w:rPr>
          <w:rFonts w:ascii="Century Gothic" w:eastAsiaTheme="minorHAnsi" w:hAnsi="Century Gothic" w:cstheme="minorBidi"/>
          <w:sz w:val="26"/>
          <w:szCs w:val="26"/>
          <w:lang w:val="es-MX" w:eastAsia="en-US"/>
        </w:rPr>
        <w:t>determinó la existencia de las infracciones consistentes en la indebida</w:t>
      </w:r>
      <w:r w:rsidR="004B473E">
        <w:rPr>
          <w:rFonts w:ascii="Century Gothic" w:eastAsiaTheme="minorHAnsi" w:hAnsi="Century Gothic" w:cstheme="minorBidi"/>
          <w:sz w:val="26"/>
          <w:szCs w:val="26"/>
          <w:lang w:val="es-MX" w:eastAsia="en-US"/>
        </w:rPr>
        <w:t xml:space="preserve"> </w:t>
      </w:r>
      <w:r w:rsidR="004B473E" w:rsidRPr="004B473E">
        <w:rPr>
          <w:rFonts w:ascii="Century Gothic" w:eastAsiaTheme="minorHAnsi" w:hAnsi="Century Gothic" w:cstheme="minorBidi"/>
          <w:sz w:val="26"/>
          <w:szCs w:val="26"/>
          <w:lang w:val="es-MX" w:eastAsia="en-US"/>
        </w:rPr>
        <w:t>difusión del informe de labores fuera del ámbito regional de</w:t>
      </w:r>
      <w:r w:rsidR="004B473E">
        <w:rPr>
          <w:rFonts w:ascii="Century Gothic" w:eastAsiaTheme="minorHAnsi" w:hAnsi="Century Gothic" w:cstheme="minorBidi"/>
          <w:sz w:val="26"/>
          <w:szCs w:val="26"/>
          <w:lang w:val="es-MX" w:eastAsia="en-US"/>
        </w:rPr>
        <w:t xml:space="preserve"> </w:t>
      </w:r>
      <w:r w:rsidR="004B473E" w:rsidRPr="004B473E">
        <w:rPr>
          <w:rFonts w:ascii="Century Gothic" w:eastAsiaTheme="minorHAnsi" w:hAnsi="Century Gothic" w:cstheme="minorBidi"/>
          <w:sz w:val="26"/>
          <w:szCs w:val="26"/>
          <w:lang w:val="es-MX" w:eastAsia="en-US"/>
        </w:rPr>
        <w:t>responsabilidad del servidor público denunciado, promoción</w:t>
      </w:r>
      <w:r w:rsidR="004B473E">
        <w:rPr>
          <w:rFonts w:ascii="Century Gothic" w:eastAsiaTheme="minorHAnsi" w:hAnsi="Century Gothic" w:cstheme="minorBidi"/>
          <w:sz w:val="26"/>
          <w:szCs w:val="26"/>
          <w:lang w:val="es-MX" w:eastAsia="en-US"/>
        </w:rPr>
        <w:t xml:space="preserve"> </w:t>
      </w:r>
      <w:r w:rsidR="004B473E" w:rsidRPr="004B473E">
        <w:rPr>
          <w:rFonts w:ascii="Century Gothic" w:eastAsiaTheme="minorHAnsi" w:hAnsi="Century Gothic" w:cstheme="minorBidi"/>
          <w:sz w:val="26"/>
          <w:szCs w:val="26"/>
          <w:lang w:val="es-MX" w:eastAsia="en-US"/>
        </w:rPr>
        <w:t>personalizada y vulneración a los principios de imparcialidad y</w:t>
      </w:r>
      <w:r w:rsidR="004B473E">
        <w:rPr>
          <w:rFonts w:ascii="Century Gothic" w:eastAsiaTheme="minorHAnsi" w:hAnsi="Century Gothic" w:cstheme="minorBidi"/>
          <w:sz w:val="26"/>
          <w:szCs w:val="26"/>
          <w:lang w:val="es-MX" w:eastAsia="en-US"/>
        </w:rPr>
        <w:t xml:space="preserve"> </w:t>
      </w:r>
      <w:r w:rsidR="004B473E" w:rsidRPr="004B473E">
        <w:rPr>
          <w:rFonts w:ascii="Century Gothic" w:eastAsiaTheme="minorHAnsi" w:hAnsi="Century Gothic" w:cstheme="minorBidi"/>
          <w:sz w:val="26"/>
          <w:szCs w:val="26"/>
          <w:lang w:val="es-MX" w:eastAsia="en-US"/>
        </w:rPr>
        <w:t>neutralidad, así como uso indebido de recursos públicos</w:t>
      </w:r>
      <w:r w:rsidR="007C4B29">
        <w:rPr>
          <w:rStyle w:val="Refdenotaalpie"/>
          <w:rFonts w:ascii="Century Gothic" w:eastAsiaTheme="minorHAnsi" w:hAnsi="Century Gothic"/>
          <w:sz w:val="26"/>
          <w:szCs w:val="26"/>
          <w:lang w:val="es-MX" w:eastAsia="en-US"/>
        </w:rPr>
        <w:footnoteReference w:id="10"/>
      </w:r>
      <w:r w:rsidR="004B473E" w:rsidRPr="004B473E">
        <w:rPr>
          <w:rFonts w:ascii="Century Gothic" w:eastAsiaTheme="minorHAnsi" w:hAnsi="Century Gothic" w:cstheme="minorBidi"/>
          <w:sz w:val="26"/>
          <w:szCs w:val="26"/>
          <w:lang w:val="es-MX" w:eastAsia="en-US"/>
        </w:rPr>
        <w:t>.</w:t>
      </w:r>
    </w:p>
    <w:p w14:paraId="19462AB9" w14:textId="0D4EF3A9" w:rsidR="004B473E" w:rsidRPr="004B473E" w:rsidRDefault="004B473E" w:rsidP="004B473E">
      <w:pPr>
        <w:spacing w:before="240" w:after="240" w:line="360" w:lineRule="auto"/>
        <w:jc w:val="both"/>
        <w:rPr>
          <w:rFonts w:ascii="Century Gothic" w:eastAsiaTheme="minorHAnsi" w:hAnsi="Century Gothic" w:cstheme="minorBidi"/>
          <w:sz w:val="26"/>
          <w:szCs w:val="26"/>
          <w:lang w:val="es-MX" w:eastAsia="en-US"/>
        </w:rPr>
      </w:pPr>
      <w:r>
        <w:rPr>
          <w:rFonts w:ascii="Century Gothic" w:eastAsiaTheme="minorHAnsi" w:hAnsi="Century Gothic" w:cstheme="minorBidi"/>
          <w:b/>
          <w:bCs/>
          <w:sz w:val="26"/>
          <w:szCs w:val="26"/>
          <w:lang w:val="es-MX" w:eastAsia="en-US"/>
        </w:rPr>
        <w:t>6. Segundo juicio federal regional</w:t>
      </w:r>
      <w:r w:rsidR="00F11B0D">
        <w:rPr>
          <w:rFonts w:ascii="Century Gothic" w:eastAsiaTheme="minorHAnsi" w:hAnsi="Century Gothic" w:cstheme="minorBidi"/>
          <w:b/>
          <w:bCs/>
          <w:sz w:val="26"/>
          <w:szCs w:val="26"/>
          <w:lang w:val="es-MX" w:eastAsia="en-US"/>
        </w:rPr>
        <w:t xml:space="preserve"> (acto reclamado)</w:t>
      </w:r>
      <w:r>
        <w:rPr>
          <w:rFonts w:ascii="Century Gothic" w:eastAsiaTheme="minorHAnsi" w:hAnsi="Century Gothic" w:cstheme="minorBidi"/>
          <w:b/>
          <w:bCs/>
          <w:sz w:val="26"/>
          <w:szCs w:val="26"/>
          <w:lang w:val="es-MX" w:eastAsia="en-US"/>
        </w:rPr>
        <w:t>.</w:t>
      </w:r>
      <w:r>
        <w:rPr>
          <w:rFonts w:ascii="Century Gothic" w:eastAsiaTheme="minorHAnsi" w:hAnsi="Century Gothic" w:cstheme="minorBidi"/>
          <w:sz w:val="26"/>
          <w:szCs w:val="26"/>
          <w:lang w:val="es-MX" w:eastAsia="en-US"/>
        </w:rPr>
        <w:t xml:space="preserve"> Derivado de lo resuelto, el hoy recurrente presentó nuevo medio de impugnación ante la Sala Regio</w:t>
      </w:r>
      <w:r w:rsidR="00E07F66">
        <w:rPr>
          <w:rFonts w:ascii="Century Gothic" w:eastAsiaTheme="minorHAnsi" w:hAnsi="Century Gothic" w:cstheme="minorBidi"/>
          <w:sz w:val="26"/>
          <w:szCs w:val="26"/>
          <w:lang w:val="es-MX" w:eastAsia="en-US"/>
        </w:rPr>
        <w:t xml:space="preserve">nal Monterrey, </w:t>
      </w:r>
      <w:r w:rsidR="005F7823">
        <w:rPr>
          <w:rFonts w:ascii="Century Gothic" w:eastAsiaTheme="minorHAnsi" w:hAnsi="Century Gothic" w:cstheme="minorBidi"/>
          <w:sz w:val="26"/>
          <w:szCs w:val="26"/>
          <w:lang w:val="es-MX" w:eastAsia="en-US"/>
        </w:rPr>
        <w:t>el cual se radicó con el expediente</w:t>
      </w:r>
      <w:r w:rsidR="00F11B0D">
        <w:rPr>
          <w:rFonts w:ascii="Century Gothic" w:eastAsiaTheme="minorHAnsi" w:hAnsi="Century Gothic" w:cstheme="minorBidi"/>
          <w:sz w:val="26"/>
          <w:szCs w:val="26"/>
          <w:lang w:val="es-MX" w:eastAsia="en-US"/>
        </w:rPr>
        <w:t xml:space="preserve"> </w:t>
      </w:r>
      <w:r w:rsidR="00F11B0D" w:rsidRPr="00F11B0D">
        <w:rPr>
          <w:rFonts w:ascii="Century Gothic" w:eastAsiaTheme="minorHAnsi" w:hAnsi="Century Gothic" w:cstheme="minorBidi"/>
          <w:sz w:val="26"/>
          <w:szCs w:val="26"/>
          <w:lang w:val="es-MX" w:eastAsia="en-US"/>
        </w:rPr>
        <w:t>SM-JG-24/2026</w:t>
      </w:r>
      <w:r w:rsidR="00BD5239">
        <w:rPr>
          <w:rFonts w:ascii="Century Gothic" w:eastAsiaTheme="minorHAnsi" w:hAnsi="Century Gothic" w:cstheme="minorBidi"/>
          <w:sz w:val="26"/>
          <w:szCs w:val="26"/>
          <w:lang w:val="es-MX" w:eastAsia="en-US"/>
        </w:rPr>
        <w:t xml:space="preserve"> y fue resuelto el dieciocho de junio, confirmándose l</w:t>
      </w:r>
      <w:r w:rsidR="009F79C0">
        <w:rPr>
          <w:rFonts w:ascii="Century Gothic" w:eastAsiaTheme="minorHAnsi" w:hAnsi="Century Gothic" w:cstheme="minorBidi"/>
          <w:sz w:val="26"/>
          <w:szCs w:val="26"/>
          <w:lang w:val="es-MX" w:eastAsia="en-US"/>
        </w:rPr>
        <w:t>o resuelto por el Tribunal local</w:t>
      </w:r>
      <w:r w:rsidR="006A553E">
        <w:rPr>
          <w:rStyle w:val="Refdenotaalpie"/>
          <w:rFonts w:ascii="Century Gothic" w:eastAsiaTheme="minorHAnsi" w:hAnsi="Century Gothic"/>
          <w:sz w:val="26"/>
          <w:szCs w:val="26"/>
          <w:lang w:val="es-MX" w:eastAsia="en-US"/>
        </w:rPr>
        <w:footnoteReference w:id="11"/>
      </w:r>
      <w:r w:rsidR="009F79C0">
        <w:rPr>
          <w:rFonts w:ascii="Century Gothic" w:eastAsiaTheme="minorHAnsi" w:hAnsi="Century Gothic" w:cstheme="minorBidi"/>
          <w:sz w:val="26"/>
          <w:szCs w:val="26"/>
          <w:lang w:val="es-MX" w:eastAsia="en-US"/>
        </w:rPr>
        <w:t>.</w:t>
      </w:r>
    </w:p>
    <w:p w14:paraId="2D147DE2" w14:textId="1341B067" w:rsidR="00D805D3" w:rsidRPr="00D805D3" w:rsidRDefault="006E3775" w:rsidP="00DF0F1A">
      <w:pPr>
        <w:spacing w:before="240" w:after="240" w:line="360" w:lineRule="auto"/>
        <w:jc w:val="both"/>
        <w:rPr>
          <w:rFonts w:ascii="Century Gothic" w:eastAsiaTheme="minorHAnsi" w:hAnsi="Century Gothic" w:cstheme="minorBidi"/>
          <w:sz w:val="26"/>
          <w:szCs w:val="26"/>
          <w:lang w:val="es-MX" w:eastAsia="en-US"/>
        </w:rPr>
      </w:pPr>
      <w:r>
        <w:rPr>
          <w:rFonts w:ascii="Century Gothic" w:eastAsiaTheme="minorHAnsi" w:hAnsi="Century Gothic" w:cstheme="minorBidi"/>
          <w:b/>
          <w:bCs/>
          <w:sz w:val="26"/>
          <w:szCs w:val="26"/>
          <w:lang w:val="es-MX" w:eastAsia="en-US"/>
        </w:rPr>
        <w:t>7</w:t>
      </w:r>
      <w:r w:rsidR="00D805D3">
        <w:rPr>
          <w:rFonts w:ascii="Century Gothic" w:eastAsiaTheme="minorHAnsi" w:hAnsi="Century Gothic" w:cstheme="minorBidi"/>
          <w:b/>
          <w:bCs/>
          <w:sz w:val="26"/>
          <w:szCs w:val="26"/>
          <w:lang w:val="es-MX" w:eastAsia="en-US"/>
        </w:rPr>
        <w:t>. Recurso de reconsideración.</w:t>
      </w:r>
      <w:r w:rsidR="00D805D3">
        <w:rPr>
          <w:rFonts w:ascii="Century Gothic" w:eastAsiaTheme="minorHAnsi" w:hAnsi="Century Gothic" w:cstheme="minorBidi"/>
          <w:sz w:val="26"/>
          <w:szCs w:val="26"/>
          <w:lang w:val="es-MX" w:eastAsia="en-US"/>
        </w:rPr>
        <w:t xml:space="preserve"> Contra lo resuelto por la Sala Regional </w:t>
      </w:r>
      <w:r w:rsidR="009F79C0">
        <w:rPr>
          <w:rFonts w:ascii="Century Gothic" w:eastAsiaTheme="minorHAnsi" w:hAnsi="Century Gothic" w:cstheme="minorBidi"/>
          <w:sz w:val="26"/>
          <w:szCs w:val="26"/>
          <w:lang w:val="es-MX" w:eastAsia="en-US"/>
        </w:rPr>
        <w:t>Monterrey</w:t>
      </w:r>
      <w:r w:rsidR="00334508">
        <w:rPr>
          <w:rFonts w:ascii="Century Gothic" w:eastAsiaTheme="minorHAnsi" w:hAnsi="Century Gothic" w:cstheme="minorBidi"/>
          <w:sz w:val="26"/>
          <w:szCs w:val="26"/>
          <w:lang w:val="es-MX" w:eastAsia="en-US"/>
        </w:rPr>
        <w:t xml:space="preserve">, </w:t>
      </w:r>
      <w:r w:rsidR="00450FD9">
        <w:rPr>
          <w:rFonts w:ascii="Century Gothic" w:eastAsiaTheme="minorHAnsi" w:hAnsi="Century Gothic" w:cstheme="minorBidi"/>
          <w:sz w:val="26"/>
          <w:szCs w:val="26"/>
          <w:lang w:val="es-MX" w:eastAsia="en-US"/>
        </w:rPr>
        <w:t xml:space="preserve">el pasado veintitrés de junio </w:t>
      </w:r>
      <w:r w:rsidR="004560AB">
        <w:rPr>
          <w:rFonts w:ascii="Century Gothic" w:eastAsiaTheme="minorHAnsi" w:hAnsi="Century Gothic" w:cstheme="minorBidi"/>
          <w:sz w:val="26"/>
          <w:szCs w:val="26"/>
          <w:lang w:val="es-MX" w:eastAsia="en-US"/>
        </w:rPr>
        <w:t xml:space="preserve">el </w:t>
      </w:r>
      <w:r w:rsidR="00334508">
        <w:rPr>
          <w:rFonts w:ascii="Century Gothic" w:eastAsiaTheme="minorHAnsi" w:hAnsi="Century Gothic" w:cstheme="minorBidi"/>
          <w:sz w:val="26"/>
          <w:szCs w:val="26"/>
          <w:lang w:val="es-MX" w:eastAsia="en-US"/>
        </w:rPr>
        <w:t xml:space="preserve">hoy recurrente </w:t>
      </w:r>
      <w:r w:rsidR="004560AB">
        <w:rPr>
          <w:rFonts w:ascii="Century Gothic" w:eastAsiaTheme="minorHAnsi" w:hAnsi="Century Gothic" w:cstheme="minorBidi"/>
          <w:sz w:val="26"/>
          <w:szCs w:val="26"/>
          <w:lang w:val="es-MX" w:eastAsia="en-US"/>
        </w:rPr>
        <w:t xml:space="preserve">presentó </w:t>
      </w:r>
      <w:r w:rsidR="00450FD9">
        <w:rPr>
          <w:rFonts w:ascii="Century Gothic" w:eastAsiaTheme="minorHAnsi" w:hAnsi="Century Gothic" w:cstheme="minorBidi"/>
          <w:sz w:val="26"/>
          <w:szCs w:val="26"/>
          <w:lang w:val="es-MX" w:eastAsia="en-US"/>
        </w:rPr>
        <w:t>recurso de reconsideración.</w:t>
      </w:r>
    </w:p>
    <w:p w14:paraId="155817BA" w14:textId="0F9D655E" w:rsidR="00296781" w:rsidRDefault="006E3775" w:rsidP="00663CEB">
      <w:pPr>
        <w:spacing w:before="240" w:after="240" w:line="360" w:lineRule="auto"/>
        <w:jc w:val="both"/>
        <w:rPr>
          <w:rFonts w:ascii="Century Gothic" w:hAnsi="Century Gothic" w:cs="Arial"/>
          <w:bCs/>
          <w:sz w:val="26"/>
          <w:szCs w:val="26"/>
          <w:lang w:val="es-419"/>
        </w:rPr>
      </w:pPr>
      <w:r>
        <w:rPr>
          <w:rFonts w:ascii="Century Gothic" w:hAnsi="Century Gothic" w:cs="Arial"/>
          <w:b/>
          <w:bCs/>
          <w:sz w:val="26"/>
          <w:szCs w:val="26"/>
          <w:lang w:val="es-419"/>
        </w:rPr>
        <w:t>8</w:t>
      </w:r>
      <w:r w:rsidR="00EB06AC">
        <w:rPr>
          <w:rFonts w:ascii="Century Gothic" w:hAnsi="Century Gothic" w:cs="Arial"/>
          <w:b/>
          <w:bCs/>
          <w:sz w:val="26"/>
          <w:szCs w:val="26"/>
          <w:lang w:val="es-419"/>
        </w:rPr>
        <w:t xml:space="preserve">. </w:t>
      </w:r>
      <w:r w:rsidR="00DE64C9" w:rsidRPr="00853434">
        <w:rPr>
          <w:rFonts w:ascii="Century Gothic" w:hAnsi="Century Gothic" w:cs="Arial"/>
          <w:b/>
          <w:bCs/>
          <w:sz w:val="26"/>
          <w:szCs w:val="26"/>
          <w:lang w:val="es-419"/>
        </w:rPr>
        <w:t>Registro y t</w:t>
      </w:r>
      <w:r w:rsidR="006D19A6" w:rsidRPr="00853434">
        <w:rPr>
          <w:rFonts w:ascii="Century Gothic" w:hAnsi="Century Gothic" w:cs="Arial"/>
          <w:b/>
          <w:bCs/>
          <w:sz w:val="26"/>
          <w:szCs w:val="26"/>
          <w:lang w:val="es-419"/>
        </w:rPr>
        <w:t xml:space="preserve">urno. </w:t>
      </w:r>
      <w:r w:rsidR="004A3B54" w:rsidRPr="00853434">
        <w:rPr>
          <w:rFonts w:ascii="Century Gothic" w:hAnsi="Century Gothic" w:cs="Arial"/>
          <w:sz w:val="26"/>
          <w:szCs w:val="26"/>
          <w:lang w:val="es-419"/>
        </w:rPr>
        <w:t>R</w:t>
      </w:r>
      <w:r w:rsidR="006D19A6" w:rsidRPr="00853434">
        <w:rPr>
          <w:rFonts w:ascii="Century Gothic" w:hAnsi="Century Gothic" w:cs="Arial"/>
          <w:sz w:val="26"/>
          <w:szCs w:val="26"/>
          <w:lang w:val="es-419"/>
        </w:rPr>
        <w:t>ecibida</w:t>
      </w:r>
      <w:r w:rsidR="001F1166">
        <w:rPr>
          <w:rFonts w:ascii="Century Gothic" w:hAnsi="Century Gothic" w:cs="Arial"/>
          <w:sz w:val="26"/>
          <w:szCs w:val="26"/>
          <w:lang w:val="es-419"/>
        </w:rPr>
        <w:t>s</w:t>
      </w:r>
      <w:r w:rsidR="006D19A6" w:rsidRPr="00853434">
        <w:rPr>
          <w:rFonts w:ascii="Century Gothic" w:hAnsi="Century Gothic" w:cs="Arial"/>
          <w:sz w:val="26"/>
          <w:szCs w:val="26"/>
          <w:lang w:val="es-419"/>
        </w:rPr>
        <w:t xml:space="preserve"> las constancias en este órgano jurisdiccional, </w:t>
      </w:r>
      <w:r w:rsidR="00933BEC" w:rsidRPr="00853434">
        <w:rPr>
          <w:rFonts w:ascii="Century Gothic" w:hAnsi="Century Gothic" w:cs="Arial"/>
          <w:sz w:val="26"/>
          <w:szCs w:val="26"/>
          <w:lang w:val="es-419"/>
        </w:rPr>
        <w:t>l</w:t>
      </w:r>
      <w:r w:rsidR="00B17FC7" w:rsidRPr="00853434">
        <w:rPr>
          <w:rFonts w:ascii="Century Gothic" w:hAnsi="Century Gothic" w:cs="Arial"/>
          <w:sz w:val="26"/>
          <w:szCs w:val="26"/>
          <w:lang w:val="es-419"/>
        </w:rPr>
        <w:t>a</w:t>
      </w:r>
      <w:r w:rsidR="00933BEC" w:rsidRPr="00853434">
        <w:rPr>
          <w:rFonts w:ascii="Century Gothic" w:hAnsi="Century Gothic" w:cs="Arial"/>
          <w:sz w:val="26"/>
          <w:szCs w:val="26"/>
          <w:lang w:val="es-419"/>
        </w:rPr>
        <w:t xml:space="preserve"> </w:t>
      </w:r>
      <w:r w:rsidR="00334EC4" w:rsidRPr="00853434">
        <w:rPr>
          <w:rFonts w:ascii="Century Gothic" w:hAnsi="Century Gothic" w:cs="Arial"/>
          <w:sz w:val="26"/>
          <w:szCs w:val="26"/>
          <w:lang w:val="es-419"/>
        </w:rPr>
        <w:t>Presidencia</w:t>
      </w:r>
      <w:r w:rsidR="00DC0042">
        <w:rPr>
          <w:rFonts w:ascii="Century Gothic" w:hAnsi="Century Gothic" w:cs="Arial"/>
          <w:sz w:val="26"/>
          <w:szCs w:val="26"/>
          <w:lang w:val="es-419"/>
        </w:rPr>
        <w:t xml:space="preserve"> </w:t>
      </w:r>
      <w:r w:rsidR="006D19A6" w:rsidRPr="00853434">
        <w:rPr>
          <w:rFonts w:ascii="Century Gothic" w:hAnsi="Century Gothic" w:cs="Arial"/>
          <w:bCs/>
          <w:sz w:val="26"/>
          <w:szCs w:val="26"/>
          <w:lang w:val="es-419"/>
        </w:rPr>
        <w:t xml:space="preserve">ordenó integrar </w:t>
      </w:r>
      <w:r w:rsidR="00A805E6" w:rsidRPr="00853434">
        <w:rPr>
          <w:rFonts w:ascii="Century Gothic" w:hAnsi="Century Gothic" w:cs="Arial"/>
          <w:bCs/>
          <w:sz w:val="26"/>
          <w:szCs w:val="26"/>
          <w:lang w:val="es-419"/>
        </w:rPr>
        <w:t>y registrar</w:t>
      </w:r>
      <w:r w:rsidR="001F1166">
        <w:rPr>
          <w:rFonts w:ascii="Century Gothic" w:hAnsi="Century Gothic" w:cs="Arial"/>
          <w:bCs/>
          <w:sz w:val="26"/>
          <w:szCs w:val="26"/>
          <w:lang w:val="es-419"/>
        </w:rPr>
        <w:t xml:space="preserve"> el expediente </w:t>
      </w:r>
      <w:r w:rsidR="00C05AAD" w:rsidRPr="00C05AAD">
        <w:rPr>
          <w:rFonts w:ascii="Century Gothic" w:hAnsi="Century Gothic" w:cs="Arial"/>
          <w:b/>
          <w:sz w:val="26"/>
          <w:szCs w:val="26"/>
          <w:lang w:val="es-419"/>
        </w:rPr>
        <w:t>SUP-REC-</w:t>
      </w:r>
      <w:r w:rsidR="00450FD9">
        <w:rPr>
          <w:rFonts w:ascii="Century Gothic" w:hAnsi="Century Gothic" w:cs="Arial"/>
          <w:b/>
          <w:sz w:val="26"/>
          <w:szCs w:val="26"/>
          <w:lang w:val="es-419"/>
        </w:rPr>
        <w:t>274</w:t>
      </w:r>
      <w:r w:rsidR="00C05AAD" w:rsidRPr="00C05AAD">
        <w:rPr>
          <w:rFonts w:ascii="Century Gothic" w:hAnsi="Century Gothic" w:cs="Arial"/>
          <w:b/>
          <w:sz w:val="26"/>
          <w:szCs w:val="26"/>
          <w:lang w:val="es-419"/>
        </w:rPr>
        <w:t>/2026</w:t>
      </w:r>
      <w:r w:rsidR="00C05AAD">
        <w:rPr>
          <w:rFonts w:ascii="Century Gothic" w:hAnsi="Century Gothic" w:cs="Arial"/>
          <w:bCs/>
          <w:sz w:val="26"/>
          <w:szCs w:val="26"/>
          <w:lang w:val="es-419"/>
        </w:rPr>
        <w:t xml:space="preserve">, </w:t>
      </w:r>
      <w:r w:rsidR="001F1166">
        <w:rPr>
          <w:rFonts w:ascii="Century Gothic" w:hAnsi="Century Gothic" w:cs="Arial"/>
          <w:bCs/>
          <w:sz w:val="26"/>
          <w:szCs w:val="26"/>
          <w:lang w:val="es-419"/>
        </w:rPr>
        <w:t>y</w:t>
      </w:r>
      <w:r w:rsidR="00C875E7" w:rsidRPr="00853434">
        <w:rPr>
          <w:rFonts w:ascii="Century Gothic" w:hAnsi="Century Gothic" w:cs="Arial"/>
          <w:bCs/>
          <w:sz w:val="26"/>
          <w:szCs w:val="26"/>
          <w:lang w:val="es-419"/>
        </w:rPr>
        <w:t xml:space="preserve"> </w:t>
      </w:r>
      <w:r w:rsidR="006D19A6" w:rsidRPr="00853434">
        <w:rPr>
          <w:rFonts w:ascii="Century Gothic" w:hAnsi="Century Gothic" w:cs="Arial"/>
          <w:bCs/>
          <w:sz w:val="26"/>
          <w:szCs w:val="26"/>
          <w:lang w:val="es-419"/>
        </w:rPr>
        <w:t xml:space="preserve">turnarlo a </w:t>
      </w:r>
      <w:r w:rsidR="00C875E7" w:rsidRPr="00853434">
        <w:rPr>
          <w:rFonts w:ascii="Century Gothic" w:hAnsi="Century Gothic" w:cs="Arial"/>
          <w:bCs/>
          <w:sz w:val="26"/>
          <w:szCs w:val="26"/>
          <w:lang w:val="es-419"/>
        </w:rPr>
        <w:t xml:space="preserve">la ponencia </w:t>
      </w:r>
      <w:r w:rsidR="00450FD9">
        <w:rPr>
          <w:rFonts w:ascii="Century Gothic" w:hAnsi="Century Gothic" w:cs="Arial"/>
          <w:bCs/>
          <w:sz w:val="26"/>
          <w:szCs w:val="26"/>
          <w:lang w:val="es-419"/>
        </w:rPr>
        <w:t xml:space="preserve">de la </w:t>
      </w:r>
      <w:r w:rsidR="00334EC4" w:rsidRPr="00853434">
        <w:rPr>
          <w:rFonts w:ascii="Century Gothic" w:hAnsi="Century Gothic" w:cs="Arial"/>
          <w:bCs/>
          <w:sz w:val="26"/>
          <w:szCs w:val="26"/>
          <w:lang w:val="es-419"/>
        </w:rPr>
        <w:t>Magistrada</w:t>
      </w:r>
      <w:r w:rsidR="001F1166">
        <w:rPr>
          <w:rFonts w:ascii="Century Gothic" w:hAnsi="Century Gothic" w:cs="Arial"/>
          <w:bCs/>
          <w:sz w:val="26"/>
          <w:szCs w:val="26"/>
          <w:lang w:val="es-419"/>
        </w:rPr>
        <w:t xml:space="preserve"> </w:t>
      </w:r>
      <w:r>
        <w:rPr>
          <w:rFonts w:ascii="Century Gothic" w:hAnsi="Century Gothic" w:cs="Arial"/>
          <w:bCs/>
          <w:sz w:val="26"/>
          <w:szCs w:val="26"/>
          <w:lang w:val="es-419"/>
        </w:rPr>
        <w:t>Mónica Aralí Soto Fregoso</w:t>
      </w:r>
      <w:r w:rsidR="00C875E7" w:rsidRPr="00853434">
        <w:rPr>
          <w:rFonts w:ascii="Century Gothic" w:hAnsi="Century Gothic" w:cs="Arial"/>
          <w:bCs/>
          <w:sz w:val="26"/>
          <w:szCs w:val="26"/>
          <w:lang w:val="es-419"/>
        </w:rPr>
        <w:t xml:space="preserve">, </w:t>
      </w:r>
      <w:r w:rsidR="00461046" w:rsidRPr="00853434">
        <w:rPr>
          <w:rFonts w:ascii="Century Gothic" w:hAnsi="Century Gothic" w:cs="Arial"/>
          <w:bCs/>
          <w:sz w:val="26"/>
          <w:szCs w:val="26"/>
          <w:lang w:val="es-419"/>
        </w:rPr>
        <w:t xml:space="preserve">para los efectos previstos en </w:t>
      </w:r>
      <w:r w:rsidR="00211365" w:rsidRPr="00853434">
        <w:rPr>
          <w:rFonts w:ascii="Century Gothic" w:hAnsi="Century Gothic" w:cs="Arial"/>
          <w:bCs/>
          <w:sz w:val="26"/>
          <w:szCs w:val="26"/>
          <w:lang w:val="es-419"/>
        </w:rPr>
        <w:t>los</w:t>
      </w:r>
      <w:r w:rsidR="00461046" w:rsidRPr="00853434">
        <w:rPr>
          <w:rFonts w:ascii="Century Gothic" w:hAnsi="Century Gothic" w:cs="Arial"/>
          <w:bCs/>
          <w:sz w:val="26"/>
          <w:szCs w:val="26"/>
          <w:lang w:val="es-419"/>
        </w:rPr>
        <w:t xml:space="preserve"> artículo</w:t>
      </w:r>
      <w:r w:rsidR="00211365" w:rsidRPr="00853434">
        <w:rPr>
          <w:rFonts w:ascii="Century Gothic" w:hAnsi="Century Gothic" w:cs="Arial"/>
          <w:bCs/>
          <w:sz w:val="26"/>
          <w:szCs w:val="26"/>
          <w:lang w:val="es-419"/>
        </w:rPr>
        <w:t>s</w:t>
      </w:r>
      <w:r w:rsidR="00461046" w:rsidRPr="00853434">
        <w:rPr>
          <w:rFonts w:ascii="Century Gothic" w:hAnsi="Century Gothic" w:cs="Arial"/>
          <w:bCs/>
          <w:sz w:val="26"/>
          <w:szCs w:val="26"/>
          <w:lang w:val="es-419"/>
        </w:rPr>
        <w:t xml:space="preserve"> 19</w:t>
      </w:r>
      <w:r w:rsidR="00211365" w:rsidRPr="00853434">
        <w:rPr>
          <w:rFonts w:ascii="Century Gothic" w:hAnsi="Century Gothic" w:cs="Arial"/>
          <w:sz w:val="26"/>
          <w:szCs w:val="26"/>
        </w:rPr>
        <w:t xml:space="preserve"> y 68</w:t>
      </w:r>
      <w:r w:rsidR="00461046" w:rsidRPr="00853434">
        <w:rPr>
          <w:rFonts w:ascii="Century Gothic" w:hAnsi="Century Gothic" w:cs="Arial"/>
          <w:bCs/>
          <w:sz w:val="26"/>
          <w:szCs w:val="26"/>
          <w:lang w:val="es-419"/>
        </w:rPr>
        <w:t>, de la Ley General del Sistema de Medios de Impugnación en Materia Electoral</w:t>
      </w:r>
      <w:r w:rsidR="009401AB" w:rsidRPr="00853434">
        <w:rPr>
          <w:rStyle w:val="Refdenotaalpie"/>
          <w:rFonts w:ascii="Century Gothic" w:hAnsi="Century Gothic"/>
          <w:sz w:val="26"/>
          <w:szCs w:val="26"/>
          <w:lang w:val="es-419"/>
        </w:rPr>
        <w:footnoteReference w:id="12"/>
      </w:r>
      <w:r w:rsidR="00B53265" w:rsidRPr="00853434">
        <w:rPr>
          <w:rFonts w:ascii="Century Gothic" w:hAnsi="Century Gothic" w:cs="Arial"/>
          <w:bCs/>
          <w:sz w:val="26"/>
          <w:szCs w:val="26"/>
          <w:lang w:val="es-419"/>
        </w:rPr>
        <w:t>.</w:t>
      </w:r>
    </w:p>
    <w:p w14:paraId="2A8C76ED" w14:textId="1B720078" w:rsidR="00960EF9" w:rsidRPr="00FB1990" w:rsidRDefault="00960EF9" w:rsidP="00663CEB">
      <w:pPr>
        <w:spacing w:before="240" w:after="240" w:line="360" w:lineRule="auto"/>
        <w:jc w:val="both"/>
        <w:rPr>
          <w:rFonts w:ascii="Century Gothic" w:hAnsi="Century Gothic" w:cs="Arial"/>
          <w:bCs/>
          <w:sz w:val="26"/>
          <w:szCs w:val="26"/>
          <w:lang w:val="es-419"/>
        </w:rPr>
      </w:pPr>
      <w:r w:rsidRPr="00FB1990">
        <w:rPr>
          <w:rFonts w:ascii="Century Gothic" w:hAnsi="Century Gothic" w:cs="Arial"/>
          <w:b/>
          <w:sz w:val="26"/>
          <w:szCs w:val="26"/>
          <w:lang w:val="es-419"/>
        </w:rPr>
        <w:t xml:space="preserve">9. Tercero interesado. </w:t>
      </w:r>
      <w:r w:rsidR="00DA0933" w:rsidRPr="00FB1990">
        <w:rPr>
          <w:rFonts w:ascii="Century Gothic" w:hAnsi="Century Gothic" w:cs="Arial"/>
          <w:bCs/>
          <w:sz w:val="26"/>
          <w:szCs w:val="26"/>
          <w:lang w:val="es-419"/>
        </w:rPr>
        <w:t>El veinticinco de junio, el Partido Acción Nacional</w:t>
      </w:r>
      <w:r w:rsidR="003A24CF" w:rsidRPr="00FB1990">
        <w:rPr>
          <w:rFonts w:ascii="Century Gothic" w:hAnsi="Century Gothic" w:cs="Arial"/>
          <w:bCs/>
          <w:sz w:val="26"/>
          <w:szCs w:val="26"/>
          <w:lang w:val="es-419"/>
        </w:rPr>
        <w:t>, a través de su representante propietario ante el Instituto Electoral local p</w:t>
      </w:r>
      <w:r w:rsidR="008A01D0" w:rsidRPr="00FB1990">
        <w:rPr>
          <w:rFonts w:ascii="Century Gothic" w:hAnsi="Century Gothic" w:cs="Arial"/>
          <w:bCs/>
          <w:sz w:val="26"/>
          <w:szCs w:val="26"/>
          <w:lang w:val="es-419"/>
        </w:rPr>
        <w:t xml:space="preserve">resentó escrito </w:t>
      </w:r>
      <w:r w:rsidR="00380AD6" w:rsidRPr="00FB1990">
        <w:rPr>
          <w:rFonts w:ascii="Century Gothic" w:hAnsi="Century Gothic" w:cs="Arial"/>
          <w:bCs/>
          <w:sz w:val="26"/>
          <w:szCs w:val="26"/>
          <w:lang w:val="es-419"/>
        </w:rPr>
        <w:t xml:space="preserve">ante la Sala Regional responsable, </w:t>
      </w:r>
      <w:r w:rsidR="008A01D0" w:rsidRPr="00FB1990">
        <w:rPr>
          <w:rFonts w:ascii="Century Gothic" w:hAnsi="Century Gothic" w:cs="Arial"/>
          <w:bCs/>
          <w:sz w:val="26"/>
          <w:szCs w:val="26"/>
          <w:lang w:val="es-419"/>
        </w:rPr>
        <w:t>a efecto de comparecer como tercero interesado.</w:t>
      </w:r>
    </w:p>
    <w:p w14:paraId="169E1257" w14:textId="47FA09FC" w:rsidR="006D19A6" w:rsidRDefault="00960EF9" w:rsidP="00663CEB">
      <w:pPr>
        <w:spacing w:before="240" w:after="240" w:line="360" w:lineRule="auto"/>
        <w:jc w:val="both"/>
        <w:rPr>
          <w:rFonts w:ascii="Century Gothic" w:hAnsi="Century Gothic" w:cs="Arial"/>
          <w:bCs/>
          <w:sz w:val="26"/>
          <w:szCs w:val="26"/>
          <w:lang w:val="es-419"/>
        </w:rPr>
      </w:pPr>
      <w:r w:rsidRPr="00FB1990">
        <w:rPr>
          <w:rFonts w:ascii="Century Gothic" w:hAnsi="Century Gothic" w:cs="Arial"/>
          <w:b/>
          <w:sz w:val="26"/>
          <w:szCs w:val="26"/>
          <w:lang w:val="es-419"/>
        </w:rPr>
        <w:t>10</w:t>
      </w:r>
      <w:r w:rsidR="00EB06AC" w:rsidRPr="00FB1990">
        <w:rPr>
          <w:rFonts w:ascii="Century Gothic" w:hAnsi="Century Gothic" w:cs="Arial"/>
          <w:b/>
          <w:sz w:val="26"/>
          <w:szCs w:val="26"/>
          <w:lang w:val="es-419"/>
        </w:rPr>
        <w:t>.</w:t>
      </w:r>
      <w:r w:rsidR="00EB06AC">
        <w:rPr>
          <w:rFonts w:ascii="Century Gothic" w:hAnsi="Century Gothic" w:cs="Arial"/>
          <w:b/>
          <w:sz w:val="26"/>
          <w:szCs w:val="26"/>
          <w:lang w:val="es-419"/>
        </w:rPr>
        <w:t xml:space="preserve"> </w:t>
      </w:r>
      <w:r w:rsidR="00461046" w:rsidRPr="00853434">
        <w:rPr>
          <w:rFonts w:ascii="Century Gothic" w:hAnsi="Century Gothic" w:cs="Arial"/>
          <w:b/>
          <w:sz w:val="26"/>
          <w:szCs w:val="26"/>
          <w:lang w:val="es-419"/>
        </w:rPr>
        <w:t>Radicaci</w:t>
      </w:r>
      <w:r w:rsidR="00CB5AE8" w:rsidRPr="00853434">
        <w:rPr>
          <w:rFonts w:ascii="Century Gothic" w:hAnsi="Century Gothic" w:cs="Arial"/>
          <w:b/>
          <w:sz w:val="26"/>
          <w:szCs w:val="26"/>
          <w:lang w:val="es-419"/>
        </w:rPr>
        <w:t>ón</w:t>
      </w:r>
      <w:r w:rsidR="00E27CA7">
        <w:rPr>
          <w:rFonts w:ascii="Century Gothic" w:hAnsi="Century Gothic" w:cs="Arial"/>
          <w:b/>
          <w:sz w:val="26"/>
          <w:szCs w:val="26"/>
          <w:lang w:val="es-419"/>
        </w:rPr>
        <w:t>.</w:t>
      </w:r>
      <w:r w:rsidR="00F7408B" w:rsidRPr="00853434">
        <w:rPr>
          <w:rFonts w:ascii="Century Gothic" w:hAnsi="Century Gothic" w:cs="Arial"/>
          <w:b/>
          <w:sz w:val="26"/>
          <w:szCs w:val="26"/>
          <w:lang w:val="es-419"/>
        </w:rPr>
        <w:t xml:space="preserve"> </w:t>
      </w:r>
      <w:r w:rsidR="00B45335" w:rsidRPr="00853434">
        <w:rPr>
          <w:rFonts w:ascii="Century Gothic" w:hAnsi="Century Gothic" w:cs="Arial"/>
          <w:bCs/>
          <w:sz w:val="26"/>
          <w:szCs w:val="26"/>
          <w:lang w:val="es-419"/>
        </w:rPr>
        <w:t xml:space="preserve">En su oportunidad, la Magistrada Instructora acordó radicar </w:t>
      </w:r>
      <w:r w:rsidR="00EB06AC">
        <w:rPr>
          <w:rFonts w:ascii="Century Gothic" w:hAnsi="Century Gothic" w:cs="Arial"/>
          <w:bCs/>
          <w:sz w:val="26"/>
          <w:szCs w:val="26"/>
          <w:lang w:val="es-419"/>
        </w:rPr>
        <w:t>el</w:t>
      </w:r>
      <w:r w:rsidR="00CB5AE8" w:rsidRPr="00853434">
        <w:rPr>
          <w:rFonts w:ascii="Century Gothic" w:hAnsi="Century Gothic" w:cs="Arial"/>
          <w:bCs/>
          <w:sz w:val="26"/>
          <w:szCs w:val="26"/>
          <w:lang w:val="es-419"/>
        </w:rPr>
        <w:t xml:space="preserve"> </w:t>
      </w:r>
      <w:r w:rsidR="00B45335" w:rsidRPr="00853434">
        <w:rPr>
          <w:rFonts w:ascii="Century Gothic" w:hAnsi="Century Gothic" w:cs="Arial"/>
          <w:bCs/>
          <w:sz w:val="26"/>
          <w:szCs w:val="26"/>
          <w:lang w:val="es-419"/>
        </w:rPr>
        <w:t>expediente</w:t>
      </w:r>
      <w:r w:rsidR="00933BEC" w:rsidRPr="00853434">
        <w:rPr>
          <w:rFonts w:ascii="Century Gothic" w:hAnsi="Century Gothic" w:cs="Arial"/>
          <w:bCs/>
          <w:sz w:val="26"/>
          <w:szCs w:val="26"/>
          <w:lang w:val="es-419"/>
        </w:rPr>
        <w:t xml:space="preserve"> en su ponencia</w:t>
      </w:r>
      <w:r w:rsidR="004C7149" w:rsidRPr="00853434">
        <w:rPr>
          <w:rFonts w:ascii="Century Gothic" w:hAnsi="Century Gothic" w:cs="Arial"/>
          <w:bCs/>
          <w:sz w:val="26"/>
          <w:szCs w:val="26"/>
          <w:lang w:val="es-419"/>
        </w:rPr>
        <w:t>.</w:t>
      </w:r>
    </w:p>
    <w:p w14:paraId="19D5902B" w14:textId="61D6A530" w:rsidR="00CD3D69" w:rsidRPr="00853434" w:rsidRDefault="00511AC8" w:rsidP="00663CEB">
      <w:pPr>
        <w:spacing w:before="240" w:after="240" w:line="360" w:lineRule="auto"/>
        <w:jc w:val="center"/>
        <w:rPr>
          <w:rFonts w:ascii="Century Gothic" w:hAnsi="Century Gothic" w:cs="Arial"/>
          <w:b/>
          <w:spacing w:val="30"/>
          <w:sz w:val="26"/>
          <w:szCs w:val="26"/>
          <w:lang w:val="es-419"/>
        </w:rPr>
      </w:pPr>
      <w:r w:rsidRPr="00853434">
        <w:rPr>
          <w:rFonts w:ascii="Century Gothic" w:hAnsi="Century Gothic" w:cs="Arial"/>
          <w:b/>
          <w:spacing w:val="30"/>
          <w:sz w:val="26"/>
          <w:szCs w:val="26"/>
          <w:lang w:val="es-419"/>
        </w:rPr>
        <w:t>CONSIDERACIONES</w:t>
      </w:r>
    </w:p>
    <w:p w14:paraId="44A23D40" w14:textId="5038BA99" w:rsidR="00F40C7F" w:rsidRDefault="00CD3D69" w:rsidP="00663CEB">
      <w:pPr>
        <w:tabs>
          <w:tab w:val="left" w:pos="1215"/>
        </w:tabs>
        <w:spacing w:before="240" w:after="240" w:line="360" w:lineRule="auto"/>
        <w:jc w:val="both"/>
        <w:rPr>
          <w:rFonts w:ascii="Century Gothic" w:hAnsi="Century Gothic" w:cs="Arial"/>
          <w:bCs/>
          <w:sz w:val="26"/>
          <w:szCs w:val="26"/>
          <w:lang w:val="es-419"/>
        </w:rPr>
      </w:pPr>
      <w:r w:rsidRPr="00853434">
        <w:rPr>
          <w:rFonts w:ascii="Century Gothic" w:hAnsi="Century Gothic" w:cs="Arial"/>
          <w:b/>
          <w:bCs/>
          <w:sz w:val="26"/>
          <w:szCs w:val="26"/>
          <w:lang w:val="es-419"/>
        </w:rPr>
        <w:t>PRIMERA. Competencia.</w:t>
      </w:r>
      <w:r w:rsidR="006E5447" w:rsidRPr="00853434">
        <w:rPr>
          <w:rFonts w:ascii="Century Gothic" w:hAnsi="Century Gothic" w:cs="Arial"/>
          <w:b/>
          <w:bCs/>
          <w:sz w:val="26"/>
          <w:szCs w:val="26"/>
          <w:lang w:val="es-419"/>
        </w:rPr>
        <w:t xml:space="preserve"> </w:t>
      </w:r>
      <w:r w:rsidRPr="00853434">
        <w:rPr>
          <w:rFonts w:ascii="Century Gothic" w:hAnsi="Century Gothic" w:cs="Arial"/>
          <w:bCs/>
          <w:sz w:val="26"/>
          <w:szCs w:val="26"/>
          <w:lang w:val="es-419"/>
        </w:rPr>
        <w:t xml:space="preserve">La Sala Superior es competente para resolver </w:t>
      </w:r>
      <w:r w:rsidR="00055B42">
        <w:rPr>
          <w:rFonts w:ascii="Century Gothic" w:hAnsi="Century Gothic" w:cs="Arial"/>
          <w:bCs/>
          <w:sz w:val="26"/>
          <w:szCs w:val="26"/>
          <w:lang w:val="es-419"/>
        </w:rPr>
        <w:t xml:space="preserve">el </w:t>
      </w:r>
      <w:r w:rsidR="009D0198" w:rsidRPr="00853434">
        <w:rPr>
          <w:rFonts w:ascii="Century Gothic" w:hAnsi="Century Gothic" w:cs="Arial"/>
          <w:bCs/>
          <w:sz w:val="26"/>
          <w:szCs w:val="26"/>
          <w:lang w:val="es-419"/>
        </w:rPr>
        <w:t xml:space="preserve">medio de impugnación </w:t>
      </w:r>
      <w:r w:rsidR="004D0A53" w:rsidRPr="00853434">
        <w:rPr>
          <w:rFonts w:ascii="Century Gothic" w:hAnsi="Century Gothic" w:cs="Arial"/>
          <w:bCs/>
          <w:sz w:val="26"/>
          <w:szCs w:val="26"/>
          <w:lang w:val="es-419"/>
        </w:rPr>
        <w:t>al rubro indicado</w:t>
      </w:r>
      <w:r w:rsidR="009D0198" w:rsidRPr="00853434">
        <w:rPr>
          <w:rFonts w:ascii="Century Gothic" w:hAnsi="Century Gothic" w:cs="Arial"/>
          <w:bCs/>
          <w:sz w:val="26"/>
          <w:szCs w:val="26"/>
          <w:lang w:val="es-419"/>
        </w:rPr>
        <w:t xml:space="preserve">, por tratarse de </w:t>
      </w:r>
      <w:r w:rsidR="00055B42">
        <w:rPr>
          <w:rFonts w:ascii="Century Gothic" w:hAnsi="Century Gothic" w:cs="Arial"/>
          <w:bCs/>
          <w:sz w:val="26"/>
          <w:szCs w:val="26"/>
          <w:lang w:val="es-419"/>
        </w:rPr>
        <w:t xml:space="preserve">un </w:t>
      </w:r>
      <w:r w:rsidR="009D0198" w:rsidRPr="00853434">
        <w:rPr>
          <w:rFonts w:ascii="Century Gothic" w:hAnsi="Century Gothic" w:cs="Arial"/>
          <w:bCs/>
          <w:sz w:val="26"/>
          <w:szCs w:val="26"/>
          <w:lang w:val="es-419"/>
        </w:rPr>
        <w:t>recurso de reconsideración interpuesto para controvertir una sentencia de fondo emitida por una Sala Regional de este Tribunal, supuesto que le está expresamente reservado</w:t>
      </w:r>
      <w:r w:rsidR="00F40C7F" w:rsidRPr="00853434">
        <w:rPr>
          <w:rFonts w:ascii="Century Gothic" w:hAnsi="Century Gothic" w:cs="Arial"/>
          <w:bCs/>
          <w:sz w:val="26"/>
          <w:szCs w:val="26"/>
          <w:lang w:val="es-419"/>
        </w:rPr>
        <w:t>.</w:t>
      </w:r>
      <w:r w:rsidR="00EC484A" w:rsidRPr="00853434">
        <w:rPr>
          <w:rStyle w:val="Refdenotaalpie"/>
          <w:rFonts w:ascii="Century Gothic" w:hAnsi="Century Gothic"/>
          <w:bCs/>
          <w:sz w:val="26"/>
          <w:szCs w:val="26"/>
          <w:lang w:val="es-419"/>
        </w:rPr>
        <w:footnoteReference w:id="13"/>
      </w:r>
    </w:p>
    <w:p w14:paraId="49E9B527" w14:textId="5B1DE4AE" w:rsidR="00D354FC" w:rsidRPr="00D354FC" w:rsidRDefault="008D1556" w:rsidP="00D354FC">
      <w:pPr>
        <w:spacing w:before="240" w:after="240" w:line="360" w:lineRule="auto"/>
        <w:jc w:val="both"/>
        <w:rPr>
          <w:rFonts w:ascii="Century Gothic" w:hAnsi="Century Gothic" w:cs="Arial"/>
          <w:b/>
          <w:bCs/>
          <w:sz w:val="26"/>
          <w:szCs w:val="26"/>
          <w:lang w:val="es-419" w:eastAsia="es-MX"/>
        </w:rPr>
      </w:pPr>
      <w:r>
        <w:rPr>
          <w:rFonts w:ascii="Century Gothic" w:hAnsi="Century Gothic" w:cs="Arial"/>
          <w:b/>
          <w:sz w:val="26"/>
          <w:szCs w:val="26"/>
          <w:lang w:eastAsia="es-MX"/>
        </w:rPr>
        <w:t>SEGUNDA</w:t>
      </w:r>
      <w:r w:rsidR="00D354FC" w:rsidRPr="00D354FC">
        <w:rPr>
          <w:rFonts w:ascii="Century Gothic" w:hAnsi="Century Gothic" w:cs="Arial"/>
          <w:b/>
          <w:sz w:val="26"/>
          <w:szCs w:val="26"/>
          <w:lang w:eastAsia="es-MX"/>
        </w:rPr>
        <w:t xml:space="preserve">. </w:t>
      </w:r>
      <w:r w:rsidR="00D354FC" w:rsidRPr="00D354FC">
        <w:rPr>
          <w:rFonts w:ascii="Century Gothic" w:hAnsi="Century Gothic" w:cs="Arial"/>
          <w:b/>
          <w:sz w:val="26"/>
          <w:szCs w:val="26"/>
          <w:lang w:val="es-419" w:eastAsia="es-MX"/>
        </w:rPr>
        <w:t>Im</w:t>
      </w:r>
      <w:r w:rsidR="00D354FC" w:rsidRPr="00D354FC">
        <w:rPr>
          <w:rFonts w:ascii="Century Gothic" w:hAnsi="Century Gothic" w:cs="Arial"/>
          <w:b/>
          <w:bCs/>
          <w:sz w:val="26"/>
          <w:szCs w:val="26"/>
          <w:lang w:val="es-419" w:eastAsia="es-MX"/>
        </w:rPr>
        <w:t>procedencia.</w:t>
      </w:r>
      <w:r w:rsidR="00B416B9">
        <w:rPr>
          <w:rFonts w:ascii="Century Gothic" w:hAnsi="Century Gothic" w:cs="Arial"/>
          <w:b/>
          <w:bCs/>
          <w:sz w:val="26"/>
          <w:szCs w:val="26"/>
          <w:lang w:val="es-419" w:eastAsia="es-MX"/>
        </w:rPr>
        <w:t xml:space="preserve"> </w:t>
      </w:r>
      <w:r w:rsidR="00B416B9" w:rsidRPr="00B416B9">
        <w:rPr>
          <w:rFonts w:ascii="Century Gothic" w:hAnsi="Century Gothic" w:cs="Arial"/>
          <w:sz w:val="26"/>
          <w:szCs w:val="26"/>
          <w:lang w:val="es-419" w:eastAsia="es-MX"/>
        </w:rPr>
        <w:t>E</w:t>
      </w:r>
      <w:r w:rsidR="00D354FC" w:rsidRPr="00B416B9">
        <w:rPr>
          <w:rFonts w:ascii="Century Gothic" w:hAnsi="Century Gothic" w:cs="Arial"/>
          <w:sz w:val="26"/>
          <w:szCs w:val="26"/>
          <w:lang w:val="es-419" w:eastAsia="es-MX"/>
        </w:rPr>
        <w:t>sta</w:t>
      </w:r>
      <w:r w:rsidR="00D354FC" w:rsidRPr="00D354FC">
        <w:rPr>
          <w:rFonts w:ascii="Century Gothic" w:hAnsi="Century Gothic" w:cs="Arial"/>
          <w:bCs/>
          <w:sz w:val="26"/>
          <w:szCs w:val="26"/>
          <w:lang w:val="es-419" w:eastAsia="es-MX"/>
        </w:rPr>
        <w:t xml:space="preserve"> Sala Superior considera que debe </w:t>
      </w:r>
      <w:r w:rsidR="00D354FC" w:rsidRPr="00D354FC">
        <w:rPr>
          <w:rFonts w:ascii="Century Gothic" w:hAnsi="Century Gothic" w:cs="Arial"/>
          <w:b/>
          <w:bCs/>
          <w:sz w:val="26"/>
          <w:szCs w:val="26"/>
          <w:lang w:val="es-419" w:eastAsia="es-MX"/>
        </w:rPr>
        <w:t>desecharse</w:t>
      </w:r>
      <w:r w:rsidR="00D354FC" w:rsidRPr="00D354FC">
        <w:rPr>
          <w:rFonts w:ascii="Century Gothic" w:hAnsi="Century Gothic" w:cs="Arial"/>
          <w:bCs/>
          <w:sz w:val="26"/>
          <w:szCs w:val="26"/>
          <w:lang w:val="es-419" w:eastAsia="es-MX"/>
        </w:rPr>
        <w:t xml:space="preserve"> de plano la demanda de</w:t>
      </w:r>
      <w:r w:rsidR="006A2E8F">
        <w:rPr>
          <w:rFonts w:ascii="Century Gothic" w:hAnsi="Century Gothic" w:cs="Arial"/>
          <w:bCs/>
          <w:sz w:val="26"/>
          <w:szCs w:val="26"/>
          <w:lang w:val="es-419" w:eastAsia="es-MX"/>
        </w:rPr>
        <w:t>l</w:t>
      </w:r>
      <w:r w:rsidR="009719AF">
        <w:rPr>
          <w:rFonts w:ascii="Century Gothic" w:hAnsi="Century Gothic" w:cs="Arial"/>
          <w:bCs/>
          <w:sz w:val="26"/>
          <w:szCs w:val="26"/>
          <w:lang w:val="es-419" w:eastAsia="es-MX"/>
        </w:rPr>
        <w:t xml:space="preserve"> </w:t>
      </w:r>
      <w:r w:rsidR="00D354FC" w:rsidRPr="00D354FC">
        <w:rPr>
          <w:rFonts w:ascii="Century Gothic" w:hAnsi="Century Gothic" w:cs="Arial"/>
          <w:bCs/>
          <w:sz w:val="26"/>
          <w:szCs w:val="26"/>
          <w:lang w:val="es-419" w:eastAsia="es-MX"/>
        </w:rPr>
        <w:t>recurso de reconsideración, toda vez que no se cumple con el requisito especial de procedencia, al no subsistir alguna cuestión de constitucionalidad y/o convencionalidad, y no se actualiza ninguno de los supuestos de procedencia que este órgano jurisdiccional ha desarrollado vía jurisprudencia.</w:t>
      </w:r>
    </w:p>
    <w:p w14:paraId="25D7703D" w14:textId="04D45DD5" w:rsidR="00D354FC" w:rsidRPr="00D354FC" w:rsidRDefault="008D1556" w:rsidP="008D1556">
      <w:pPr>
        <w:spacing w:before="240" w:after="240" w:line="360" w:lineRule="auto"/>
        <w:jc w:val="both"/>
        <w:rPr>
          <w:rFonts w:ascii="Century Gothic" w:hAnsi="Century Gothic" w:cs="Arial"/>
          <w:b/>
          <w:bCs/>
          <w:sz w:val="26"/>
          <w:szCs w:val="26"/>
          <w:lang w:val="es-419" w:eastAsia="es-MX"/>
        </w:rPr>
      </w:pPr>
      <w:r w:rsidRPr="008D1556">
        <w:rPr>
          <w:rFonts w:ascii="Century Gothic" w:hAnsi="Century Gothic" w:cs="Arial"/>
          <w:b/>
          <w:bCs/>
          <w:sz w:val="26"/>
          <w:szCs w:val="26"/>
          <w:lang w:val="es-419" w:eastAsia="es-MX"/>
        </w:rPr>
        <w:t xml:space="preserve">A. </w:t>
      </w:r>
      <w:r w:rsidR="00D354FC" w:rsidRPr="00D354FC">
        <w:rPr>
          <w:rFonts w:ascii="Century Gothic" w:hAnsi="Century Gothic" w:cs="Arial"/>
          <w:b/>
          <w:bCs/>
          <w:sz w:val="26"/>
          <w:szCs w:val="26"/>
          <w:lang w:val="es-419" w:eastAsia="es-MX"/>
        </w:rPr>
        <w:t>Marco normativo.</w:t>
      </w:r>
    </w:p>
    <w:p w14:paraId="54F98A2F" w14:textId="77777777" w:rsidR="00D354FC" w:rsidRPr="00D354FC" w:rsidRDefault="00D354FC" w:rsidP="00D354FC">
      <w:pPr>
        <w:spacing w:before="240" w:after="240" w:line="360" w:lineRule="auto"/>
        <w:jc w:val="both"/>
        <w:rPr>
          <w:rFonts w:ascii="Century Gothic" w:hAnsi="Century Gothic" w:cs="Arial"/>
          <w:bCs/>
          <w:sz w:val="26"/>
          <w:szCs w:val="26"/>
          <w:lang w:val="es-419" w:eastAsia="es-MX"/>
        </w:rPr>
      </w:pPr>
      <w:r w:rsidRPr="00D354FC">
        <w:rPr>
          <w:rFonts w:ascii="Century Gothic" w:hAnsi="Century Gothic" w:cs="Arial"/>
          <w:bCs/>
          <w:sz w:val="26"/>
          <w:szCs w:val="26"/>
          <w:lang w:val="es-419" w:eastAsia="es-MX"/>
        </w:rPr>
        <w:t>En el artículo 9, apartado 3, de la Ley de Medios, se dispone que se desecharán de plano las demandas de los medios de impugnación que sean notoriamente improcedentes, en términos del propio ordenamiento.</w:t>
      </w:r>
    </w:p>
    <w:p w14:paraId="0437057E" w14:textId="49668D1C" w:rsidR="00D354FC" w:rsidRPr="00D354FC" w:rsidRDefault="00D354FC" w:rsidP="00D354FC">
      <w:pPr>
        <w:spacing w:before="240" w:after="240" w:line="360" w:lineRule="auto"/>
        <w:jc w:val="both"/>
        <w:rPr>
          <w:rFonts w:ascii="Century Gothic" w:hAnsi="Century Gothic" w:cs="Arial"/>
          <w:bCs/>
          <w:sz w:val="26"/>
          <w:szCs w:val="26"/>
          <w:lang w:val="es-419" w:eastAsia="es-MX"/>
        </w:rPr>
      </w:pPr>
      <w:r w:rsidRPr="00D354FC">
        <w:rPr>
          <w:rFonts w:ascii="Century Gothic" w:hAnsi="Century Gothic" w:cs="Arial"/>
          <w:bCs/>
          <w:sz w:val="26"/>
          <w:szCs w:val="26"/>
          <w:lang w:val="es-419" w:eastAsia="es-MX"/>
        </w:rPr>
        <w:t>El mismo cuerpo normativo, en su artículo 25, así como en el 263, fracción IV de la Ley Orgánica del Poder Judicial de la Federación, establec</w:t>
      </w:r>
      <w:r w:rsidR="00B316DD">
        <w:rPr>
          <w:rFonts w:ascii="Century Gothic" w:hAnsi="Century Gothic" w:cs="Arial"/>
          <w:bCs/>
          <w:sz w:val="26"/>
          <w:szCs w:val="26"/>
          <w:lang w:val="es-419" w:eastAsia="es-MX"/>
        </w:rPr>
        <w:t>e</w:t>
      </w:r>
      <w:r w:rsidRPr="00D354FC">
        <w:rPr>
          <w:rFonts w:ascii="Century Gothic" w:hAnsi="Century Gothic" w:cs="Arial"/>
          <w:bCs/>
          <w:sz w:val="26"/>
          <w:szCs w:val="26"/>
          <w:lang w:val="es-419" w:eastAsia="es-MX"/>
        </w:rPr>
        <w:t xml:space="preserve"> que las sentencias de las Salas de este Tribunal son definitivas e inatacables, salvo aquellas que son controvertibles mediante el recurso de reconsideración.</w:t>
      </w:r>
    </w:p>
    <w:p w14:paraId="4DDA7323" w14:textId="7336E899" w:rsidR="00D354FC" w:rsidRPr="00D354FC" w:rsidRDefault="00D354FC" w:rsidP="00D354FC">
      <w:pPr>
        <w:spacing w:before="240" w:after="240" w:line="360" w:lineRule="auto"/>
        <w:jc w:val="both"/>
        <w:rPr>
          <w:rFonts w:ascii="Century Gothic" w:hAnsi="Century Gothic" w:cs="Arial"/>
          <w:bCs/>
          <w:sz w:val="26"/>
          <w:szCs w:val="26"/>
          <w:lang w:val="es-419" w:eastAsia="es-MX"/>
        </w:rPr>
      </w:pPr>
      <w:r w:rsidRPr="00D354FC">
        <w:rPr>
          <w:rFonts w:ascii="Century Gothic" w:hAnsi="Century Gothic" w:cs="Arial"/>
          <w:bCs/>
          <w:sz w:val="26"/>
          <w:szCs w:val="26"/>
          <w:lang w:val="es-419" w:eastAsia="es-MX"/>
        </w:rPr>
        <w:t xml:space="preserve">Al respecto, en el artículo 61 de la Ley de Medios se precisa que </w:t>
      </w:r>
      <w:r w:rsidR="00281499">
        <w:rPr>
          <w:rFonts w:ascii="Century Gothic" w:hAnsi="Century Gothic" w:cs="Arial"/>
          <w:bCs/>
          <w:sz w:val="26"/>
          <w:szCs w:val="26"/>
          <w:lang w:val="es-419" w:eastAsia="es-MX"/>
        </w:rPr>
        <w:t>este recurso</w:t>
      </w:r>
      <w:r w:rsidRPr="00D354FC">
        <w:rPr>
          <w:rFonts w:ascii="Century Gothic" w:hAnsi="Century Gothic" w:cs="Arial"/>
          <w:bCs/>
          <w:sz w:val="26"/>
          <w:szCs w:val="26"/>
          <w:lang w:val="es-419" w:eastAsia="es-MX"/>
        </w:rPr>
        <w:t xml:space="preserve"> sólo procede para impugnar las sentencias de fondo</w:t>
      </w:r>
      <w:r w:rsidRPr="00D354FC">
        <w:rPr>
          <w:rFonts w:ascii="Century Gothic" w:hAnsi="Century Gothic" w:cs="Arial"/>
          <w:bCs/>
          <w:sz w:val="26"/>
          <w:szCs w:val="26"/>
          <w:vertAlign w:val="superscript"/>
          <w:lang w:val="es-419" w:eastAsia="es-MX"/>
        </w:rPr>
        <w:footnoteReference w:id="14"/>
      </w:r>
      <w:r w:rsidRPr="00D354FC">
        <w:rPr>
          <w:rFonts w:ascii="Century Gothic" w:hAnsi="Century Gothic" w:cs="Arial"/>
          <w:bCs/>
          <w:sz w:val="26"/>
          <w:szCs w:val="26"/>
          <w:lang w:val="es-419" w:eastAsia="es-MX"/>
        </w:rPr>
        <w:t xml:space="preserve"> dictadas por las Salas Regionales, en dos supuestos: </w:t>
      </w:r>
    </w:p>
    <w:p w14:paraId="507FE0AD" w14:textId="13059EA2" w:rsidR="00D354FC" w:rsidRPr="00D354FC" w:rsidRDefault="006B55C2" w:rsidP="006B55C2">
      <w:pPr>
        <w:spacing w:before="240" w:after="240" w:line="360" w:lineRule="auto"/>
        <w:jc w:val="both"/>
        <w:rPr>
          <w:rFonts w:ascii="Century Gothic" w:hAnsi="Century Gothic" w:cs="Arial"/>
          <w:bCs/>
          <w:sz w:val="26"/>
          <w:szCs w:val="26"/>
          <w:lang w:val="es-419" w:eastAsia="es-MX"/>
        </w:rPr>
      </w:pPr>
      <w:r w:rsidRPr="006B55C2">
        <w:rPr>
          <w:rFonts w:ascii="Century Gothic" w:hAnsi="Century Gothic" w:cs="Arial"/>
          <w:b/>
          <w:sz w:val="26"/>
          <w:szCs w:val="26"/>
          <w:lang w:val="es-419" w:eastAsia="es-MX"/>
        </w:rPr>
        <w:t>1.</w:t>
      </w:r>
      <w:r>
        <w:rPr>
          <w:rFonts w:ascii="Century Gothic" w:hAnsi="Century Gothic" w:cs="Arial"/>
          <w:bCs/>
          <w:sz w:val="26"/>
          <w:szCs w:val="26"/>
          <w:lang w:val="es-419" w:eastAsia="es-MX"/>
        </w:rPr>
        <w:t xml:space="preserve"> </w:t>
      </w:r>
      <w:r w:rsidR="00D354FC" w:rsidRPr="00D354FC">
        <w:rPr>
          <w:rFonts w:ascii="Century Gothic" w:hAnsi="Century Gothic" w:cs="Arial"/>
          <w:bCs/>
          <w:sz w:val="26"/>
          <w:szCs w:val="26"/>
          <w:lang w:val="es-419" w:eastAsia="es-MX"/>
        </w:rPr>
        <w:t>En los juicios de inconformidad que impugnan los resultados de las elecciones federales de diputaciones y senadurías, así como la asignación de curules por el principio de representación proporcional.</w:t>
      </w:r>
    </w:p>
    <w:p w14:paraId="54DB3A51" w14:textId="414CB8DD" w:rsidR="00D354FC" w:rsidRPr="00D354FC" w:rsidRDefault="006B55C2" w:rsidP="006B55C2">
      <w:pPr>
        <w:spacing w:before="240" w:after="240" w:line="360" w:lineRule="auto"/>
        <w:jc w:val="both"/>
        <w:rPr>
          <w:rFonts w:ascii="Century Gothic" w:hAnsi="Century Gothic" w:cs="Arial"/>
          <w:bCs/>
          <w:sz w:val="26"/>
          <w:szCs w:val="26"/>
          <w:lang w:val="es-419" w:eastAsia="es-MX"/>
        </w:rPr>
      </w:pPr>
      <w:r w:rsidRPr="006B55C2">
        <w:rPr>
          <w:rFonts w:ascii="Century Gothic" w:hAnsi="Century Gothic" w:cs="Arial"/>
          <w:b/>
          <w:sz w:val="26"/>
          <w:szCs w:val="26"/>
          <w:lang w:val="es-419" w:eastAsia="es-MX"/>
        </w:rPr>
        <w:t xml:space="preserve">2. </w:t>
      </w:r>
      <w:r w:rsidR="00D354FC" w:rsidRPr="00D354FC">
        <w:rPr>
          <w:rFonts w:ascii="Century Gothic" w:hAnsi="Century Gothic" w:cs="Arial"/>
          <w:bCs/>
          <w:sz w:val="26"/>
          <w:szCs w:val="26"/>
          <w:lang w:val="es-419" w:eastAsia="es-MX"/>
        </w:rPr>
        <w:t>En los juicios o recursos en los que se determine la inaplicación de una norma por considerarla contraria a la Constitución federal.</w:t>
      </w:r>
    </w:p>
    <w:p w14:paraId="79591DB9" w14:textId="77777777" w:rsidR="00D354FC" w:rsidRPr="00D354FC" w:rsidRDefault="00D354FC" w:rsidP="00D354FC">
      <w:pPr>
        <w:spacing w:before="240" w:after="240" w:line="360" w:lineRule="auto"/>
        <w:jc w:val="both"/>
        <w:rPr>
          <w:rFonts w:ascii="Century Gothic" w:hAnsi="Century Gothic" w:cs="Arial"/>
          <w:bCs/>
          <w:sz w:val="26"/>
          <w:szCs w:val="26"/>
          <w:lang w:val="es-419" w:eastAsia="es-MX"/>
        </w:rPr>
      </w:pPr>
      <w:r w:rsidRPr="00D354FC">
        <w:rPr>
          <w:rFonts w:ascii="Century Gothic" w:hAnsi="Century Gothic" w:cs="Arial"/>
          <w:bCs/>
          <w:sz w:val="26"/>
          <w:szCs w:val="26"/>
          <w:lang w:val="es-419" w:eastAsia="es-MX"/>
        </w:rPr>
        <w:t>De manera adicional, el TEPJF ha establecido diversos criterios jurisprudenciales para admitir el recurso de reconsideración cuando la Sala Regional:</w:t>
      </w:r>
    </w:p>
    <w:p w14:paraId="6AD63C6A" w14:textId="77777777" w:rsidR="00D354FC" w:rsidRPr="002402F0" w:rsidRDefault="00D354FC" w:rsidP="002402F0">
      <w:pPr>
        <w:numPr>
          <w:ilvl w:val="0"/>
          <w:numId w:val="5"/>
        </w:numPr>
        <w:ind w:left="714" w:hanging="357"/>
        <w:jc w:val="both"/>
        <w:rPr>
          <w:rFonts w:ascii="Century Gothic" w:hAnsi="Century Gothic" w:cs="Arial"/>
          <w:bCs/>
          <w:sz w:val="24"/>
          <w:lang w:val="es-419" w:eastAsia="es-MX"/>
        </w:rPr>
      </w:pPr>
      <w:r w:rsidRPr="002402F0">
        <w:rPr>
          <w:rFonts w:ascii="Century Gothic" w:hAnsi="Century Gothic" w:cs="Arial"/>
          <w:bCs/>
          <w:sz w:val="24"/>
          <w:lang w:val="es-419" w:eastAsia="es-MX"/>
        </w:rPr>
        <w:t>Expresa o implícitamente inaplique leyes electorales, normas partidistas o consuetudinarias de carácter electoral.</w:t>
      </w:r>
      <w:r w:rsidRPr="002402F0">
        <w:rPr>
          <w:rFonts w:ascii="Century Gothic" w:hAnsi="Century Gothic" w:cs="Arial"/>
          <w:bCs/>
          <w:sz w:val="24"/>
          <w:vertAlign w:val="superscript"/>
          <w:lang w:val="es-419" w:eastAsia="es-MX"/>
        </w:rPr>
        <w:footnoteReference w:id="15"/>
      </w:r>
    </w:p>
    <w:p w14:paraId="37D8923D" w14:textId="77777777" w:rsidR="00D354FC" w:rsidRPr="002402F0" w:rsidRDefault="00D354FC" w:rsidP="002402F0">
      <w:pPr>
        <w:numPr>
          <w:ilvl w:val="0"/>
          <w:numId w:val="5"/>
        </w:numPr>
        <w:ind w:left="714" w:hanging="357"/>
        <w:jc w:val="both"/>
        <w:rPr>
          <w:rFonts w:ascii="Century Gothic" w:hAnsi="Century Gothic" w:cs="Arial"/>
          <w:bCs/>
          <w:sz w:val="24"/>
          <w:lang w:val="es-419" w:eastAsia="es-MX"/>
        </w:rPr>
      </w:pPr>
      <w:r w:rsidRPr="002402F0">
        <w:rPr>
          <w:rFonts w:ascii="Century Gothic" w:hAnsi="Century Gothic" w:cs="Arial"/>
          <w:bCs/>
          <w:sz w:val="24"/>
          <w:lang w:val="es-419" w:eastAsia="es-MX"/>
        </w:rPr>
        <w:t>Omita el estudio o se declaren inoperantes los argumentos relacionados con la inconstitucionalidad de normas electorales.</w:t>
      </w:r>
      <w:r w:rsidRPr="002402F0">
        <w:rPr>
          <w:rFonts w:ascii="Century Gothic" w:hAnsi="Century Gothic" w:cs="Arial"/>
          <w:bCs/>
          <w:sz w:val="24"/>
          <w:vertAlign w:val="superscript"/>
          <w:lang w:val="es-419" w:eastAsia="es-MX"/>
        </w:rPr>
        <w:footnoteReference w:id="16"/>
      </w:r>
    </w:p>
    <w:p w14:paraId="0A6EFF03" w14:textId="77777777" w:rsidR="00D354FC" w:rsidRPr="002402F0" w:rsidRDefault="00D354FC" w:rsidP="002402F0">
      <w:pPr>
        <w:numPr>
          <w:ilvl w:val="0"/>
          <w:numId w:val="5"/>
        </w:numPr>
        <w:ind w:left="714" w:hanging="357"/>
        <w:jc w:val="both"/>
        <w:rPr>
          <w:rFonts w:ascii="Century Gothic" w:hAnsi="Century Gothic" w:cs="Arial"/>
          <w:bCs/>
          <w:sz w:val="24"/>
          <w:lang w:val="es-419" w:eastAsia="es-MX"/>
        </w:rPr>
      </w:pPr>
      <w:r w:rsidRPr="002402F0">
        <w:rPr>
          <w:rFonts w:ascii="Century Gothic" w:hAnsi="Century Gothic" w:cs="Arial"/>
          <w:bCs/>
          <w:sz w:val="24"/>
          <w:lang w:val="es-419" w:eastAsia="es-MX"/>
        </w:rPr>
        <w:t>Declare infundados los planteamientos de inconstitucionalidad.</w:t>
      </w:r>
      <w:r w:rsidRPr="002402F0">
        <w:rPr>
          <w:rFonts w:ascii="Century Gothic" w:hAnsi="Century Gothic" w:cs="Arial"/>
          <w:bCs/>
          <w:sz w:val="24"/>
          <w:vertAlign w:val="superscript"/>
          <w:lang w:val="es-419" w:eastAsia="es-MX"/>
        </w:rPr>
        <w:footnoteReference w:id="17"/>
      </w:r>
    </w:p>
    <w:p w14:paraId="5F39C930" w14:textId="77777777" w:rsidR="00D354FC" w:rsidRPr="002402F0" w:rsidRDefault="00D354FC" w:rsidP="002402F0">
      <w:pPr>
        <w:numPr>
          <w:ilvl w:val="0"/>
          <w:numId w:val="5"/>
        </w:numPr>
        <w:ind w:left="714" w:hanging="357"/>
        <w:jc w:val="both"/>
        <w:rPr>
          <w:rFonts w:ascii="Century Gothic" w:hAnsi="Century Gothic" w:cs="Arial"/>
          <w:bCs/>
          <w:sz w:val="24"/>
          <w:lang w:val="es-419" w:eastAsia="es-MX"/>
        </w:rPr>
      </w:pPr>
      <w:r w:rsidRPr="002402F0">
        <w:rPr>
          <w:rFonts w:ascii="Century Gothic" w:hAnsi="Century Gothic" w:cs="Arial"/>
          <w:bCs/>
          <w:sz w:val="24"/>
          <w:lang w:val="es-419" w:eastAsia="es-MX"/>
        </w:rPr>
        <w:t>Exista pronunciamiento sobre la interpretación de preceptos constitucionales, orientativo para aplicar normas secundarias.</w:t>
      </w:r>
      <w:r w:rsidRPr="002402F0">
        <w:rPr>
          <w:rFonts w:ascii="Century Gothic" w:hAnsi="Century Gothic" w:cs="Arial"/>
          <w:bCs/>
          <w:sz w:val="24"/>
          <w:vertAlign w:val="superscript"/>
          <w:lang w:val="es-419" w:eastAsia="es-MX"/>
        </w:rPr>
        <w:footnoteReference w:id="18"/>
      </w:r>
    </w:p>
    <w:p w14:paraId="46E831FF" w14:textId="77777777" w:rsidR="00D354FC" w:rsidRPr="002402F0" w:rsidRDefault="00D354FC" w:rsidP="002402F0">
      <w:pPr>
        <w:numPr>
          <w:ilvl w:val="0"/>
          <w:numId w:val="5"/>
        </w:numPr>
        <w:ind w:left="714" w:hanging="357"/>
        <w:jc w:val="both"/>
        <w:rPr>
          <w:rFonts w:ascii="Century Gothic" w:hAnsi="Century Gothic" w:cs="Arial"/>
          <w:bCs/>
          <w:sz w:val="24"/>
          <w:lang w:val="es-419" w:eastAsia="es-MX"/>
        </w:rPr>
      </w:pPr>
      <w:r w:rsidRPr="002402F0">
        <w:rPr>
          <w:rFonts w:ascii="Century Gothic" w:hAnsi="Century Gothic" w:cs="Arial"/>
          <w:bCs/>
          <w:sz w:val="24"/>
          <w:lang w:val="es-419" w:eastAsia="es-MX"/>
        </w:rPr>
        <w:t>Ejerza control de convencionalidad.</w:t>
      </w:r>
      <w:r w:rsidRPr="002402F0">
        <w:rPr>
          <w:rFonts w:ascii="Century Gothic" w:hAnsi="Century Gothic" w:cs="Arial"/>
          <w:bCs/>
          <w:sz w:val="24"/>
          <w:vertAlign w:val="superscript"/>
          <w:lang w:val="es-419" w:eastAsia="es-MX"/>
        </w:rPr>
        <w:footnoteReference w:id="19"/>
      </w:r>
    </w:p>
    <w:p w14:paraId="54D2CB44" w14:textId="77777777" w:rsidR="00D354FC" w:rsidRPr="002402F0" w:rsidRDefault="00D354FC" w:rsidP="002402F0">
      <w:pPr>
        <w:numPr>
          <w:ilvl w:val="0"/>
          <w:numId w:val="5"/>
        </w:numPr>
        <w:ind w:left="714" w:hanging="357"/>
        <w:jc w:val="both"/>
        <w:rPr>
          <w:rFonts w:ascii="Century Gothic" w:hAnsi="Century Gothic" w:cs="Arial"/>
          <w:bCs/>
          <w:sz w:val="24"/>
          <w:lang w:val="es-419" w:eastAsia="es-MX"/>
        </w:rPr>
      </w:pPr>
      <w:r w:rsidRPr="002402F0">
        <w:rPr>
          <w:rFonts w:ascii="Century Gothic" w:hAnsi="Century Gothic" w:cs="Arial"/>
          <w:bCs/>
          <w:sz w:val="24"/>
          <w:lang w:val="es-419" w:eastAsia="es-MX"/>
        </w:rPr>
        <w:t>Aduzca la existencia de irregularidades graves con la posibilidad de vulnerar principios constitucionales y convencionales exigidos para la validez de las elecciones, respecto de las cuales la Sala Regional omitió adoptar medidas necesarias para garantizar su observancia y hacerlos efectivos o, bien, deje de realizar el análisis de tales irregularidades.</w:t>
      </w:r>
      <w:r w:rsidRPr="002402F0">
        <w:rPr>
          <w:rFonts w:ascii="Century Gothic" w:hAnsi="Century Gothic" w:cs="Arial"/>
          <w:bCs/>
          <w:sz w:val="24"/>
          <w:vertAlign w:val="superscript"/>
          <w:lang w:val="es-419" w:eastAsia="es-MX"/>
        </w:rPr>
        <w:footnoteReference w:id="20"/>
      </w:r>
    </w:p>
    <w:p w14:paraId="35CCE26B" w14:textId="77777777" w:rsidR="00D354FC" w:rsidRPr="002402F0" w:rsidRDefault="00D354FC" w:rsidP="002402F0">
      <w:pPr>
        <w:numPr>
          <w:ilvl w:val="0"/>
          <w:numId w:val="5"/>
        </w:numPr>
        <w:ind w:left="714" w:hanging="357"/>
        <w:jc w:val="both"/>
        <w:rPr>
          <w:rFonts w:ascii="Century Gothic" w:hAnsi="Century Gothic" w:cs="Arial"/>
          <w:bCs/>
          <w:sz w:val="24"/>
          <w:lang w:val="es-419" w:eastAsia="es-MX"/>
        </w:rPr>
      </w:pPr>
      <w:r w:rsidRPr="002402F0">
        <w:rPr>
          <w:rFonts w:ascii="Century Gothic" w:hAnsi="Century Gothic" w:cs="Arial"/>
          <w:bCs/>
          <w:sz w:val="24"/>
          <w:lang w:val="es-419" w:eastAsia="es-MX"/>
        </w:rPr>
        <w:t>Evidencie el indebido análisis u omisión de estudio sobre la constitucionalidad de normas legales impugnadas con motivo de su acto de aplicación.</w:t>
      </w:r>
      <w:r w:rsidRPr="002402F0">
        <w:rPr>
          <w:rFonts w:ascii="Century Gothic" w:hAnsi="Century Gothic" w:cs="Arial"/>
          <w:bCs/>
          <w:sz w:val="24"/>
          <w:vertAlign w:val="superscript"/>
          <w:lang w:val="es-419" w:eastAsia="es-MX"/>
        </w:rPr>
        <w:footnoteReference w:id="21"/>
      </w:r>
    </w:p>
    <w:p w14:paraId="1017003C" w14:textId="77777777" w:rsidR="00D354FC" w:rsidRPr="002402F0" w:rsidRDefault="00D354FC" w:rsidP="002402F0">
      <w:pPr>
        <w:numPr>
          <w:ilvl w:val="0"/>
          <w:numId w:val="5"/>
        </w:numPr>
        <w:ind w:left="714" w:hanging="357"/>
        <w:jc w:val="both"/>
        <w:rPr>
          <w:rFonts w:ascii="Century Gothic" w:hAnsi="Century Gothic" w:cs="Arial"/>
          <w:bCs/>
          <w:sz w:val="24"/>
          <w:lang w:val="es-419" w:eastAsia="es-MX"/>
        </w:rPr>
      </w:pPr>
      <w:r w:rsidRPr="002402F0">
        <w:rPr>
          <w:rFonts w:ascii="Century Gothic" w:hAnsi="Century Gothic" w:cs="Arial"/>
          <w:bCs/>
          <w:sz w:val="24"/>
          <w:lang w:val="es-419" w:eastAsia="es-MX"/>
        </w:rPr>
        <w:t>Deseche o sobresea el medio de impugnación, derivado de la interpretación directa de preceptos constitucionales.</w:t>
      </w:r>
      <w:r w:rsidRPr="002402F0">
        <w:rPr>
          <w:rFonts w:ascii="Century Gothic" w:hAnsi="Century Gothic" w:cs="Arial"/>
          <w:bCs/>
          <w:sz w:val="24"/>
          <w:vertAlign w:val="superscript"/>
          <w:lang w:val="es-419" w:eastAsia="es-MX"/>
        </w:rPr>
        <w:footnoteReference w:id="22"/>
      </w:r>
    </w:p>
    <w:p w14:paraId="5D70BDB6" w14:textId="77777777" w:rsidR="00D354FC" w:rsidRPr="002402F0" w:rsidRDefault="00D354FC" w:rsidP="002402F0">
      <w:pPr>
        <w:numPr>
          <w:ilvl w:val="0"/>
          <w:numId w:val="5"/>
        </w:numPr>
        <w:ind w:left="714" w:hanging="357"/>
        <w:jc w:val="both"/>
        <w:rPr>
          <w:rFonts w:ascii="Century Gothic" w:hAnsi="Century Gothic" w:cs="Arial"/>
          <w:bCs/>
          <w:sz w:val="24"/>
          <w:lang w:val="es-419" w:eastAsia="es-MX"/>
        </w:rPr>
      </w:pPr>
      <w:r w:rsidRPr="002402F0">
        <w:rPr>
          <w:rFonts w:ascii="Century Gothic" w:hAnsi="Century Gothic" w:cs="Arial"/>
          <w:bCs/>
          <w:sz w:val="24"/>
          <w:lang w:val="es-419" w:eastAsia="es-MX"/>
        </w:rPr>
        <w:t>Resuelva cuestiones incidentales que decidan sobre la constitucionalidad o convencionalidad de normas.</w:t>
      </w:r>
      <w:r w:rsidRPr="002402F0">
        <w:rPr>
          <w:rFonts w:ascii="Century Gothic" w:hAnsi="Century Gothic" w:cs="Arial"/>
          <w:bCs/>
          <w:sz w:val="24"/>
          <w:vertAlign w:val="superscript"/>
          <w:lang w:val="es-419" w:eastAsia="es-MX"/>
        </w:rPr>
        <w:footnoteReference w:id="23"/>
      </w:r>
    </w:p>
    <w:p w14:paraId="492AC6A2" w14:textId="77777777" w:rsidR="00D354FC" w:rsidRPr="002402F0" w:rsidRDefault="00D354FC" w:rsidP="002402F0">
      <w:pPr>
        <w:numPr>
          <w:ilvl w:val="0"/>
          <w:numId w:val="5"/>
        </w:numPr>
        <w:ind w:left="714" w:hanging="357"/>
        <w:jc w:val="both"/>
        <w:rPr>
          <w:rFonts w:ascii="Century Gothic" w:hAnsi="Century Gothic" w:cs="Arial"/>
          <w:bCs/>
          <w:sz w:val="24"/>
          <w:lang w:val="es-419" w:eastAsia="es-MX"/>
        </w:rPr>
      </w:pPr>
      <w:r w:rsidRPr="002402F0">
        <w:rPr>
          <w:rFonts w:ascii="Century Gothic" w:hAnsi="Century Gothic" w:cs="Arial"/>
          <w:bCs/>
          <w:sz w:val="24"/>
          <w:lang w:val="es-419" w:eastAsia="es-MX"/>
        </w:rPr>
        <w:t>Viole las garantías esenciales del debido proceso o por un error judicial evidente e incontrovertible, apreciable de la simple revisión del expediente, que sea determinante para el sentido.</w:t>
      </w:r>
      <w:r w:rsidRPr="002402F0">
        <w:rPr>
          <w:rFonts w:ascii="Century Gothic" w:hAnsi="Century Gothic" w:cs="Arial"/>
          <w:bCs/>
          <w:sz w:val="24"/>
          <w:vertAlign w:val="superscript"/>
          <w:lang w:val="es-419" w:eastAsia="es-MX"/>
        </w:rPr>
        <w:footnoteReference w:id="24"/>
      </w:r>
      <w:r w:rsidRPr="002402F0">
        <w:rPr>
          <w:rFonts w:ascii="Century Gothic" w:hAnsi="Century Gothic" w:cs="Arial"/>
          <w:bCs/>
          <w:sz w:val="24"/>
          <w:lang w:val="es-419" w:eastAsia="es-MX"/>
        </w:rPr>
        <w:t xml:space="preserve"> </w:t>
      </w:r>
    </w:p>
    <w:p w14:paraId="091314B0" w14:textId="77777777" w:rsidR="00D354FC" w:rsidRPr="002402F0" w:rsidRDefault="00D354FC" w:rsidP="002402F0">
      <w:pPr>
        <w:numPr>
          <w:ilvl w:val="0"/>
          <w:numId w:val="5"/>
        </w:numPr>
        <w:ind w:left="714" w:hanging="357"/>
        <w:jc w:val="both"/>
        <w:rPr>
          <w:rFonts w:ascii="Century Gothic" w:hAnsi="Century Gothic" w:cs="Arial"/>
          <w:bCs/>
          <w:sz w:val="24"/>
          <w:lang w:val="es-419" w:eastAsia="es-MX"/>
        </w:rPr>
      </w:pPr>
      <w:r w:rsidRPr="002402F0">
        <w:rPr>
          <w:rFonts w:ascii="Century Gothic" w:hAnsi="Century Gothic" w:cs="Arial"/>
          <w:bCs/>
          <w:sz w:val="24"/>
          <w:lang w:val="es-419" w:eastAsia="es-MX"/>
        </w:rPr>
        <w:t>Cuando la Sala Superior considere que la materia en controversia es jurídicamente relevante y trascendente en el orden constitucional.</w:t>
      </w:r>
      <w:r w:rsidRPr="002402F0">
        <w:rPr>
          <w:rFonts w:ascii="Century Gothic" w:hAnsi="Century Gothic" w:cs="Arial"/>
          <w:bCs/>
          <w:sz w:val="24"/>
          <w:vertAlign w:val="superscript"/>
          <w:lang w:val="es-419" w:eastAsia="es-MX"/>
        </w:rPr>
        <w:footnoteReference w:id="25"/>
      </w:r>
    </w:p>
    <w:p w14:paraId="3C0D63A1" w14:textId="77777777" w:rsidR="00D354FC" w:rsidRPr="002402F0" w:rsidRDefault="00D354FC" w:rsidP="002402F0">
      <w:pPr>
        <w:numPr>
          <w:ilvl w:val="0"/>
          <w:numId w:val="5"/>
        </w:numPr>
        <w:ind w:left="714" w:hanging="357"/>
        <w:jc w:val="both"/>
        <w:rPr>
          <w:rFonts w:ascii="Century Gothic" w:hAnsi="Century Gothic" w:cs="Arial"/>
          <w:bCs/>
          <w:sz w:val="24"/>
          <w:lang w:val="es-419" w:eastAsia="es-MX"/>
        </w:rPr>
      </w:pPr>
      <w:r w:rsidRPr="002402F0">
        <w:rPr>
          <w:rFonts w:ascii="Century Gothic" w:hAnsi="Century Gothic" w:cs="Arial"/>
          <w:bCs/>
          <w:sz w:val="24"/>
          <w:lang w:val="es-419" w:eastAsia="es-MX"/>
        </w:rPr>
        <w:t>Finalmente, cuando se impugnen sentencias dictadas por las Salas Regionales, en las que se declare la imposibilidad de cumplir una sentencia.</w:t>
      </w:r>
      <w:r w:rsidRPr="002402F0">
        <w:rPr>
          <w:rFonts w:ascii="Century Gothic" w:hAnsi="Century Gothic" w:cs="Arial"/>
          <w:bCs/>
          <w:sz w:val="24"/>
          <w:vertAlign w:val="superscript"/>
          <w:lang w:val="es-419" w:eastAsia="es-MX"/>
        </w:rPr>
        <w:footnoteReference w:id="26"/>
      </w:r>
    </w:p>
    <w:p w14:paraId="68B3DA19" w14:textId="77777777" w:rsidR="00D354FC" w:rsidRPr="00D354FC" w:rsidRDefault="00D354FC" w:rsidP="00D354FC">
      <w:pPr>
        <w:spacing w:before="240" w:after="240" w:line="360" w:lineRule="auto"/>
        <w:jc w:val="both"/>
        <w:rPr>
          <w:rFonts w:ascii="Century Gothic" w:hAnsi="Century Gothic" w:cs="Arial"/>
          <w:bCs/>
          <w:sz w:val="26"/>
          <w:szCs w:val="26"/>
          <w:lang w:val="es-419" w:eastAsia="es-MX"/>
        </w:rPr>
      </w:pPr>
      <w:r w:rsidRPr="00D354FC">
        <w:rPr>
          <w:rFonts w:ascii="Century Gothic" w:hAnsi="Century Gothic" w:cs="Arial"/>
          <w:bCs/>
          <w:sz w:val="26"/>
          <w:szCs w:val="26"/>
          <w:lang w:val="es-419" w:eastAsia="es-MX"/>
        </w:rPr>
        <w:t>Por lo anterior, de no actualizarse alguno de los supuestos de procedencia indicados en la ley, o en los diversos criterios jurisprudenciales del TEPJF, la demanda debe desecharse de plano al resultar improcedente el medio de impugnación intentado.</w:t>
      </w:r>
    </w:p>
    <w:p w14:paraId="56C2DD47" w14:textId="672E84CF" w:rsidR="00D354FC" w:rsidRPr="00D354FC" w:rsidRDefault="008D1556" w:rsidP="008D1556">
      <w:pPr>
        <w:spacing w:before="240" w:after="240" w:line="360" w:lineRule="auto"/>
        <w:jc w:val="both"/>
        <w:rPr>
          <w:rFonts w:ascii="Century Gothic" w:hAnsi="Century Gothic" w:cs="Arial"/>
          <w:b/>
          <w:bCs/>
          <w:sz w:val="26"/>
          <w:szCs w:val="26"/>
          <w:lang w:val="es-419" w:eastAsia="es-MX"/>
        </w:rPr>
      </w:pPr>
      <w:r>
        <w:rPr>
          <w:rFonts w:ascii="Century Gothic" w:hAnsi="Century Gothic" w:cs="Arial"/>
          <w:b/>
          <w:bCs/>
          <w:sz w:val="26"/>
          <w:szCs w:val="26"/>
          <w:lang w:val="es-419" w:eastAsia="es-MX"/>
        </w:rPr>
        <w:t xml:space="preserve">B. </w:t>
      </w:r>
      <w:r w:rsidR="00D354FC" w:rsidRPr="00D354FC">
        <w:rPr>
          <w:rFonts w:ascii="Century Gothic" w:hAnsi="Century Gothic" w:cs="Arial"/>
          <w:b/>
          <w:bCs/>
          <w:sz w:val="26"/>
          <w:szCs w:val="26"/>
          <w:lang w:val="es-419" w:eastAsia="es-MX"/>
        </w:rPr>
        <w:t>Análisis del caso.</w:t>
      </w:r>
    </w:p>
    <w:p w14:paraId="505DDE87" w14:textId="77777777" w:rsidR="0026515A" w:rsidRPr="00A8533A" w:rsidRDefault="0026515A" w:rsidP="0026515A">
      <w:pPr>
        <w:spacing w:before="240" w:after="240" w:line="360" w:lineRule="auto"/>
        <w:ind w:firstLine="708"/>
        <w:jc w:val="both"/>
        <w:rPr>
          <w:rFonts w:ascii="Century Gothic" w:hAnsi="Century Gothic" w:cs="Arial"/>
          <w:b/>
          <w:bCs/>
          <w:sz w:val="26"/>
          <w:szCs w:val="26"/>
          <w:lang w:eastAsia="es-MX"/>
        </w:rPr>
      </w:pPr>
      <w:r w:rsidRPr="00A8533A">
        <w:rPr>
          <w:rFonts w:ascii="Century Gothic" w:hAnsi="Century Gothic" w:cs="Arial"/>
          <w:b/>
          <w:bCs/>
          <w:sz w:val="26"/>
          <w:szCs w:val="26"/>
          <w:lang w:eastAsia="es-MX"/>
        </w:rPr>
        <w:t>B1. Contexto de la controversia.</w:t>
      </w:r>
    </w:p>
    <w:p w14:paraId="3C2EC347" w14:textId="77777777" w:rsidR="0026515A" w:rsidRDefault="0026515A" w:rsidP="0026515A">
      <w:pPr>
        <w:spacing w:before="240" w:after="240" w:line="360" w:lineRule="auto"/>
        <w:jc w:val="both"/>
        <w:rPr>
          <w:rFonts w:ascii="Century Gothic" w:hAnsi="Century Gothic" w:cs="Arial"/>
          <w:bCs/>
          <w:sz w:val="26"/>
          <w:szCs w:val="26"/>
          <w:lang w:eastAsia="es-MX"/>
        </w:rPr>
      </w:pPr>
      <w:r w:rsidRPr="00A8533A">
        <w:rPr>
          <w:rFonts w:ascii="Century Gothic" w:hAnsi="Century Gothic" w:cs="Arial"/>
          <w:bCs/>
          <w:sz w:val="26"/>
          <w:szCs w:val="26"/>
          <w:lang w:eastAsia="es-MX"/>
        </w:rPr>
        <w:t xml:space="preserve">El presente asunto </w:t>
      </w:r>
      <w:r>
        <w:rPr>
          <w:rFonts w:ascii="Century Gothic" w:hAnsi="Century Gothic" w:cs="Arial"/>
          <w:bCs/>
          <w:sz w:val="26"/>
          <w:szCs w:val="26"/>
          <w:lang w:eastAsia="es-MX"/>
        </w:rPr>
        <w:t>tiene su origen en la denuncia presentada por el PAN ante el Instituto Electoral local contra Andrés Concepción Mijes Llovera, en su calidad de presidente municipal de General Escobedo, Nuevo León y del partido MORENA, por uso indebido de recursos públicos, promoción personalizada, vulneración a los principios de imparcialidad y neutralidad, así como por la indebida difusión del informe de labores; lo que ameritó el inicio del respectivo procedimiento ordinario sancionador.</w:t>
      </w:r>
    </w:p>
    <w:p w14:paraId="69063EC0" w14:textId="77777777" w:rsidR="0026515A" w:rsidRDefault="0026515A" w:rsidP="0026515A">
      <w:pPr>
        <w:spacing w:before="240" w:after="240" w:line="360" w:lineRule="auto"/>
        <w:jc w:val="both"/>
        <w:rPr>
          <w:rFonts w:ascii="Century Gothic" w:hAnsi="Century Gothic" w:cs="Arial"/>
          <w:bCs/>
          <w:sz w:val="26"/>
          <w:szCs w:val="26"/>
          <w:lang w:eastAsia="es-MX"/>
        </w:rPr>
      </w:pPr>
      <w:r>
        <w:rPr>
          <w:rFonts w:ascii="Century Gothic" w:hAnsi="Century Gothic" w:cs="Arial"/>
          <w:bCs/>
          <w:sz w:val="26"/>
          <w:szCs w:val="26"/>
          <w:lang w:eastAsia="es-MX"/>
        </w:rPr>
        <w:t>En un primer momento, el Tribunal Electoral local determinó la inexistencia de las infracciones denunciadas, cuya sentencia fue controvertida por el PAN, a través del respectivo medio de impugnación.</w:t>
      </w:r>
    </w:p>
    <w:p w14:paraId="2FA2424A" w14:textId="77777777" w:rsidR="0026515A" w:rsidRDefault="0026515A" w:rsidP="0026515A">
      <w:pPr>
        <w:spacing w:before="240" w:after="240" w:line="360" w:lineRule="auto"/>
        <w:jc w:val="both"/>
        <w:rPr>
          <w:rFonts w:ascii="Century Gothic" w:hAnsi="Century Gothic" w:cs="Arial"/>
          <w:bCs/>
          <w:sz w:val="26"/>
          <w:szCs w:val="26"/>
          <w:lang w:eastAsia="es-MX"/>
        </w:rPr>
      </w:pPr>
      <w:r>
        <w:rPr>
          <w:rFonts w:ascii="Century Gothic" w:hAnsi="Century Gothic" w:cs="Arial"/>
          <w:bCs/>
          <w:sz w:val="26"/>
          <w:szCs w:val="26"/>
          <w:lang w:eastAsia="es-MX"/>
        </w:rPr>
        <w:t>Al efecto, la Sala Regional revocó la resolución dictada en el procedimiento ordinario sancionador, por lo que ordenó al Tribunal Electoral local que emitiera una nueva determinación, en la que: tuviera por acreditada la indebida difusión del informe de labores del denunciado y determinara la consecuencia jurídica; y, analizara si se incurrió o no en alguna infracción conforme a lo previsto en los párrafos octavo y noveno del artículo 134 de la CPEUM, sobre la base de que los anuncios espectaculares  que difundieron el informe tuvieron el carácter de propaganda gubernamental.</w:t>
      </w:r>
    </w:p>
    <w:p w14:paraId="7ED5D1FE" w14:textId="1388CF02" w:rsidR="0026515A" w:rsidRDefault="0026515A" w:rsidP="0026515A">
      <w:pPr>
        <w:spacing w:before="240" w:after="240" w:line="360" w:lineRule="auto"/>
        <w:jc w:val="both"/>
        <w:rPr>
          <w:rFonts w:ascii="Century Gothic" w:hAnsi="Century Gothic" w:cs="Arial"/>
          <w:bCs/>
          <w:sz w:val="26"/>
          <w:szCs w:val="26"/>
          <w:lang w:eastAsia="es-MX"/>
        </w:rPr>
      </w:pPr>
      <w:r>
        <w:rPr>
          <w:rFonts w:ascii="Century Gothic" w:hAnsi="Century Gothic" w:cs="Arial"/>
          <w:bCs/>
          <w:sz w:val="26"/>
          <w:szCs w:val="26"/>
          <w:lang w:eastAsia="es-MX"/>
        </w:rPr>
        <w:t xml:space="preserve">En cumplimiento de la ejecutoria regional, el Tribunal Electoral del Estado de Nuevo León determinó la </w:t>
      </w:r>
      <w:r w:rsidRPr="00CE5B11">
        <w:rPr>
          <w:rFonts w:ascii="Century Gothic" w:hAnsi="Century Gothic" w:cs="Arial"/>
          <w:bCs/>
          <w:sz w:val="26"/>
          <w:szCs w:val="26"/>
          <w:lang w:eastAsia="es-MX"/>
        </w:rPr>
        <w:t>existencia de las infracciones consistentes en la indebida</w:t>
      </w:r>
      <w:r>
        <w:rPr>
          <w:rFonts w:ascii="Century Gothic" w:hAnsi="Century Gothic" w:cs="Arial"/>
          <w:bCs/>
          <w:sz w:val="26"/>
          <w:szCs w:val="26"/>
          <w:lang w:eastAsia="es-MX"/>
        </w:rPr>
        <w:t xml:space="preserve"> </w:t>
      </w:r>
      <w:r w:rsidRPr="00CE5B11">
        <w:rPr>
          <w:rFonts w:ascii="Century Gothic" w:hAnsi="Century Gothic" w:cs="Arial"/>
          <w:bCs/>
          <w:sz w:val="26"/>
          <w:szCs w:val="26"/>
          <w:lang w:eastAsia="es-MX"/>
        </w:rPr>
        <w:t>difusión del informe de labores fuera del ámbito regional de</w:t>
      </w:r>
      <w:r>
        <w:rPr>
          <w:rFonts w:ascii="Century Gothic" w:hAnsi="Century Gothic" w:cs="Arial"/>
          <w:bCs/>
          <w:sz w:val="26"/>
          <w:szCs w:val="26"/>
          <w:lang w:eastAsia="es-MX"/>
        </w:rPr>
        <w:t xml:space="preserve"> </w:t>
      </w:r>
      <w:r w:rsidRPr="00CE5B11">
        <w:rPr>
          <w:rFonts w:ascii="Century Gothic" w:hAnsi="Century Gothic" w:cs="Arial"/>
          <w:bCs/>
          <w:sz w:val="26"/>
          <w:szCs w:val="26"/>
          <w:lang w:eastAsia="es-MX"/>
        </w:rPr>
        <w:t>responsabilidad del servidor público denunciado, promoción</w:t>
      </w:r>
      <w:r>
        <w:rPr>
          <w:rFonts w:ascii="Century Gothic" w:hAnsi="Century Gothic" w:cs="Arial"/>
          <w:bCs/>
          <w:sz w:val="26"/>
          <w:szCs w:val="26"/>
          <w:lang w:eastAsia="es-MX"/>
        </w:rPr>
        <w:t xml:space="preserve"> </w:t>
      </w:r>
      <w:r w:rsidRPr="00CE5B11">
        <w:rPr>
          <w:rFonts w:ascii="Century Gothic" w:hAnsi="Century Gothic" w:cs="Arial"/>
          <w:bCs/>
          <w:sz w:val="26"/>
          <w:szCs w:val="26"/>
          <w:lang w:eastAsia="es-MX"/>
        </w:rPr>
        <w:t>personalizada y vulneración a los principios de imparcialidad y</w:t>
      </w:r>
      <w:r>
        <w:rPr>
          <w:rFonts w:ascii="Century Gothic" w:hAnsi="Century Gothic" w:cs="Arial"/>
          <w:bCs/>
          <w:sz w:val="26"/>
          <w:szCs w:val="26"/>
          <w:lang w:eastAsia="es-MX"/>
        </w:rPr>
        <w:t xml:space="preserve"> </w:t>
      </w:r>
      <w:r w:rsidRPr="00CE5B11">
        <w:rPr>
          <w:rFonts w:ascii="Century Gothic" w:hAnsi="Century Gothic" w:cs="Arial"/>
          <w:bCs/>
          <w:sz w:val="26"/>
          <w:szCs w:val="26"/>
          <w:lang w:eastAsia="es-MX"/>
        </w:rPr>
        <w:t>neutralidad, así como uso indebido de recursos públicos.</w:t>
      </w:r>
    </w:p>
    <w:p w14:paraId="6BE5F78E" w14:textId="77777777" w:rsidR="0026515A" w:rsidRDefault="0026515A" w:rsidP="0026515A">
      <w:pPr>
        <w:spacing w:before="240" w:after="240" w:line="360" w:lineRule="auto"/>
        <w:jc w:val="both"/>
        <w:rPr>
          <w:rFonts w:ascii="Century Gothic" w:hAnsi="Century Gothic" w:cs="Arial"/>
          <w:bCs/>
          <w:sz w:val="26"/>
          <w:szCs w:val="26"/>
          <w:lang w:eastAsia="es-MX"/>
        </w:rPr>
      </w:pPr>
      <w:r>
        <w:rPr>
          <w:rFonts w:ascii="Century Gothic" w:hAnsi="Century Gothic" w:cs="Arial"/>
          <w:bCs/>
          <w:sz w:val="26"/>
          <w:szCs w:val="26"/>
          <w:lang w:eastAsia="es-MX"/>
        </w:rPr>
        <w:t xml:space="preserve">Inconforme con la citada sentencia, el ahora recurrente promovió juicio electoral, el cual fue </w:t>
      </w:r>
      <w:proofErr w:type="spellStart"/>
      <w:r>
        <w:rPr>
          <w:rFonts w:ascii="Century Gothic" w:hAnsi="Century Gothic" w:cs="Arial"/>
          <w:bCs/>
          <w:sz w:val="26"/>
          <w:szCs w:val="26"/>
          <w:lang w:eastAsia="es-MX"/>
        </w:rPr>
        <w:t>encauzado</w:t>
      </w:r>
      <w:proofErr w:type="spellEnd"/>
      <w:r>
        <w:rPr>
          <w:rFonts w:ascii="Century Gothic" w:hAnsi="Century Gothic" w:cs="Arial"/>
          <w:bCs/>
          <w:sz w:val="26"/>
          <w:szCs w:val="26"/>
          <w:lang w:eastAsia="es-MX"/>
        </w:rPr>
        <w:t xml:space="preserve"> por la Sala Regional a juicio general y resuelto en el sentido de confirmar la sentencia controvertida</w:t>
      </w:r>
    </w:p>
    <w:p w14:paraId="7056ED35" w14:textId="77777777" w:rsidR="0026515A" w:rsidRPr="00A8533A" w:rsidRDefault="0026515A" w:rsidP="0026515A">
      <w:pPr>
        <w:spacing w:before="240" w:after="240" w:line="360" w:lineRule="auto"/>
        <w:ind w:firstLine="708"/>
        <w:jc w:val="both"/>
        <w:rPr>
          <w:rFonts w:ascii="Century Gothic" w:hAnsi="Century Gothic" w:cs="Arial"/>
          <w:b/>
          <w:bCs/>
          <w:sz w:val="26"/>
          <w:szCs w:val="26"/>
          <w:lang w:eastAsia="es-MX"/>
        </w:rPr>
      </w:pPr>
      <w:r w:rsidRPr="00A8533A">
        <w:rPr>
          <w:rFonts w:ascii="Century Gothic" w:hAnsi="Century Gothic" w:cs="Arial"/>
          <w:b/>
          <w:bCs/>
          <w:sz w:val="26"/>
          <w:szCs w:val="26"/>
          <w:lang w:eastAsia="es-MX"/>
        </w:rPr>
        <w:t>B2. Decisión de la Sala Regional.</w:t>
      </w:r>
    </w:p>
    <w:p w14:paraId="51D6F660" w14:textId="635F1299" w:rsidR="0026515A" w:rsidRPr="00FA55B4" w:rsidRDefault="0026515A" w:rsidP="0026515A">
      <w:pPr>
        <w:spacing w:before="240" w:after="240" w:line="360" w:lineRule="auto"/>
        <w:jc w:val="both"/>
        <w:rPr>
          <w:rFonts w:ascii="Century Gothic" w:hAnsi="Century Gothic" w:cs="Arial"/>
          <w:bCs/>
          <w:sz w:val="26"/>
          <w:szCs w:val="26"/>
          <w:lang w:eastAsia="es-MX"/>
        </w:rPr>
      </w:pPr>
      <w:r w:rsidRPr="00A8533A">
        <w:rPr>
          <w:rFonts w:ascii="Century Gothic" w:hAnsi="Century Gothic" w:cs="Arial"/>
          <w:bCs/>
          <w:sz w:val="26"/>
          <w:szCs w:val="26"/>
          <w:lang w:eastAsia="es-MX"/>
        </w:rPr>
        <w:t xml:space="preserve">Al resolver el juicio </w:t>
      </w:r>
      <w:r>
        <w:rPr>
          <w:rFonts w:ascii="Century Gothic" w:hAnsi="Century Gothic" w:cs="Arial"/>
          <w:bCs/>
          <w:sz w:val="26"/>
          <w:szCs w:val="26"/>
          <w:lang w:eastAsia="es-MX"/>
        </w:rPr>
        <w:t xml:space="preserve">general </w:t>
      </w:r>
      <w:r w:rsidRPr="00A8533A">
        <w:rPr>
          <w:rFonts w:ascii="Century Gothic" w:hAnsi="Century Gothic" w:cs="Arial"/>
          <w:bCs/>
          <w:sz w:val="26"/>
          <w:szCs w:val="26"/>
          <w:lang w:eastAsia="es-MX"/>
        </w:rPr>
        <w:t>que confirmó la resolución del T</w:t>
      </w:r>
      <w:r>
        <w:rPr>
          <w:rFonts w:ascii="Century Gothic" w:hAnsi="Century Gothic" w:cs="Arial"/>
          <w:bCs/>
          <w:sz w:val="26"/>
          <w:szCs w:val="26"/>
          <w:lang w:eastAsia="es-MX"/>
        </w:rPr>
        <w:t>ribunal Electoral del Estado de Nuevo León</w:t>
      </w:r>
      <w:r w:rsidRPr="00A8533A">
        <w:rPr>
          <w:rFonts w:ascii="Century Gothic" w:hAnsi="Century Gothic" w:cs="Arial"/>
          <w:bCs/>
          <w:sz w:val="26"/>
          <w:szCs w:val="26"/>
          <w:lang w:eastAsia="es-MX"/>
        </w:rPr>
        <w:t xml:space="preserve">, la </w:t>
      </w:r>
      <w:r>
        <w:rPr>
          <w:rFonts w:ascii="Century Gothic" w:hAnsi="Century Gothic" w:cs="Arial"/>
          <w:bCs/>
          <w:sz w:val="26"/>
          <w:szCs w:val="26"/>
          <w:lang w:eastAsia="es-MX"/>
        </w:rPr>
        <w:t>S</w:t>
      </w:r>
      <w:r w:rsidRPr="00A8533A">
        <w:rPr>
          <w:rFonts w:ascii="Century Gothic" w:hAnsi="Century Gothic" w:cs="Arial"/>
          <w:bCs/>
          <w:sz w:val="26"/>
          <w:szCs w:val="26"/>
          <w:lang w:eastAsia="es-MX"/>
        </w:rPr>
        <w:t xml:space="preserve">ala </w:t>
      </w:r>
      <w:r>
        <w:rPr>
          <w:rFonts w:ascii="Century Gothic" w:hAnsi="Century Gothic" w:cs="Arial"/>
          <w:bCs/>
          <w:sz w:val="26"/>
          <w:szCs w:val="26"/>
          <w:lang w:eastAsia="es-MX"/>
        </w:rPr>
        <w:t xml:space="preserve">Regional </w:t>
      </w:r>
      <w:r w:rsidRPr="00A8533A">
        <w:rPr>
          <w:rFonts w:ascii="Century Gothic" w:hAnsi="Century Gothic" w:cs="Arial"/>
          <w:bCs/>
          <w:sz w:val="26"/>
          <w:szCs w:val="26"/>
          <w:lang w:eastAsia="es-MX"/>
        </w:rPr>
        <w:t xml:space="preserve">abordó </w:t>
      </w:r>
      <w:r>
        <w:rPr>
          <w:rFonts w:ascii="Century Gothic" w:hAnsi="Century Gothic" w:cs="Arial"/>
          <w:bCs/>
          <w:sz w:val="26"/>
          <w:szCs w:val="26"/>
          <w:lang w:eastAsia="es-MX"/>
        </w:rPr>
        <w:t xml:space="preserve">los agravios de indebida valoración probatoria y falta de exhaustividad </w:t>
      </w:r>
      <w:r w:rsidR="00F06BE3">
        <w:rPr>
          <w:rFonts w:ascii="Century Gothic" w:hAnsi="Century Gothic" w:cs="Arial"/>
          <w:bCs/>
          <w:sz w:val="26"/>
          <w:szCs w:val="26"/>
          <w:lang w:eastAsia="es-MX"/>
        </w:rPr>
        <w:t>formulados por e</w:t>
      </w:r>
      <w:r>
        <w:rPr>
          <w:rFonts w:ascii="Century Gothic" w:hAnsi="Century Gothic" w:cs="Arial"/>
          <w:bCs/>
          <w:sz w:val="26"/>
          <w:szCs w:val="26"/>
          <w:lang w:eastAsia="es-MX"/>
        </w:rPr>
        <w:t xml:space="preserve">l ahora promovente, a partir de </w:t>
      </w:r>
      <w:r w:rsidRPr="00A8533A">
        <w:rPr>
          <w:rFonts w:ascii="Century Gothic" w:hAnsi="Century Gothic" w:cs="Arial"/>
          <w:bCs/>
          <w:sz w:val="26"/>
          <w:szCs w:val="26"/>
          <w:lang w:eastAsia="es-MX"/>
        </w:rPr>
        <w:t xml:space="preserve">las siguientes temáticas: </w:t>
      </w:r>
      <w:r w:rsidRPr="00A8533A">
        <w:rPr>
          <w:rFonts w:ascii="Century Gothic" w:hAnsi="Century Gothic" w:cs="Arial"/>
          <w:b/>
          <w:i/>
          <w:iCs/>
          <w:sz w:val="26"/>
          <w:szCs w:val="26"/>
          <w:lang w:eastAsia="es-MX"/>
        </w:rPr>
        <w:t>i)</w:t>
      </w:r>
      <w:r w:rsidRPr="00A8533A">
        <w:rPr>
          <w:rFonts w:ascii="Century Gothic" w:hAnsi="Century Gothic" w:cs="Arial"/>
          <w:bCs/>
          <w:i/>
          <w:iCs/>
          <w:sz w:val="26"/>
          <w:szCs w:val="26"/>
          <w:lang w:eastAsia="es-MX"/>
        </w:rPr>
        <w:t xml:space="preserve"> </w:t>
      </w:r>
      <w:r w:rsidRPr="0050453C">
        <w:rPr>
          <w:rFonts w:ascii="Century Gothic" w:hAnsi="Century Gothic" w:cs="Arial"/>
          <w:bCs/>
          <w:sz w:val="26"/>
          <w:szCs w:val="26"/>
          <w:lang w:eastAsia="es-MX"/>
        </w:rPr>
        <w:t>valoración integral de los contenidos de los panorámicos denunciados, de conformidad con lo establecido por la Sala Regional, para determinar la existencia de promoción personalizada y uso indebido de recursos públicos</w:t>
      </w:r>
      <w:r w:rsidRPr="00A8533A">
        <w:rPr>
          <w:rFonts w:ascii="Century Gothic" w:hAnsi="Century Gothic" w:cs="Arial"/>
          <w:bCs/>
          <w:sz w:val="26"/>
          <w:szCs w:val="26"/>
          <w:lang w:eastAsia="es-MX"/>
        </w:rPr>
        <w:t xml:space="preserve">;  </w:t>
      </w:r>
      <w:proofErr w:type="spellStart"/>
      <w:r w:rsidRPr="00A8533A">
        <w:rPr>
          <w:rFonts w:ascii="Century Gothic" w:hAnsi="Century Gothic" w:cs="Arial"/>
          <w:b/>
          <w:i/>
          <w:iCs/>
          <w:sz w:val="26"/>
          <w:szCs w:val="26"/>
          <w:lang w:eastAsia="es-MX"/>
        </w:rPr>
        <w:t>ii</w:t>
      </w:r>
      <w:proofErr w:type="spellEnd"/>
      <w:r w:rsidRPr="0050453C">
        <w:rPr>
          <w:rFonts w:ascii="Century Gothic" w:hAnsi="Century Gothic" w:cs="Arial"/>
          <w:b/>
          <w:sz w:val="26"/>
          <w:szCs w:val="26"/>
          <w:lang w:eastAsia="es-MX"/>
        </w:rPr>
        <w:t>)</w:t>
      </w:r>
      <w:r w:rsidRPr="0050453C">
        <w:rPr>
          <w:rFonts w:ascii="Century Gothic" w:hAnsi="Century Gothic" w:cs="Arial"/>
          <w:bCs/>
          <w:sz w:val="26"/>
          <w:szCs w:val="26"/>
          <w:lang w:eastAsia="es-MX"/>
        </w:rPr>
        <w:t xml:space="preserve"> Ubicación de los panorámicos;</w:t>
      </w:r>
      <w:r w:rsidRPr="00A8533A">
        <w:rPr>
          <w:rFonts w:ascii="Century Gothic" w:hAnsi="Century Gothic" w:cs="Arial"/>
          <w:bCs/>
          <w:sz w:val="26"/>
          <w:szCs w:val="26"/>
          <w:lang w:eastAsia="es-MX"/>
        </w:rPr>
        <w:t xml:space="preserve"> </w:t>
      </w:r>
      <w:proofErr w:type="spellStart"/>
      <w:r w:rsidRPr="00A8533A">
        <w:rPr>
          <w:rFonts w:ascii="Century Gothic" w:hAnsi="Century Gothic" w:cs="Arial"/>
          <w:b/>
          <w:i/>
          <w:iCs/>
          <w:sz w:val="26"/>
          <w:szCs w:val="26"/>
          <w:lang w:eastAsia="es-MX"/>
        </w:rPr>
        <w:t>iii</w:t>
      </w:r>
      <w:proofErr w:type="spellEnd"/>
      <w:r w:rsidRPr="00A8533A">
        <w:rPr>
          <w:rFonts w:ascii="Century Gothic" w:hAnsi="Century Gothic" w:cs="Arial"/>
          <w:b/>
          <w:i/>
          <w:iCs/>
          <w:sz w:val="26"/>
          <w:szCs w:val="26"/>
          <w:lang w:eastAsia="es-MX"/>
        </w:rPr>
        <w:t xml:space="preserve">) </w:t>
      </w:r>
      <w:r w:rsidRPr="0050453C">
        <w:rPr>
          <w:rFonts w:ascii="Century Gothic" w:hAnsi="Century Gothic" w:cs="Arial"/>
          <w:bCs/>
          <w:sz w:val="26"/>
          <w:szCs w:val="26"/>
          <w:lang w:eastAsia="es-MX"/>
        </w:rPr>
        <w:t>La imagen del denunciado no constituía propaganda gubernamental personalizada</w:t>
      </w:r>
      <w:r w:rsidRPr="00A8533A">
        <w:rPr>
          <w:rFonts w:ascii="Century Gothic" w:hAnsi="Century Gothic" w:cs="Arial"/>
          <w:bCs/>
          <w:sz w:val="26"/>
          <w:szCs w:val="26"/>
          <w:lang w:eastAsia="es-MX"/>
        </w:rPr>
        <w:t xml:space="preserve">; </w:t>
      </w:r>
      <w:proofErr w:type="spellStart"/>
      <w:r w:rsidRPr="00A8533A">
        <w:rPr>
          <w:rFonts w:ascii="Century Gothic" w:hAnsi="Century Gothic" w:cs="Arial"/>
          <w:b/>
          <w:i/>
          <w:iCs/>
          <w:sz w:val="26"/>
          <w:szCs w:val="26"/>
          <w:lang w:eastAsia="es-MX"/>
        </w:rPr>
        <w:t>iv</w:t>
      </w:r>
      <w:proofErr w:type="spellEnd"/>
      <w:r w:rsidRPr="00A8533A">
        <w:rPr>
          <w:rFonts w:ascii="Century Gothic" w:hAnsi="Century Gothic" w:cs="Arial"/>
          <w:b/>
          <w:i/>
          <w:iCs/>
          <w:sz w:val="26"/>
          <w:szCs w:val="26"/>
          <w:lang w:eastAsia="es-MX"/>
        </w:rPr>
        <w:t xml:space="preserve">) </w:t>
      </w:r>
      <w:r w:rsidRPr="0050453C">
        <w:rPr>
          <w:rFonts w:ascii="Century Gothic" w:hAnsi="Century Gothic" w:cs="Arial"/>
          <w:bCs/>
          <w:sz w:val="26"/>
          <w:szCs w:val="26"/>
          <w:lang w:eastAsia="es-MX"/>
        </w:rPr>
        <w:t>falta de exhaustividad sobre el estudio del elemento temporal con relación a la proximidad del debate</w:t>
      </w:r>
      <w:r>
        <w:rPr>
          <w:rFonts w:ascii="Century Gothic" w:hAnsi="Century Gothic" w:cs="Arial"/>
          <w:bCs/>
          <w:sz w:val="26"/>
          <w:szCs w:val="26"/>
          <w:lang w:eastAsia="es-MX"/>
        </w:rPr>
        <w:t xml:space="preserve">; </w:t>
      </w:r>
      <w:r w:rsidRPr="00106653">
        <w:rPr>
          <w:rFonts w:ascii="Century Gothic" w:hAnsi="Century Gothic" w:cs="Arial"/>
          <w:b/>
          <w:i/>
          <w:iCs/>
          <w:sz w:val="26"/>
          <w:szCs w:val="26"/>
          <w:lang w:eastAsia="es-MX"/>
        </w:rPr>
        <w:t>v)</w:t>
      </w:r>
      <w:r>
        <w:rPr>
          <w:rFonts w:ascii="Century Gothic" w:hAnsi="Century Gothic" w:cs="Arial"/>
          <w:bCs/>
          <w:sz w:val="26"/>
          <w:szCs w:val="26"/>
          <w:lang w:eastAsia="es-MX"/>
        </w:rPr>
        <w:t xml:space="preserve"> vulneración a los principios de neutralidad e imparcialidad por la difusión de la imagen y nombre del denunciado bajo la apariencia de un informe de labores fuera de su ámbito regional; </w:t>
      </w:r>
      <w:r w:rsidRPr="00106653">
        <w:rPr>
          <w:rFonts w:ascii="Century Gothic" w:hAnsi="Century Gothic" w:cs="Arial"/>
          <w:b/>
          <w:i/>
          <w:iCs/>
          <w:sz w:val="26"/>
          <w:szCs w:val="26"/>
          <w:lang w:eastAsia="es-MX"/>
        </w:rPr>
        <w:t>vi)</w:t>
      </w:r>
      <w:r>
        <w:rPr>
          <w:rFonts w:ascii="Century Gothic" w:hAnsi="Century Gothic" w:cs="Arial"/>
          <w:bCs/>
          <w:sz w:val="26"/>
          <w:szCs w:val="26"/>
          <w:lang w:eastAsia="es-MX"/>
        </w:rPr>
        <w:t xml:space="preserve"> falta de exhaustividad, debida valoración probatoria y congruencia respecto del uso indebido de recursos públicos.</w:t>
      </w:r>
    </w:p>
    <w:p w14:paraId="3EB69EE9" w14:textId="77777777" w:rsidR="0026515A" w:rsidRPr="00A8533A" w:rsidRDefault="0026515A" w:rsidP="0026515A">
      <w:pPr>
        <w:spacing w:before="240" w:after="240" w:line="360" w:lineRule="auto"/>
        <w:ind w:firstLine="708"/>
        <w:jc w:val="both"/>
        <w:rPr>
          <w:rFonts w:ascii="Century Gothic" w:hAnsi="Century Gothic" w:cs="Poppins"/>
          <w:b/>
          <w:bCs/>
          <w:sz w:val="26"/>
          <w:szCs w:val="26"/>
          <w:shd w:val="clear" w:color="auto" w:fill="FFFFFF"/>
          <w:lang w:val="es-419"/>
        </w:rPr>
      </w:pPr>
      <w:r w:rsidRPr="00A8533A">
        <w:rPr>
          <w:rFonts w:ascii="Century Gothic" w:hAnsi="Century Gothic" w:cs="Poppins"/>
          <w:b/>
          <w:bCs/>
          <w:sz w:val="26"/>
          <w:szCs w:val="26"/>
          <w:shd w:val="clear" w:color="auto" w:fill="FFFFFF"/>
          <w:lang w:val="es-419"/>
        </w:rPr>
        <w:t>B3. Planteamientos en reconsideración:</w:t>
      </w:r>
    </w:p>
    <w:p w14:paraId="7EFB28E8" w14:textId="4A580EDB" w:rsidR="0026515A" w:rsidRPr="00A8533A" w:rsidRDefault="0026515A" w:rsidP="0026515A">
      <w:pPr>
        <w:spacing w:before="240" w:after="240" w:line="360" w:lineRule="auto"/>
        <w:jc w:val="both"/>
        <w:rPr>
          <w:rFonts w:ascii="Century Gothic" w:hAnsi="Century Gothic" w:cs="Poppins"/>
          <w:sz w:val="26"/>
          <w:szCs w:val="26"/>
          <w:shd w:val="clear" w:color="auto" w:fill="FFFFFF"/>
          <w:lang w:val="es-419"/>
        </w:rPr>
      </w:pPr>
      <w:r w:rsidRPr="00A8533A">
        <w:rPr>
          <w:rFonts w:ascii="Century Gothic" w:hAnsi="Century Gothic" w:cs="Poppins"/>
          <w:b/>
          <w:bCs/>
          <w:sz w:val="26"/>
          <w:szCs w:val="26"/>
          <w:shd w:val="clear" w:color="auto" w:fill="FFFFFF"/>
          <w:lang w:val="es-419"/>
        </w:rPr>
        <w:t xml:space="preserve">Requisito especial de procedencia. </w:t>
      </w:r>
      <w:r w:rsidRPr="007B7564">
        <w:rPr>
          <w:rFonts w:ascii="Century Gothic" w:hAnsi="Century Gothic" w:cs="Poppins"/>
          <w:sz w:val="26"/>
          <w:szCs w:val="26"/>
          <w:shd w:val="clear" w:color="auto" w:fill="FFFFFF"/>
          <w:lang w:val="es-419"/>
        </w:rPr>
        <w:t>El</w:t>
      </w:r>
      <w:r>
        <w:rPr>
          <w:rFonts w:ascii="Century Gothic" w:hAnsi="Century Gothic" w:cs="Poppins"/>
          <w:b/>
          <w:bCs/>
          <w:sz w:val="26"/>
          <w:szCs w:val="26"/>
          <w:shd w:val="clear" w:color="auto" w:fill="FFFFFF"/>
          <w:lang w:val="es-419"/>
        </w:rPr>
        <w:t xml:space="preserve"> </w:t>
      </w:r>
      <w:r w:rsidRPr="00A8533A">
        <w:rPr>
          <w:rFonts w:ascii="Century Gothic" w:hAnsi="Century Gothic" w:cs="Poppins"/>
          <w:sz w:val="26"/>
          <w:szCs w:val="26"/>
          <w:shd w:val="clear" w:color="auto" w:fill="FFFFFF"/>
          <w:lang w:val="es-419"/>
        </w:rPr>
        <w:t xml:space="preserve">recurrente expone argumentos para demostrar que, en el presente caso, se cumple con el requisito especial de procedencia del recurso de reconsideración, los cuales se resumen en lo siguiente: </w:t>
      </w:r>
      <w:r w:rsidRPr="00A8533A">
        <w:rPr>
          <w:rFonts w:ascii="Century Gothic" w:hAnsi="Century Gothic" w:cs="Poppins"/>
          <w:b/>
          <w:bCs/>
          <w:i/>
          <w:iCs/>
          <w:sz w:val="26"/>
          <w:szCs w:val="26"/>
          <w:shd w:val="clear" w:color="auto" w:fill="FFFFFF"/>
          <w:lang w:val="es-419"/>
        </w:rPr>
        <w:t xml:space="preserve">i) </w:t>
      </w:r>
      <w:r>
        <w:rPr>
          <w:rFonts w:ascii="Century Gothic" w:hAnsi="Century Gothic" w:cs="Poppins"/>
          <w:sz w:val="26"/>
          <w:szCs w:val="26"/>
          <w:shd w:val="clear" w:color="auto" w:fill="FFFFFF"/>
          <w:lang w:val="es-419"/>
        </w:rPr>
        <w:t>o</w:t>
      </w:r>
      <w:r w:rsidRPr="007B7564">
        <w:rPr>
          <w:rFonts w:ascii="Century Gothic" w:hAnsi="Century Gothic" w:cs="Poppins"/>
          <w:sz w:val="26"/>
          <w:szCs w:val="26"/>
          <w:shd w:val="clear" w:color="auto" w:fill="FFFFFF"/>
          <w:lang w:val="es-419"/>
        </w:rPr>
        <w:t>misión de analizar</w:t>
      </w:r>
      <w:r>
        <w:rPr>
          <w:rFonts w:ascii="Century Gothic" w:hAnsi="Century Gothic" w:cs="Poppins"/>
          <w:b/>
          <w:bCs/>
          <w:i/>
          <w:iCs/>
          <w:sz w:val="26"/>
          <w:szCs w:val="26"/>
          <w:shd w:val="clear" w:color="auto" w:fill="FFFFFF"/>
          <w:lang w:val="es-419"/>
        </w:rPr>
        <w:t xml:space="preserve"> </w:t>
      </w:r>
      <w:r w:rsidRPr="00A670C5">
        <w:rPr>
          <w:rFonts w:ascii="Century Gothic" w:hAnsi="Century Gothic" w:cs="Poppins"/>
          <w:sz w:val="26"/>
          <w:szCs w:val="26"/>
          <w:shd w:val="clear" w:color="auto" w:fill="FFFFFF"/>
          <w:lang w:val="es-419"/>
        </w:rPr>
        <w:t>los planteamientos relativos</w:t>
      </w:r>
      <w:r>
        <w:rPr>
          <w:rFonts w:ascii="Century Gothic" w:hAnsi="Century Gothic" w:cs="Poppins"/>
          <w:sz w:val="26"/>
          <w:szCs w:val="26"/>
          <w:shd w:val="clear" w:color="auto" w:fill="FFFFFF"/>
          <w:lang w:val="es-419"/>
        </w:rPr>
        <w:t xml:space="preserve"> a la interpretación y aplicación de los párrafos octavo y noveno del artículo 134 de la CPEUM y de los principios de imparcialidad, neutralidad y equidad</w:t>
      </w:r>
      <w:r w:rsidRPr="00A8533A">
        <w:rPr>
          <w:rFonts w:ascii="Century Gothic" w:hAnsi="Century Gothic" w:cs="Poppins"/>
          <w:sz w:val="26"/>
          <w:szCs w:val="26"/>
          <w:shd w:val="clear" w:color="auto" w:fill="FFFFFF"/>
          <w:lang w:val="es-419"/>
        </w:rPr>
        <w:t xml:space="preserve">; </w:t>
      </w:r>
      <w:proofErr w:type="spellStart"/>
      <w:r w:rsidRPr="00A8533A">
        <w:rPr>
          <w:rFonts w:ascii="Century Gothic" w:hAnsi="Century Gothic" w:cs="Poppins"/>
          <w:b/>
          <w:bCs/>
          <w:i/>
          <w:iCs/>
          <w:sz w:val="26"/>
          <w:szCs w:val="26"/>
          <w:shd w:val="clear" w:color="auto" w:fill="FFFFFF"/>
          <w:lang w:val="es-419"/>
        </w:rPr>
        <w:t>ii</w:t>
      </w:r>
      <w:proofErr w:type="spellEnd"/>
      <w:r w:rsidRPr="00A8533A">
        <w:rPr>
          <w:rFonts w:ascii="Century Gothic" w:hAnsi="Century Gothic" w:cs="Poppins"/>
          <w:b/>
          <w:bCs/>
          <w:i/>
          <w:iCs/>
          <w:sz w:val="26"/>
          <w:szCs w:val="26"/>
          <w:shd w:val="clear" w:color="auto" w:fill="FFFFFF"/>
          <w:lang w:val="es-419"/>
        </w:rPr>
        <w:t>)</w:t>
      </w:r>
      <w:r w:rsidRPr="00A8533A">
        <w:rPr>
          <w:rFonts w:ascii="Century Gothic" w:hAnsi="Century Gothic" w:cs="Poppins"/>
          <w:sz w:val="26"/>
          <w:szCs w:val="26"/>
          <w:shd w:val="clear" w:color="auto" w:fill="FFFFFF"/>
          <w:lang w:val="es-419"/>
        </w:rPr>
        <w:t xml:space="preserve"> </w:t>
      </w:r>
      <w:r>
        <w:rPr>
          <w:rFonts w:ascii="Century Gothic" w:hAnsi="Century Gothic" w:cs="Poppins"/>
          <w:sz w:val="26"/>
          <w:szCs w:val="26"/>
          <w:shd w:val="clear" w:color="auto" w:fill="FFFFFF"/>
          <w:lang w:val="es-419"/>
        </w:rPr>
        <w:t>la sentencia controvertida interpretó de forma directa los párrafos octavo y noveno del artículo 134 constitucional y los principios de imparcialidad, neutralidad y equidad, al fijar el alcance de las nociones de propaganda gubernamental, promoción personalizada y uso indebido de recursos públicos y al determinar cuando la difusión de un informe los transgrede</w:t>
      </w:r>
      <w:r w:rsidRPr="00A8533A">
        <w:rPr>
          <w:rFonts w:ascii="Century Gothic" w:hAnsi="Century Gothic" w:cs="Poppins"/>
          <w:sz w:val="26"/>
          <w:szCs w:val="26"/>
          <w:shd w:val="clear" w:color="auto" w:fill="FFFFFF"/>
          <w:lang w:val="es-419"/>
        </w:rPr>
        <w:t xml:space="preserve">; </w:t>
      </w:r>
      <w:proofErr w:type="spellStart"/>
      <w:r w:rsidRPr="00A8533A">
        <w:rPr>
          <w:rFonts w:ascii="Century Gothic" w:hAnsi="Century Gothic" w:cs="Poppins"/>
          <w:b/>
          <w:bCs/>
          <w:i/>
          <w:iCs/>
          <w:sz w:val="26"/>
          <w:szCs w:val="26"/>
          <w:shd w:val="clear" w:color="auto" w:fill="FFFFFF"/>
          <w:lang w:val="es-419"/>
        </w:rPr>
        <w:t>iii</w:t>
      </w:r>
      <w:proofErr w:type="spellEnd"/>
      <w:r w:rsidRPr="00A8533A">
        <w:rPr>
          <w:rFonts w:ascii="Century Gothic" w:hAnsi="Century Gothic" w:cs="Poppins"/>
          <w:b/>
          <w:bCs/>
          <w:i/>
          <w:iCs/>
          <w:sz w:val="26"/>
          <w:szCs w:val="26"/>
          <w:shd w:val="clear" w:color="auto" w:fill="FFFFFF"/>
          <w:lang w:val="es-419"/>
        </w:rPr>
        <w:t>)</w:t>
      </w:r>
      <w:r w:rsidRPr="00A8533A">
        <w:rPr>
          <w:rFonts w:ascii="Century Gothic" w:hAnsi="Century Gothic" w:cs="Poppins"/>
          <w:sz w:val="26"/>
          <w:szCs w:val="26"/>
          <w:shd w:val="clear" w:color="auto" w:fill="FFFFFF"/>
          <w:lang w:val="es-419"/>
        </w:rPr>
        <w:t xml:space="preserve"> </w:t>
      </w:r>
      <w:r>
        <w:rPr>
          <w:rFonts w:ascii="Century Gothic" w:hAnsi="Century Gothic" w:cs="Poppins"/>
          <w:sz w:val="26"/>
          <w:szCs w:val="26"/>
          <w:shd w:val="clear" w:color="auto" w:fill="FFFFFF"/>
          <w:lang w:val="es-419"/>
        </w:rPr>
        <w:t>vulneración a la tutela judicial efectiva y notorio error judicial, debido a la falta de estudio de los planteamientos constitucionales</w:t>
      </w:r>
      <w:r w:rsidRPr="00A8533A">
        <w:rPr>
          <w:rFonts w:ascii="Century Gothic" w:hAnsi="Century Gothic" w:cs="Poppins"/>
          <w:sz w:val="26"/>
          <w:szCs w:val="26"/>
          <w:shd w:val="clear" w:color="auto" w:fill="FFFFFF"/>
          <w:lang w:val="es-419"/>
        </w:rPr>
        <w:t xml:space="preserve">; </w:t>
      </w:r>
      <w:proofErr w:type="spellStart"/>
      <w:r w:rsidRPr="00A8533A">
        <w:rPr>
          <w:rFonts w:ascii="Century Gothic" w:hAnsi="Century Gothic" w:cs="Poppins"/>
          <w:b/>
          <w:bCs/>
          <w:i/>
          <w:iCs/>
          <w:sz w:val="26"/>
          <w:szCs w:val="26"/>
          <w:shd w:val="clear" w:color="auto" w:fill="FFFFFF"/>
          <w:lang w:val="es-419"/>
        </w:rPr>
        <w:t>iv</w:t>
      </w:r>
      <w:proofErr w:type="spellEnd"/>
      <w:r w:rsidRPr="00A8533A">
        <w:rPr>
          <w:rFonts w:ascii="Century Gothic" w:hAnsi="Century Gothic" w:cs="Poppins"/>
          <w:b/>
          <w:bCs/>
          <w:i/>
          <w:iCs/>
          <w:sz w:val="26"/>
          <w:szCs w:val="26"/>
          <w:shd w:val="clear" w:color="auto" w:fill="FFFFFF"/>
          <w:lang w:val="es-419"/>
        </w:rPr>
        <w:t>)</w:t>
      </w:r>
      <w:r w:rsidRPr="00A8533A">
        <w:rPr>
          <w:rFonts w:ascii="Century Gothic" w:hAnsi="Century Gothic" w:cs="Poppins"/>
          <w:sz w:val="26"/>
          <w:szCs w:val="26"/>
          <w:shd w:val="clear" w:color="auto" w:fill="FFFFFF"/>
          <w:lang w:val="es-419"/>
        </w:rPr>
        <w:t xml:space="preserve"> </w:t>
      </w:r>
      <w:r>
        <w:rPr>
          <w:rFonts w:ascii="Century Gothic" w:hAnsi="Century Gothic" w:cs="Poppins"/>
          <w:sz w:val="26"/>
          <w:szCs w:val="26"/>
          <w:shd w:val="clear" w:color="auto" w:fill="FFFFFF"/>
          <w:lang w:val="es-419"/>
        </w:rPr>
        <w:t xml:space="preserve">Se trata de un asunto relevante y trascendente, pues atañe a los límites constitucionales de la propaganda gubernamental, la promoción personalizada y el uso indebido de recursos públicos por servidores públicos municipales. </w:t>
      </w:r>
    </w:p>
    <w:p w14:paraId="045D4B70" w14:textId="77777777" w:rsidR="0026515A" w:rsidRPr="00A8533A" w:rsidRDefault="0026515A" w:rsidP="0026515A">
      <w:pPr>
        <w:spacing w:before="240" w:after="240" w:line="360" w:lineRule="auto"/>
        <w:ind w:firstLine="708"/>
        <w:jc w:val="both"/>
        <w:rPr>
          <w:rFonts w:ascii="Century Gothic" w:hAnsi="Century Gothic" w:cs="Poppins"/>
          <w:b/>
          <w:bCs/>
          <w:sz w:val="26"/>
          <w:szCs w:val="26"/>
          <w:shd w:val="clear" w:color="auto" w:fill="FFFFFF"/>
          <w:lang w:val="es-419"/>
        </w:rPr>
      </w:pPr>
      <w:r w:rsidRPr="00A8533A">
        <w:rPr>
          <w:rFonts w:ascii="Century Gothic" w:hAnsi="Century Gothic" w:cs="Poppins"/>
          <w:b/>
          <w:bCs/>
          <w:sz w:val="26"/>
          <w:szCs w:val="26"/>
          <w:shd w:val="clear" w:color="auto" w:fill="FFFFFF"/>
          <w:lang w:val="es-419"/>
        </w:rPr>
        <w:t>B4. Justificación de la decisión.</w:t>
      </w:r>
    </w:p>
    <w:p w14:paraId="0A23C49C" w14:textId="77777777" w:rsidR="0026515A" w:rsidRPr="00A8533A" w:rsidRDefault="0026515A" w:rsidP="0026515A">
      <w:pPr>
        <w:spacing w:before="240" w:after="240" w:line="360" w:lineRule="auto"/>
        <w:jc w:val="both"/>
        <w:rPr>
          <w:rFonts w:ascii="Century Gothic" w:hAnsi="Century Gothic" w:cs="Poppins"/>
          <w:sz w:val="26"/>
          <w:szCs w:val="26"/>
          <w:shd w:val="clear" w:color="auto" w:fill="FFFFFF"/>
          <w:lang w:val="es-419"/>
        </w:rPr>
      </w:pPr>
      <w:r w:rsidRPr="00A8533A">
        <w:rPr>
          <w:rFonts w:ascii="Century Gothic" w:hAnsi="Century Gothic" w:cs="Poppins"/>
          <w:sz w:val="26"/>
          <w:szCs w:val="26"/>
          <w:shd w:val="clear" w:color="auto" w:fill="FFFFFF"/>
          <w:lang w:val="es-419"/>
        </w:rPr>
        <w:t>Como se anunció, este órgano jurisdiccional considera que la demanda debe desecharse de plano, al no satisfacer el requisito especial de procedencia relativo a que en la sentencia impugnada se haya realizado algún estudio de constitucionalidad y/o convencionalidad, además de que tampoco se actualiza supuesto alguno de procedencia desarrollado vía jurisprudencial por esta Sala Superior.</w:t>
      </w:r>
    </w:p>
    <w:p w14:paraId="193A3BA3" w14:textId="77777777" w:rsidR="0026515A" w:rsidRPr="00A8533A" w:rsidRDefault="0026515A" w:rsidP="0026515A">
      <w:pPr>
        <w:widowControl w:val="0"/>
        <w:spacing w:before="240" w:after="240" w:line="360" w:lineRule="auto"/>
        <w:jc w:val="both"/>
        <w:rPr>
          <w:rFonts w:ascii="Century Gothic" w:hAnsi="Century Gothic" w:cs="Poppins"/>
          <w:sz w:val="26"/>
          <w:szCs w:val="26"/>
          <w:shd w:val="clear" w:color="auto" w:fill="FFFFFF"/>
          <w:lang w:val="es-419"/>
        </w:rPr>
      </w:pPr>
      <w:r w:rsidRPr="00A8533A">
        <w:rPr>
          <w:rFonts w:ascii="Century Gothic" w:hAnsi="Century Gothic" w:cs="Poppins"/>
          <w:sz w:val="26"/>
          <w:szCs w:val="26"/>
          <w:shd w:val="clear" w:color="auto" w:fill="FFFFFF"/>
          <w:lang w:val="es-419"/>
        </w:rPr>
        <w:t xml:space="preserve">En efecto, como fue relatado previamente, la problemática abordada por la Sala señalada como responsable se vinculó con aspectos de legalidad </w:t>
      </w:r>
      <w:r>
        <w:rPr>
          <w:rFonts w:ascii="Century Gothic" w:hAnsi="Century Gothic" w:cs="Poppins"/>
          <w:sz w:val="26"/>
          <w:szCs w:val="26"/>
          <w:shd w:val="clear" w:color="auto" w:fill="FFFFFF"/>
          <w:lang w:val="es-419"/>
        </w:rPr>
        <w:t xml:space="preserve">derivados de los motivos de inconformidad formulados por el ahora recurrente, </w:t>
      </w:r>
      <w:r w:rsidRPr="00A8533A">
        <w:rPr>
          <w:rFonts w:ascii="Century Gothic" w:hAnsi="Century Gothic" w:cs="Poppins"/>
          <w:sz w:val="26"/>
          <w:szCs w:val="26"/>
          <w:shd w:val="clear" w:color="auto" w:fill="FFFFFF"/>
          <w:lang w:val="es-419"/>
        </w:rPr>
        <w:t xml:space="preserve">en torno a </w:t>
      </w:r>
      <w:r>
        <w:rPr>
          <w:rFonts w:ascii="Century Gothic" w:hAnsi="Century Gothic" w:cs="Poppins"/>
          <w:sz w:val="26"/>
          <w:szCs w:val="26"/>
          <w:shd w:val="clear" w:color="auto" w:fill="FFFFFF"/>
          <w:lang w:val="es-419"/>
        </w:rPr>
        <w:t xml:space="preserve">la vulneración al principio de exhaustividad, a </w:t>
      </w:r>
      <w:r w:rsidRPr="00A8533A">
        <w:rPr>
          <w:rFonts w:ascii="Century Gothic" w:hAnsi="Century Gothic" w:cs="Poppins"/>
          <w:sz w:val="26"/>
          <w:szCs w:val="26"/>
          <w:shd w:val="clear" w:color="auto" w:fill="FFFFFF"/>
          <w:lang w:val="es-419"/>
        </w:rPr>
        <w:t xml:space="preserve">una debida fundamentación y motivación, así como una </w:t>
      </w:r>
      <w:r>
        <w:rPr>
          <w:rFonts w:ascii="Century Gothic" w:hAnsi="Century Gothic" w:cs="Poppins"/>
          <w:sz w:val="26"/>
          <w:szCs w:val="26"/>
          <w:shd w:val="clear" w:color="auto" w:fill="FFFFFF"/>
          <w:lang w:val="es-419"/>
        </w:rPr>
        <w:t>ina</w:t>
      </w:r>
      <w:r w:rsidRPr="00A8533A">
        <w:rPr>
          <w:rFonts w:ascii="Century Gothic" w:hAnsi="Century Gothic" w:cs="Poppins"/>
          <w:sz w:val="26"/>
          <w:szCs w:val="26"/>
          <w:shd w:val="clear" w:color="auto" w:fill="FFFFFF"/>
          <w:lang w:val="es-419"/>
        </w:rPr>
        <w:t xml:space="preserve">decuada valoración probatoria respecto </w:t>
      </w:r>
      <w:r>
        <w:rPr>
          <w:rFonts w:ascii="Century Gothic" w:hAnsi="Century Gothic" w:cs="Poppins"/>
          <w:sz w:val="26"/>
          <w:szCs w:val="26"/>
          <w:shd w:val="clear" w:color="auto" w:fill="FFFFFF"/>
          <w:lang w:val="es-419"/>
        </w:rPr>
        <w:t xml:space="preserve">de los contenidos de los panorámicos denunciados, para efecto de concluir que el proceder del Tribunal Electoral local fue correcto, al determinar la existencia de las infracciones consistentes en promoción personalizada y uso indebido de recursos públicos; </w:t>
      </w:r>
      <w:r w:rsidRPr="00A8533A">
        <w:rPr>
          <w:rFonts w:ascii="Century Gothic" w:hAnsi="Century Gothic" w:cs="Poppins"/>
          <w:sz w:val="26"/>
          <w:szCs w:val="26"/>
          <w:shd w:val="clear" w:color="auto" w:fill="FFFFFF"/>
          <w:lang w:val="es-419"/>
        </w:rPr>
        <w:t>pero sin que se advierta un genuino estudio de constitucionalidad y convencionalidad, lo que deriva en el incumplimiento del requisito especial de procedencia.</w:t>
      </w:r>
    </w:p>
    <w:p w14:paraId="6A0EA112" w14:textId="77777777" w:rsidR="0026515A" w:rsidRDefault="0026515A" w:rsidP="0026515A">
      <w:pPr>
        <w:numPr>
          <w:ilvl w:val="0"/>
          <w:numId w:val="46"/>
        </w:numPr>
        <w:spacing w:before="160" w:after="160" w:line="360" w:lineRule="auto"/>
        <w:ind w:left="0" w:hanging="357"/>
        <w:jc w:val="both"/>
        <w:rPr>
          <w:rFonts w:ascii="Arial" w:eastAsia="Calibri" w:hAnsi="Arial" w:cs="Arial"/>
          <w:bCs/>
          <w:sz w:val="24"/>
          <w:lang w:val="es-MX" w:eastAsia="es-MX"/>
        </w:rPr>
      </w:pPr>
      <w:r>
        <w:rPr>
          <w:rFonts w:ascii="Century Gothic" w:hAnsi="Century Gothic" w:cs="Poppins"/>
          <w:sz w:val="26"/>
          <w:szCs w:val="26"/>
          <w:shd w:val="clear" w:color="auto" w:fill="FFFFFF"/>
          <w:lang w:val="es-419"/>
        </w:rPr>
        <w:t>En concordancia con lo anterior, el estudio de las temáticas relativas a la u</w:t>
      </w:r>
      <w:r w:rsidRPr="00896CCF">
        <w:rPr>
          <w:rFonts w:ascii="Century Gothic" w:hAnsi="Century Gothic" w:cs="Poppins"/>
          <w:sz w:val="26"/>
          <w:szCs w:val="26"/>
          <w:shd w:val="clear" w:color="auto" w:fill="FFFFFF"/>
          <w:lang w:val="es-419"/>
        </w:rPr>
        <w:t>bicación de los panorámicos</w:t>
      </w:r>
      <w:r>
        <w:rPr>
          <w:rFonts w:ascii="Century Gothic" w:hAnsi="Century Gothic" w:cs="Poppins"/>
          <w:sz w:val="26"/>
          <w:szCs w:val="26"/>
          <w:shd w:val="clear" w:color="auto" w:fill="FFFFFF"/>
          <w:lang w:val="es-419"/>
        </w:rPr>
        <w:t xml:space="preserve"> denunciados</w:t>
      </w:r>
      <w:r w:rsidRPr="00896CCF">
        <w:rPr>
          <w:rFonts w:ascii="Century Gothic" w:hAnsi="Century Gothic" w:cs="Poppins"/>
          <w:sz w:val="26"/>
          <w:szCs w:val="26"/>
          <w:shd w:val="clear" w:color="auto" w:fill="FFFFFF"/>
          <w:lang w:val="es-419"/>
        </w:rPr>
        <w:t xml:space="preserve">; </w:t>
      </w:r>
      <w:r>
        <w:rPr>
          <w:rFonts w:ascii="Century Gothic" w:hAnsi="Century Gothic" w:cs="Poppins"/>
          <w:sz w:val="26"/>
          <w:szCs w:val="26"/>
          <w:shd w:val="clear" w:color="auto" w:fill="FFFFFF"/>
          <w:lang w:val="es-419"/>
        </w:rPr>
        <w:t>a que l</w:t>
      </w:r>
      <w:r w:rsidRPr="00896CCF">
        <w:rPr>
          <w:rFonts w:ascii="Century Gothic" w:hAnsi="Century Gothic" w:cs="Poppins"/>
          <w:sz w:val="26"/>
          <w:szCs w:val="26"/>
          <w:shd w:val="clear" w:color="auto" w:fill="FFFFFF"/>
          <w:lang w:val="es-419"/>
        </w:rPr>
        <w:t xml:space="preserve">a imagen del denunciado no constituía propaganda gubernamental personalizada; </w:t>
      </w:r>
      <w:r>
        <w:rPr>
          <w:rFonts w:ascii="Century Gothic" w:hAnsi="Century Gothic" w:cs="Poppins"/>
          <w:sz w:val="26"/>
          <w:szCs w:val="26"/>
          <w:shd w:val="clear" w:color="auto" w:fill="FFFFFF"/>
          <w:lang w:val="es-419"/>
        </w:rPr>
        <w:t xml:space="preserve">la </w:t>
      </w:r>
      <w:r w:rsidRPr="00896CCF">
        <w:rPr>
          <w:rFonts w:ascii="Century Gothic" w:hAnsi="Century Gothic" w:cs="Poppins"/>
          <w:sz w:val="26"/>
          <w:szCs w:val="26"/>
          <w:shd w:val="clear" w:color="auto" w:fill="FFFFFF"/>
          <w:lang w:val="es-419"/>
        </w:rPr>
        <w:t xml:space="preserve">falta de exhaustividad sobre el estudio del elemento temporal con relación a la proximidad del debate; </w:t>
      </w:r>
      <w:r>
        <w:rPr>
          <w:rFonts w:ascii="Century Gothic" w:hAnsi="Century Gothic" w:cs="Poppins"/>
          <w:sz w:val="26"/>
          <w:szCs w:val="26"/>
          <w:shd w:val="clear" w:color="auto" w:fill="FFFFFF"/>
          <w:lang w:val="es-419"/>
        </w:rPr>
        <w:t xml:space="preserve">y la </w:t>
      </w:r>
      <w:r w:rsidRPr="00896CCF">
        <w:rPr>
          <w:rFonts w:ascii="Century Gothic" w:hAnsi="Century Gothic" w:cs="Poppins"/>
          <w:sz w:val="26"/>
          <w:szCs w:val="26"/>
          <w:shd w:val="clear" w:color="auto" w:fill="FFFFFF"/>
          <w:lang w:val="es-419"/>
        </w:rPr>
        <w:t xml:space="preserve">vulneración a los principios de neutralidad e imparcialidad por la difusión de la imagen y nombre del denunciado bajo la apariencia de un informe de labores fuera de su ámbito regional; </w:t>
      </w:r>
      <w:r>
        <w:rPr>
          <w:rFonts w:ascii="Century Gothic" w:hAnsi="Century Gothic" w:cs="Poppins"/>
          <w:sz w:val="26"/>
          <w:szCs w:val="26"/>
          <w:shd w:val="clear" w:color="auto" w:fill="FFFFFF"/>
          <w:lang w:val="es-419"/>
        </w:rPr>
        <w:t xml:space="preserve">en modo alguno </w:t>
      </w:r>
      <w:r w:rsidRPr="00A8533A">
        <w:rPr>
          <w:rFonts w:ascii="Century Gothic" w:hAnsi="Century Gothic" w:cs="Poppins"/>
          <w:sz w:val="26"/>
          <w:szCs w:val="26"/>
          <w:shd w:val="clear" w:color="auto" w:fill="FFFFFF"/>
          <w:lang w:val="es-419"/>
        </w:rPr>
        <w:t>implicó un análisis de control de constitucionalidad y/o convencionalidad por parte de la responsable ni tampoco una inaplicación, sino que se limitó a cuestiones propias de un estudio de legalidad, motivo por el cual no pueden ser sujetas de revisión por parte de esta Sala Superior, ante lo extraordinario del medio de impugnación intentado.</w:t>
      </w:r>
      <w:r w:rsidRPr="0036610E">
        <w:rPr>
          <w:rFonts w:ascii="Arial" w:eastAsia="Calibri" w:hAnsi="Arial" w:cs="Arial"/>
          <w:bCs/>
          <w:sz w:val="24"/>
          <w:lang w:val="es-MX" w:eastAsia="es-MX"/>
        </w:rPr>
        <w:t xml:space="preserve"> </w:t>
      </w:r>
    </w:p>
    <w:p w14:paraId="4E462CF8" w14:textId="77777777" w:rsidR="0026515A" w:rsidRPr="009C6613" w:rsidRDefault="0026515A" w:rsidP="0026515A">
      <w:pPr>
        <w:spacing w:before="160" w:after="160" w:line="360" w:lineRule="auto"/>
        <w:jc w:val="both"/>
        <w:rPr>
          <w:rFonts w:ascii="Century Gothic" w:eastAsia="Calibri" w:hAnsi="Century Gothic" w:cs="Arial"/>
          <w:bCs/>
          <w:sz w:val="26"/>
          <w:szCs w:val="26"/>
          <w:lang w:val="es-MX" w:eastAsia="es-MX"/>
        </w:rPr>
      </w:pPr>
      <w:r w:rsidRPr="009C6613">
        <w:rPr>
          <w:rFonts w:ascii="Century Gothic" w:eastAsia="Calibri" w:hAnsi="Century Gothic" w:cs="Arial"/>
          <w:bCs/>
          <w:sz w:val="26"/>
          <w:szCs w:val="26"/>
          <w:lang w:val="es-MX" w:eastAsia="es-MX"/>
        </w:rPr>
        <w:t>Esto es, la instancia regional, al confirmar la sentencia local, no realizó un análisis propio de constitucionalidad respecto del artículo 134 de la Constitución general, ni fijó los alcances interpretativos de las reglas sobre la difusión de propaganda, en términos de la jurisprudencia 12/2015, sino que se limitó a revisar lo resuelto por el Tribunal local a la luz de los agravios formulados por la parte recurrente.</w:t>
      </w:r>
    </w:p>
    <w:p w14:paraId="7538027A" w14:textId="77777777" w:rsidR="0026515A" w:rsidRPr="009C6613" w:rsidRDefault="0026515A" w:rsidP="0026515A">
      <w:pPr>
        <w:spacing w:before="160" w:after="160" w:line="360" w:lineRule="auto"/>
        <w:jc w:val="both"/>
        <w:rPr>
          <w:rFonts w:ascii="Century Gothic" w:eastAsia="Calibri" w:hAnsi="Century Gothic" w:cs="Arial"/>
          <w:bCs/>
          <w:sz w:val="26"/>
          <w:szCs w:val="26"/>
          <w:lang w:val="es-MX" w:eastAsia="es-MX"/>
        </w:rPr>
      </w:pPr>
      <w:r w:rsidRPr="009C6613">
        <w:rPr>
          <w:rFonts w:ascii="Century Gothic" w:eastAsia="Calibri" w:hAnsi="Century Gothic" w:cs="Arial"/>
          <w:bCs/>
          <w:sz w:val="26"/>
          <w:szCs w:val="26"/>
          <w:lang w:val="es-MX" w:eastAsia="es-MX"/>
        </w:rPr>
        <w:t>En otras palabras, la responsable no realizó una interpretación de constitucionalidad o convencionalidad, pues su sentencia se limitó a la revisión de la aplicación estricta de las reglas normativas y jurisprudenciales respecto a la propaganda personalizada</w:t>
      </w:r>
      <w:r w:rsidRPr="009C6613">
        <w:rPr>
          <w:rFonts w:ascii="Century Gothic" w:eastAsia="Calibri" w:hAnsi="Century Gothic"/>
          <w:sz w:val="26"/>
          <w:szCs w:val="26"/>
          <w:lang w:val="es-MX" w:eastAsia="es-MX"/>
        </w:rPr>
        <w:t xml:space="preserve">. </w:t>
      </w:r>
      <w:r w:rsidRPr="009C6613">
        <w:rPr>
          <w:rFonts w:ascii="Century Gothic" w:eastAsia="Calibri" w:hAnsi="Century Gothic" w:cs="Arial"/>
          <w:bCs/>
          <w:sz w:val="26"/>
          <w:szCs w:val="26"/>
          <w:lang w:val="es-MX" w:eastAsia="es-MX"/>
        </w:rPr>
        <w:t xml:space="preserve">De este modo, se advierte que el fondo de la controversia se circunscribe a un </w:t>
      </w:r>
      <w:r w:rsidRPr="009C6613">
        <w:rPr>
          <w:rFonts w:ascii="Century Gothic" w:eastAsia="Calibri" w:hAnsi="Century Gothic" w:cs="Arial"/>
          <w:b/>
          <w:sz w:val="26"/>
          <w:szCs w:val="26"/>
          <w:lang w:val="es-MX" w:eastAsia="es-MX"/>
        </w:rPr>
        <w:t>tema de mera legalidad</w:t>
      </w:r>
      <w:r w:rsidRPr="009C6613">
        <w:rPr>
          <w:rFonts w:ascii="Century Gothic" w:eastAsia="Calibri" w:hAnsi="Century Gothic"/>
          <w:sz w:val="26"/>
          <w:szCs w:val="26"/>
          <w:lang w:val="es-MX" w:eastAsia="es-MX"/>
        </w:rPr>
        <w:t>.</w:t>
      </w:r>
    </w:p>
    <w:p w14:paraId="00C4011A" w14:textId="77777777" w:rsidR="0026515A" w:rsidRPr="009C6613" w:rsidRDefault="0026515A" w:rsidP="0026515A">
      <w:pPr>
        <w:spacing w:before="160" w:after="160" w:line="360" w:lineRule="auto"/>
        <w:jc w:val="both"/>
        <w:rPr>
          <w:rFonts w:ascii="Century Gothic" w:eastAsia="Calibri" w:hAnsi="Century Gothic" w:cs="Arial"/>
          <w:sz w:val="26"/>
          <w:szCs w:val="26"/>
          <w:lang w:val="es-MX" w:eastAsia="es-MX"/>
        </w:rPr>
      </w:pPr>
      <w:r w:rsidRPr="009C6613">
        <w:rPr>
          <w:rFonts w:ascii="Century Gothic" w:eastAsia="Calibri" w:hAnsi="Century Gothic" w:cs="Arial"/>
          <w:bCs/>
          <w:sz w:val="26"/>
          <w:szCs w:val="26"/>
          <w:lang w:eastAsia="es-MX"/>
        </w:rPr>
        <w:t xml:space="preserve">En ese sentido, </w:t>
      </w:r>
      <w:r w:rsidRPr="009C6613">
        <w:rPr>
          <w:rFonts w:ascii="Century Gothic" w:eastAsia="Calibri" w:hAnsi="Century Gothic" w:cs="Arial"/>
          <w:b/>
          <w:sz w:val="26"/>
          <w:szCs w:val="26"/>
          <w:lang w:eastAsia="es-MX"/>
        </w:rPr>
        <w:t>no subsiste un tópico propiamente de constitucionalidad</w:t>
      </w:r>
      <w:r w:rsidRPr="009C6613">
        <w:rPr>
          <w:rFonts w:ascii="Century Gothic" w:eastAsia="Calibri" w:hAnsi="Century Gothic" w:cs="Arial"/>
          <w:bCs/>
          <w:sz w:val="26"/>
          <w:szCs w:val="26"/>
          <w:lang w:eastAsia="es-MX"/>
        </w:rPr>
        <w:t xml:space="preserve"> que deba ser analizado por esta Sala Superior, porque los argumentos del recurrente no evidencian que subsista un tema de constitucionalidad o convencionalidad en la determinación adoptada por la Sala Monterrey, </w:t>
      </w:r>
      <w:r w:rsidRPr="009C6613">
        <w:rPr>
          <w:rFonts w:ascii="Century Gothic" w:eastAsia="Calibri" w:hAnsi="Century Gothic" w:cs="Arial"/>
          <w:sz w:val="26"/>
          <w:szCs w:val="26"/>
          <w:lang w:val="es-MX" w:eastAsia="es-MX"/>
        </w:rPr>
        <w:t>sino que se constriñe al ámbito de legalidad ordinaria.</w:t>
      </w:r>
    </w:p>
    <w:p w14:paraId="7A6B02CE" w14:textId="3350839E" w:rsidR="0026515A" w:rsidRPr="009C6613" w:rsidRDefault="0026515A" w:rsidP="0026515A">
      <w:pPr>
        <w:spacing w:before="160" w:after="160" w:line="360" w:lineRule="auto"/>
        <w:jc w:val="both"/>
        <w:rPr>
          <w:rFonts w:ascii="Century Gothic" w:eastAsia="Calibri" w:hAnsi="Century Gothic" w:cs="Arial"/>
          <w:bCs/>
          <w:sz w:val="26"/>
          <w:szCs w:val="26"/>
          <w:lang w:val="es-MX" w:eastAsia="es-MX"/>
        </w:rPr>
      </w:pPr>
      <w:r w:rsidRPr="009C6613">
        <w:rPr>
          <w:rFonts w:ascii="Century Gothic" w:eastAsia="Calibri" w:hAnsi="Century Gothic" w:cs="Arial"/>
          <w:bCs/>
          <w:sz w:val="26"/>
          <w:szCs w:val="26"/>
          <w:lang w:val="es-MX" w:eastAsia="es-MX"/>
        </w:rPr>
        <w:t xml:space="preserve">Los agravios hechos valer ante esta instancia cuestionan el criterio de legalidad adoptado por la Sala Regional alegando: la omisión de estudio de los planteamientos de constitucionalidad y vulneración a la tutela judicial efectiva, a partir de que no se actualizan las infracciones relativas a la promoción personalizada y al uso indebido de recursos públicos, por no </w:t>
      </w:r>
      <w:r w:rsidR="00147B59">
        <w:rPr>
          <w:rFonts w:ascii="Century Gothic" w:eastAsia="Calibri" w:hAnsi="Century Gothic" w:cs="Arial"/>
          <w:bCs/>
          <w:sz w:val="26"/>
          <w:szCs w:val="26"/>
          <w:lang w:val="es-MX" w:eastAsia="es-MX"/>
        </w:rPr>
        <w:t xml:space="preserve">cumplirse con </w:t>
      </w:r>
      <w:r w:rsidRPr="009C6613">
        <w:rPr>
          <w:rFonts w:ascii="Century Gothic" w:eastAsia="Calibri" w:hAnsi="Century Gothic" w:cs="Arial"/>
          <w:bCs/>
          <w:sz w:val="26"/>
          <w:szCs w:val="26"/>
          <w:lang w:val="es-MX" w:eastAsia="es-MX"/>
        </w:rPr>
        <w:t xml:space="preserve">los elementos correspondientes. </w:t>
      </w:r>
    </w:p>
    <w:p w14:paraId="76579A29" w14:textId="77777777" w:rsidR="0026515A" w:rsidRPr="009C6613" w:rsidRDefault="0026515A" w:rsidP="0026515A">
      <w:pPr>
        <w:spacing w:before="160" w:after="160" w:line="360" w:lineRule="auto"/>
        <w:jc w:val="both"/>
        <w:rPr>
          <w:rFonts w:ascii="Century Gothic" w:eastAsia="Calibri" w:hAnsi="Century Gothic" w:cs="Arial"/>
          <w:bCs/>
          <w:sz w:val="26"/>
          <w:szCs w:val="26"/>
          <w:lang w:val="es-MX" w:eastAsia="es-MX"/>
        </w:rPr>
      </w:pPr>
      <w:r w:rsidRPr="009C6613">
        <w:rPr>
          <w:rFonts w:ascii="Century Gothic" w:eastAsia="Calibri" w:hAnsi="Century Gothic" w:cs="Arial"/>
          <w:bCs/>
          <w:sz w:val="26"/>
          <w:szCs w:val="26"/>
          <w:lang w:val="es-MX" w:eastAsia="es-MX"/>
        </w:rPr>
        <w:t>Los referidos planteamientos, no desarrollan un razonamiento dirigido a evidenciar la inaplicación de una norma ni la interpretación directa de un precepto constitucional en el estudio concreto realizado por la responsable, sino que se reducen a expresar una discrepancia con la solución jurídica adoptada de considerar que los hechos denunciados no se traducen en promoción personalizada y en uso indebido de recursos públicos, lo cual constituye una cuestión de mera legalidad.</w:t>
      </w:r>
    </w:p>
    <w:p w14:paraId="19C20FE8" w14:textId="00B6D194" w:rsidR="0026515A" w:rsidRPr="009C6613" w:rsidRDefault="0026515A" w:rsidP="0026515A">
      <w:pPr>
        <w:spacing w:before="240" w:after="240" w:line="360" w:lineRule="auto"/>
        <w:jc w:val="both"/>
        <w:rPr>
          <w:rFonts w:ascii="Century Gothic" w:hAnsi="Century Gothic" w:cs="Poppins"/>
          <w:sz w:val="26"/>
          <w:szCs w:val="26"/>
          <w:shd w:val="clear" w:color="auto" w:fill="FFFFFF"/>
          <w:lang w:val="es-419"/>
        </w:rPr>
      </w:pPr>
      <w:r w:rsidRPr="009C6613">
        <w:rPr>
          <w:rFonts w:ascii="Century Gothic" w:hAnsi="Century Gothic" w:cs="Poppins"/>
          <w:sz w:val="26"/>
          <w:szCs w:val="26"/>
          <w:shd w:val="clear" w:color="auto" w:fill="FFFFFF"/>
          <w:lang w:val="es-419"/>
        </w:rPr>
        <w:t>Al efecto, cabe destacar que, si bien la parte recurrente refiere que la Sala Regional omitió el estudio del análisis de constitucionalidad respecto del artículo 134 de la CPEUM, o bien que realizó una interpretación directa del indicado precepto, lo cierto es que</w:t>
      </w:r>
      <w:r w:rsidR="006230B3">
        <w:rPr>
          <w:rFonts w:ascii="Century Gothic" w:hAnsi="Century Gothic" w:cs="Poppins"/>
          <w:sz w:val="26"/>
          <w:szCs w:val="26"/>
          <w:shd w:val="clear" w:color="auto" w:fill="FFFFFF"/>
          <w:lang w:val="es-419"/>
        </w:rPr>
        <w:t xml:space="preserve"> dicho </w:t>
      </w:r>
      <w:r w:rsidR="008F194C">
        <w:rPr>
          <w:rFonts w:ascii="Century Gothic" w:hAnsi="Century Gothic" w:cs="Poppins"/>
          <w:sz w:val="26"/>
          <w:szCs w:val="26"/>
          <w:shd w:val="clear" w:color="auto" w:fill="FFFFFF"/>
          <w:lang w:val="es-419"/>
        </w:rPr>
        <w:t>planteamiento lo realiza hasta la presente instancia, pues s</w:t>
      </w:r>
      <w:r w:rsidRPr="009C6613">
        <w:rPr>
          <w:rFonts w:ascii="Century Gothic" w:hAnsi="Century Gothic" w:cs="Poppins"/>
          <w:sz w:val="26"/>
          <w:szCs w:val="26"/>
          <w:shd w:val="clear" w:color="auto" w:fill="FFFFFF"/>
          <w:lang w:val="es-419"/>
        </w:rPr>
        <w:t xml:space="preserve">us </w:t>
      </w:r>
      <w:r w:rsidR="008F194C">
        <w:rPr>
          <w:rFonts w:ascii="Century Gothic" w:hAnsi="Century Gothic" w:cs="Poppins"/>
          <w:sz w:val="26"/>
          <w:szCs w:val="26"/>
          <w:shd w:val="clear" w:color="auto" w:fill="FFFFFF"/>
          <w:lang w:val="es-419"/>
        </w:rPr>
        <w:t xml:space="preserve">alegaciones </w:t>
      </w:r>
      <w:r w:rsidRPr="009C6613">
        <w:rPr>
          <w:rFonts w:ascii="Century Gothic" w:hAnsi="Century Gothic" w:cs="Poppins"/>
          <w:sz w:val="26"/>
          <w:szCs w:val="26"/>
          <w:shd w:val="clear" w:color="auto" w:fill="FFFFFF"/>
          <w:lang w:val="es-419"/>
        </w:rPr>
        <w:t xml:space="preserve">en sede regional se limitaron a exponer la vulneración al principio de exhaustividad, una indebida fundamentación y motivación y una incorrecta valoración probatoria, es decir, se </w:t>
      </w:r>
      <w:r w:rsidR="000D469F">
        <w:rPr>
          <w:rFonts w:ascii="Century Gothic" w:hAnsi="Century Gothic" w:cs="Poppins"/>
          <w:sz w:val="26"/>
          <w:szCs w:val="26"/>
          <w:shd w:val="clear" w:color="auto" w:fill="FFFFFF"/>
          <w:lang w:val="es-419"/>
        </w:rPr>
        <w:t xml:space="preserve">circunscribió a </w:t>
      </w:r>
      <w:r w:rsidR="00695D64">
        <w:rPr>
          <w:rFonts w:ascii="Century Gothic" w:hAnsi="Century Gothic" w:cs="Poppins"/>
          <w:sz w:val="26"/>
          <w:szCs w:val="26"/>
          <w:shd w:val="clear" w:color="auto" w:fill="FFFFFF"/>
          <w:lang w:val="es-419"/>
        </w:rPr>
        <w:t xml:space="preserve">plantear aspectos </w:t>
      </w:r>
      <w:r w:rsidRPr="009C6613">
        <w:rPr>
          <w:rFonts w:ascii="Century Gothic" w:hAnsi="Century Gothic" w:cs="Poppins"/>
          <w:sz w:val="26"/>
          <w:szCs w:val="26"/>
          <w:shd w:val="clear" w:color="auto" w:fill="FFFFFF"/>
          <w:lang w:val="es-419"/>
        </w:rPr>
        <w:t>de mera legalidad.</w:t>
      </w:r>
    </w:p>
    <w:p w14:paraId="44E8F83E" w14:textId="77777777" w:rsidR="0026515A" w:rsidRPr="009C6613" w:rsidRDefault="0026515A" w:rsidP="0026515A">
      <w:pPr>
        <w:spacing w:before="240" w:after="240" w:line="360" w:lineRule="auto"/>
        <w:jc w:val="both"/>
        <w:rPr>
          <w:rFonts w:ascii="Century Gothic" w:hAnsi="Century Gothic" w:cs="Poppins"/>
          <w:sz w:val="26"/>
          <w:szCs w:val="26"/>
          <w:shd w:val="clear" w:color="auto" w:fill="FFFFFF"/>
          <w:lang w:val="es-419"/>
        </w:rPr>
      </w:pPr>
      <w:r w:rsidRPr="009C6613">
        <w:rPr>
          <w:rFonts w:ascii="Century Gothic" w:hAnsi="Century Gothic" w:cs="Poppins"/>
          <w:sz w:val="26"/>
          <w:szCs w:val="26"/>
          <w:shd w:val="clear" w:color="auto" w:fill="FFFFFF"/>
          <w:lang w:val="es-419"/>
        </w:rPr>
        <w:t xml:space="preserve">Asimismo, contrario a lo señalado, esta Sala Superior no advierte que la Sala responsable haya incurrido en un notorio error judicial o una indebida actuación que viole las garantías esenciales del debido proceso apreciable de la simple revisión del expediente. </w:t>
      </w:r>
    </w:p>
    <w:p w14:paraId="38884EDF" w14:textId="77777777" w:rsidR="0026515A" w:rsidRPr="009C6613" w:rsidRDefault="0026515A" w:rsidP="0026515A">
      <w:pPr>
        <w:spacing w:before="240" w:after="240" w:line="360" w:lineRule="auto"/>
        <w:jc w:val="both"/>
        <w:rPr>
          <w:rFonts w:ascii="Century Gothic" w:hAnsi="Century Gothic" w:cs="Poppins"/>
          <w:sz w:val="26"/>
          <w:szCs w:val="26"/>
          <w:shd w:val="clear" w:color="auto" w:fill="FFFFFF"/>
          <w:lang w:val="es-419"/>
        </w:rPr>
      </w:pPr>
      <w:r w:rsidRPr="009C6613">
        <w:rPr>
          <w:rFonts w:ascii="Century Gothic" w:hAnsi="Century Gothic" w:cs="Poppins"/>
          <w:sz w:val="26"/>
          <w:szCs w:val="26"/>
          <w:shd w:val="clear" w:color="auto" w:fill="FFFFFF"/>
          <w:lang w:val="es-419"/>
        </w:rPr>
        <w:t xml:space="preserve">Finalmente, se advierte que la Sala Regional responsable sólo emitió pronunciamientos relacionados con la aplicación de normas secundarias vinculadas con la acreditación de conductas infractoras respecto de un servidor público, en su calidad de </w:t>
      </w:r>
      <w:proofErr w:type="gramStart"/>
      <w:r w:rsidRPr="009C6613">
        <w:rPr>
          <w:rFonts w:ascii="Century Gothic" w:hAnsi="Century Gothic" w:cs="Poppins"/>
          <w:sz w:val="26"/>
          <w:szCs w:val="26"/>
          <w:shd w:val="clear" w:color="auto" w:fill="FFFFFF"/>
          <w:lang w:val="es-419"/>
        </w:rPr>
        <w:t>Presidente</w:t>
      </w:r>
      <w:proofErr w:type="gramEnd"/>
      <w:r w:rsidRPr="009C6613">
        <w:rPr>
          <w:rFonts w:ascii="Century Gothic" w:hAnsi="Century Gothic" w:cs="Poppins"/>
          <w:sz w:val="26"/>
          <w:szCs w:val="26"/>
          <w:shd w:val="clear" w:color="auto" w:fill="FFFFFF"/>
          <w:lang w:val="es-419"/>
        </w:rPr>
        <w:t xml:space="preserve"> Municipal de General Escobedo, con motivo de la difusión de su informe de labores.</w:t>
      </w:r>
    </w:p>
    <w:p w14:paraId="60468D83" w14:textId="77777777" w:rsidR="0026515A" w:rsidRDefault="0026515A" w:rsidP="0026515A">
      <w:pPr>
        <w:spacing w:before="240" w:after="240" w:line="360" w:lineRule="auto"/>
        <w:jc w:val="both"/>
        <w:rPr>
          <w:rFonts w:ascii="Century Gothic" w:hAnsi="Century Gothic" w:cs="Poppins"/>
          <w:sz w:val="26"/>
          <w:szCs w:val="26"/>
          <w:shd w:val="clear" w:color="auto" w:fill="FFFFFF"/>
          <w:lang w:val="es-419"/>
        </w:rPr>
      </w:pPr>
      <w:r w:rsidRPr="009C6613">
        <w:rPr>
          <w:rFonts w:ascii="Century Gothic" w:hAnsi="Century Gothic" w:cs="Poppins"/>
          <w:sz w:val="26"/>
          <w:szCs w:val="26"/>
          <w:shd w:val="clear" w:color="auto" w:fill="FFFFFF"/>
          <w:lang w:val="es-419"/>
        </w:rPr>
        <w:t>De modo que este órgano jurisdiccional no advierte que el tema planteado revista importancia y trascendencia para el orden jurídico nacional, que amerite llevar a cabo el estudio de fondo de la controversia planteada, pues la temática de disenso no implicó un asunto inédito que exija el establecimiento de un criterio de interpretación relevante.</w:t>
      </w:r>
    </w:p>
    <w:p w14:paraId="0DAFC5E4" w14:textId="77777777" w:rsidR="0026515A" w:rsidRPr="009C6613" w:rsidRDefault="0026515A" w:rsidP="0026515A">
      <w:pPr>
        <w:spacing w:before="240" w:after="240" w:line="360" w:lineRule="auto"/>
        <w:jc w:val="both"/>
        <w:rPr>
          <w:rFonts w:ascii="Century Gothic" w:hAnsi="Century Gothic" w:cs="Poppins"/>
          <w:sz w:val="26"/>
          <w:szCs w:val="26"/>
          <w:shd w:val="clear" w:color="auto" w:fill="FFFFFF"/>
          <w:lang w:val="es-419"/>
        </w:rPr>
      </w:pPr>
      <w:r>
        <w:rPr>
          <w:rFonts w:ascii="Century Gothic" w:hAnsi="Century Gothic" w:cs="Poppins"/>
          <w:sz w:val="26"/>
          <w:szCs w:val="26"/>
          <w:shd w:val="clear" w:color="auto" w:fill="FFFFFF"/>
          <w:lang w:val="es-419"/>
        </w:rPr>
        <w:t xml:space="preserve">Similar criterio se sostuvo en el recurso de reconsideración SUP-REC-71/2026 y </w:t>
      </w:r>
      <w:proofErr w:type="gramStart"/>
      <w:r w:rsidRPr="00134A4F">
        <w:rPr>
          <w:rFonts w:ascii="Century Gothic" w:hAnsi="Century Gothic" w:cs="Poppins"/>
          <w:i/>
          <w:iCs/>
          <w:sz w:val="26"/>
          <w:szCs w:val="26"/>
          <w:shd w:val="clear" w:color="auto" w:fill="FFFFFF"/>
          <w:lang w:val="es-419"/>
        </w:rPr>
        <w:t xml:space="preserve">mutatis </w:t>
      </w:r>
      <w:proofErr w:type="spellStart"/>
      <w:r w:rsidRPr="00134A4F">
        <w:rPr>
          <w:rFonts w:ascii="Century Gothic" w:hAnsi="Century Gothic" w:cs="Poppins"/>
          <w:i/>
          <w:iCs/>
          <w:sz w:val="26"/>
          <w:szCs w:val="26"/>
          <w:shd w:val="clear" w:color="auto" w:fill="FFFFFF"/>
          <w:lang w:val="es-419"/>
        </w:rPr>
        <w:t>mutandi</w:t>
      </w:r>
      <w:proofErr w:type="spellEnd"/>
      <w:proofErr w:type="gramEnd"/>
      <w:r>
        <w:rPr>
          <w:rFonts w:ascii="Century Gothic" w:hAnsi="Century Gothic" w:cs="Poppins"/>
          <w:sz w:val="26"/>
          <w:szCs w:val="26"/>
          <w:shd w:val="clear" w:color="auto" w:fill="FFFFFF"/>
          <w:lang w:val="es-419"/>
        </w:rPr>
        <w:t xml:space="preserve"> en el SUP-REC-121/2026.</w:t>
      </w:r>
    </w:p>
    <w:p w14:paraId="740C04B6" w14:textId="3E951723" w:rsidR="00122369" w:rsidRPr="00F32948" w:rsidRDefault="00122369" w:rsidP="00122369">
      <w:pPr>
        <w:spacing w:before="240" w:after="240" w:line="360" w:lineRule="auto"/>
        <w:jc w:val="both"/>
        <w:rPr>
          <w:rFonts w:ascii="Century Gothic" w:hAnsi="Century Gothic"/>
          <w:sz w:val="26"/>
          <w:szCs w:val="26"/>
          <w:lang w:val="es-419"/>
        </w:rPr>
      </w:pPr>
      <w:r w:rsidRPr="00F32948">
        <w:rPr>
          <w:rFonts w:ascii="Century Gothic" w:hAnsi="Century Gothic"/>
          <w:sz w:val="26"/>
          <w:szCs w:val="26"/>
          <w:lang w:val="es-419"/>
        </w:rPr>
        <w:t>Por lo expuesto y fundado, se</w:t>
      </w:r>
    </w:p>
    <w:p w14:paraId="0C1DA2CC" w14:textId="77777777" w:rsidR="00122369" w:rsidRPr="00712DD6" w:rsidRDefault="00122369" w:rsidP="00122369">
      <w:pPr>
        <w:keepNext/>
        <w:tabs>
          <w:tab w:val="left" w:pos="1215"/>
        </w:tabs>
        <w:spacing w:before="240" w:after="240" w:line="360" w:lineRule="auto"/>
        <w:jc w:val="center"/>
        <w:rPr>
          <w:rFonts w:ascii="Century Gothic" w:eastAsia="Calibri" w:hAnsi="Century Gothic" w:cs="Arial"/>
          <w:b/>
          <w:sz w:val="26"/>
          <w:szCs w:val="26"/>
          <w:lang w:val="es-419" w:eastAsia="es-MX"/>
        </w:rPr>
      </w:pPr>
      <w:r w:rsidRPr="00712DD6">
        <w:rPr>
          <w:rFonts w:ascii="Century Gothic" w:eastAsia="Calibri" w:hAnsi="Century Gothic" w:cs="Arial"/>
          <w:b/>
          <w:sz w:val="26"/>
          <w:szCs w:val="26"/>
          <w:lang w:val="es-419" w:eastAsia="es-MX"/>
        </w:rPr>
        <w:t>RESUELVE:</w:t>
      </w:r>
    </w:p>
    <w:p w14:paraId="11C40CE6" w14:textId="7BA15825" w:rsidR="008E5CD1" w:rsidRPr="008E5CD1" w:rsidRDefault="00C42A92" w:rsidP="008E5CD1">
      <w:pPr>
        <w:spacing w:before="240" w:after="240" w:line="360" w:lineRule="auto"/>
        <w:jc w:val="both"/>
        <w:rPr>
          <w:rFonts w:ascii="Century Gothic" w:hAnsi="Century Gothic" w:cs="Arial"/>
          <w:bCs/>
          <w:sz w:val="26"/>
          <w:szCs w:val="26"/>
          <w:lang w:val="es-419" w:eastAsia="es-MX"/>
        </w:rPr>
      </w:pPr>
      <w:r>
        <w:rPr>
          <w:rFonts w:ascii="Century Gothic" w:hAnsi="Century Gothic" w:cs="Arial"/>
          <w:b/>
          <w:bCs/>
          <w:sz w:val="26"/>
          <w:szCs w:val="26"/>
          <w:lang w:val="es-419" w:eastAsia="es-MX"/>
        </w:rPr>
        <w:t>ÚNICO</w:t>
      </w:r>
      <w:r w:rsidR="008E5CD1" w:rsidRPr="008E5CD1">
        <w:rPr>
          <w:rFonts w:ascii="Century Gothic" w:hAnsi="Century Gothic" w:cs="Arial"/>
          <w:b/>
          <w:bCs/>
          <w:sz w:val="26"/>
          <w:szCs w:val="26"/>
          <w:lang w:val="es-419" w:eastAsia="es-MX"/>
        </w:rPr>
        <w:t>.</w:t>
      </w:r>
      <w:r w:rsidR="008E5CD1" w:rsidRPr="008E5CD1">
        <w:rPr>
          <w:rFonts w:ascii="Century Gothic" w:hAnsi="Century Gothic" w:cs="Arial"/>
          <w:bCs/>
          <w:sz w:val="26"/>
          <w:szCs w:val="26"/>
          <w:lang w:val="es-419" w:eastAsia="es-MX"/>
        </w:rPr>
        <w:t xml:space="preserve"> </w:t>
      </w:r>
      <w:r w:rsidR="008E5CD1" w:rsidRPr="008E5CD1">
        <w:rPr>
          <w:rFonts w:ascii="Century Gothic" w:hAnsi="Century Gothic" w:cs="Arial"/>
          <w:b/>
          <w:bCs/>
          <w:sz w:val="26"/>
          <w:szCs w:val="26"/>
          <w:lang w:val="es-419" w:eastAsia="es-MX"/>
        </w:rPr>
        <w:t>Se desecha de plano</w:t>
      </w:r>
      <w:r w:rsidR="008E5CD1" w:rsidRPr="008E5CD1">
        <w:rPr>
          <w:rFonts w:ascii="Century Gothic" w:hAnsi="Century Gothic" w:cs="Arial"/>
          <w:bCs/>
          <w:sz w:val="26"/>
          <w:szCs w:val="26"/>
          <w:lang w:val="es-419" w:eastAsia="es-MX"/>
        </w:rPr>
        <w:t xml:space="preserve"> la demanda.</w:t>
      </w:r>
    </w:p>
    <w:p w14:paraId="292F865C" w14:textId="77777777" w:rsidR="008E5CD1" w:rsidRPr="008E5CD1" w:rsidRDefault="008E5CD1" w:rsidP="008E5CD1">
      <w:pPr>
        <w:spacing w:before="240" w:after="240" w:line="360" w:lineRule="auto"/>
        <w:jc w:val="both"/>
        <w:rPr>
          <w:rFonts w:ascii="Century Gothic" w:hAnsi="Century Gothic" w:cs="Arial"/>
          <w:bCs/>
          <w:sz w:val="26"/>
          <w:szCs w:val="26"/>
          <w:lang w:val="es-419" w:eastAsia="es-MX"/>
        </w:rPr>
      </w:pPr>
      <w:r w:rsidRPr="008E5CD1">
        <w:rPr>
          <w:rFonts w:ascii="Century Gothic" w:hAnsi="Century Gothic" w:cs="Arial"/>
          <w:b/>
          <w:bCs/>
          <w:sz w:val="26"/>
          <w:szCs w:val="26"/>
          <w:lang w:val="es-419" w:eastAsia="es-MX"/>
        </w:rPr>
        <w:t>NOTIFÍQUESE</w:t>
      </w:r>
      <w:r w:rsidRPr="008E5CD1">
        <w:rPr>
          <w:rFonts w:ascii="Century Gothic" w:hAnsi="Century Gothic" w:cs="Arial"/>
          <w:bCs/>
          <w:sz w:val="26"/>
          <w:szCs w:val="26"/>
          <w:lang w:val="es-419" w:eastAsia="es-MX"/>
        </w:rPr>
        <w:t xml:space="preserve"> como corresponda.</w:t>
      </w:r>
    </w:p>
    <w:p w14:paraId="1F4230BF" w14:textId="77777777" w:rsidR="008E5CD1" w:rsidRPr="008E5CD1" w:rsidRDefault="008E5CD1" w:rsidP="008E5CD1">
      <w:pPr>
        <w:spacing w:before="240" w:after="240" w:line="360" w:lineRule="auto"/>
        <w:jc w:val="both"/>
        <w:rPr>
          <w:rFonts w:ascii="Century Gothic" w:hAnsi="Century Gothic" w:cs="Arial"/>
          <w:bCs/>
          <w:sz w:val="26"/>
          <w:szCs w:val="26"/>
          <w:lang w:val="es-419" w:eastAsia="es-MX"/>
        </w:rPr>
      </w:pPr>
      <w:r w:rsidRPr="008E5CD1">
        <w:rPr>
          <w:rFonts w:ascii="Century Gothic" w:hAnsi="Century Gothic" w:cs="Arial"/>
          <w:bCs/>
          <w:sz w:val="26"/>
          <w:szCs w:val="26"/>
          <w:lang w:val="es-419" w:eastAsia="es-MX"/>
        </w:rPr>
        <w:t>En su oportunidad, devuélvanse las constancias y archívese el expediente como asunto concluido.</w:t>
      </w:r>
    </w:p>
    <w:p w14:paraId="1D33723C" w14:textId="0BEFA117" w:rsidR="006C0010" w:rsidRDefault="008E5CD1" w:rsidP="006C0010">
      <w:pPr>
        <w:spacing w:before="240" w:after="240" w:line="360" w:lineRule="auto"/>
        <w:jc w:val="both"/>
        <w:rPr>
          <w:rFonts w:ascii="Century Gothic" w:hAnsi="Century Gothic" w:cs="Arial"/>
          <w:bCs/>
          <w:sz w:val="26"/>
          <w:szCs w:val="26"/>
          <w:lang w:val="es-419" w:eastAsia="es-MX"/>
        </w:rPr>
      </w:pPr>
      <w:r w:rsidRPr="008E5CD1">
        <w:rPr>
          <w:rFonts w:ascii="Century Gothic" w:hAnsi="Century Gothic" w:cs="Arial"/>
          <w:bCs/>
          <w:sz w:val="26"/>
          <w:szCs w:val="26"/>
          <w:lang w:val="es-419" w:eastAsia="es-MX"/>
        </w:rPr>
        <w:t xml:space="preserve">Así, </w:t>
      </w:r>
      <w:r w:rsidRPr="00867B2F">
        <w:rPr>
          <w:rFonts w:ascii="Century Gothic" w:hAnsi="Century Gothic" w:cs="Arial"/>
          <w:sz w:val="26"/>
          <w:szCs w:val="26"/>
          <w:lang w:val="es-419" w:eastAsia="es-MX"/>
        </w:rPr>
        <w:t xml:space="preserve">por </w:t>
      </w:r>
      <w:r w:rsidR="00315DC8" w:rsidRPr="00315DC8">
        <w:rPr>
          <w:rFonts w:ascii="Century Gothic" w:hAnsi="Century Gothic" w:cs="Arial"/>
          <w:b/>
          <w:bCs/>
          <w:sz w:val="26"/>
          <w:szCs w:val="26"/>
          <w:lang w:val="es-419" w:eastAsia="es-MX"/>
        </w:rPr>
        <w:t>unanimidad</w:t>
      </w:r>
      <w:r w:rsidR="00315DC8">
        <w:rPr>
          <w:rFonts w:ascii="Century Gothic" w:hAnsi="Century Gothic" w:cs="Arial"/>
          <w:sz w:val="26"/>
          <w:szCs w:val="26"/>
          <w:lang w:val="es-419" w:eastAsia="es-MX"/>
        </w:rPr>
        <w:t xml:space="preserve"> </w:t>
      </w:r>
      <w:r w:rsidRPr="008E5CD1">
        <w:rPr>
          <w:rFonts w:ascii="Century Gothic" w:hAnsi="Century Gothic" w:cs="Arial"/>
          <w:bCs/>
          <w:sz w:val="26"/>
          <w:szCs w:val="26"/>
          <w:lang w:val="es-419" w:eastAsia="es-MX"/>
        </w:rPr>
        <w:t>de votos, lo resolvieron las magistradas y los magistrados que integran la Sala Superior del Tribunal Electoral del Poder Judicial de la Federación, ante el secretario general de acuerdos, quien autoriza y da fe que la presente resolución se firma de manera electrónica.</w:t>
      </w:r>
    </w:p>
    <w:p w14:paraId="33826328" w14:textId="72F70DDC" w:rsidR="005B0B29" w:rsidRPr="00D44B9A" w:rsidRDefault="008E5CD1" w:rsidP="0073545F">
      <w:pPr>
        <w:jc w:val="both"/>
        <w:rPr>
          <w:rFonts w:ascii="Century Gothic" w:hAnsi="Century Gothic" w:cs="Arial"/>
          <w:bCs/>
          <w:sz w:val="22"/>
          <w:szCs w:val="22"/>
          <w:lang w:val="es-419" w:eastAsia="es-MX"/>
        </w:rPr>
      </w:pPr>
      <w:r w:rsidRPr="00C77B9B">
        <w:rPr>
          <w:rFonts w:ascii="Century Gothic" w:hAnsi="Century Gothic" w:cs="Arial"/>
          <w:bCs/>
          <w:sz w:val="22"/>
          <w:szCs w:val="22"/>
          <w:lang w:val="es-419" w:eastAsia="es-MX"/>
        </w:rPr>
        <w:t>Este documento es una representación gráfica autorizada mediante firmas electrónicas certificadas, el cual tiene plena validez jurídica de conformidad con los numerales segundo y cuarto del Acuerdo General de la Sala Superior del Tribunal Electoral del Poder Judicial de la Federación 3/2020, por el que se implementa la firma electrónica certificada del Poder Judicial de la Federación en los acuerdos, resoluciones y sentencias que se dicten con motivo del trámite, turno, sustanciación y resolución de los medios de impugnación en materia electoral.</w:t>
      </w:r>
    </w:p>
    <w:sectPr w:rsidR="005B0B29" w:rsidRPr="00D44B9A" w:rsidSect="00A17C82">
      <w:headerReference w:type="even" r:id="rId11"/>
      <w:headerReference w:type="default" r:id="rId12"/>
      <w:footerReference w:type="even" r:id="rId13"/>
      <w:footerReference w:type="default" r:id="rId14"/>
      <w:headerReference w:type="first" r:id="rId15"/>
      <w:pgSz w:w="12242" w:h="18722" w:code="14"/>
      <w:pgMar w:top="1985" w:right="1418" w:bottom="1418" w:left="2268" w:header="1417" w:footer="113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680F6" w14:textId="77777777" w:rsidR="0034113E" w:rsidRDefault="0034113E" w:rsidP="00C37BFD">
      <w:r>
        <w:separator/>
      </w:r>
    </w:p>
  </w:endnote>
  <w:endnote w:type="continuationSeparator" w:id="0">
    <w:p w14:paraId="58A8BDED" w14:textId="77777777" w:rsidR="0034113E" w:rsidRDefault="0034113E" w:rsidP="00C37BFD">
      <w:r>
        <w:continuationSeparator/>
      </w:r>
    </w:p>
  </w:endnote>
  <w:endnote w:type="continuationNotice" w:id="1">
    <w:p w14:paraId="5C84B7A2" w14:textId="77777777" w:rsidR="0034113E" w:rsidRDefault="003411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0F434" w14:textId="5DC56D5C" w:rsidR="00A256A2" w:rsidRPr="005C1FB2" w:rsidRDefault="0034113E" w:rsidP="005C1FB2">
    <w:pPr>
      <w:pStyle w:val="Piedepgina"/>
      <w:jc w:val="center"/>
      <w:rPr>
        <w:rFonts w:ascii="Century Gothic" w:hAnsi="Century Gothic" w:cs="Arial"/>
        <w:b/>
        <w:bCs/>
      </w:rPr>
    </w:pPr>
    <w:sdt>
      <w:sdtPr>
        <w:rPr>
          <w:rFonts w:ascii="Century Gothic" w:hAnsi="Century Gothic" w:cs="Arial"/>
          <w:b/>
          <w:bCs/>
        </w:rPr>
        <w:id w:val="-418404170"/>
        <w:docPartObj>
          <w:docPartGallery w:val="Page Numbers (Bottom of Page)"/>
          <w:docPartUnique/>
        </w:docPartObj>
      </w:sdtPr>
      <w:sdtEndPr/>
      <w:sdtContent>
        <w:r w:rsidR="005611EC" w:rsidRPr="005C1FB2">
          <w:rPr>
            <w:rFonts w:ascii="Century Gothic" w:hAnsi="Century Gothic" w:cs="Arial"/>
            <w:b/>
            <w:bCs/>
          </w:rPr>
          <w:fldChar w:fldCharType="begin"/>
        </w:r>
        <w:r w:rsidR="005611EC" w:rsidRPr="005C1FB2">
          <w:rPr>
            <w:rFonts w:ascii="Century Gothic" w:hAnsi="Century Gothic" w:cs="Arial"/>
            <w:b/>
            <w:bCs/>
          </w:rPr>
          <w:instrText>PAGE   \* MERGEFORMAT</w:instrText>
        </w:r>
        <w:r w:rsidR="005611EC" w:rsidRPr="005C1FB2">
          <w:rPr>
            <w:rFonts w:ascii="Century Gothic" w:hAnsi="Century Gothic" w:cs="Arial"/>
            <w:b/>
            <w:bCs/>
          </w:rPr>
          <w:fldChar w:fldCharType="separate"/>
        </w:r>
        <w:r w:rsidR="005611EC" w:rsidRPr="005C1FB2">
          <w:rPr>
            <w:rFonts w:ascii="Century Gothic" w:hAnsi="Century Gothic" w:cs="Arial"/>
            <w:b/>
            <w:bCs/>
            <w:noProof/>
          </w:rPr>
          <w:t>56</w:t>
        </w:r>
        <w:r w:rsidR="005611EC" w:rsidRPr="005C1FB2">
          <w:rPr>
            <w:rFonts w:ascii="Century Gothic" w:hAnsi="Century Gothic" w:cs="Arial"/>
            <w:b/>
            <w:bCs/>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D9BDB" w14:textId="4B55BCE1" w:rsidR="005611EC" w:rsidRPr="005C1FB2" w:rsidRDefault="0034113E" w:rsidP="005C1FB2">
    <w:pPr>
      <w:pStyle w:val="Piedepgina"/>
      <w:jc w:val="center"/>
      <w:rPr>
        <w:rFonts w:ascii="Century Gothic" w:hAnsi="Century Gothic" w:cs="Arial"/>
      </w:rPr>
    </w:pPr>
    <w:sdt>
      <w:sdtPr>
        <w:rPr>
          <w:rFonts w:ascii="Century Gothic" w:hAnsi="Century Gothic" w:cs="Arial"/>
        </w:rPr>
        <w:id w:val="-1193062954"/>
        <w:docPartObj>
          <w:docPartGallery w:val="Page Numbers (Bottom of Page)"/>
          <w:docPartUnique/>
        </w:docPartObj>
      </w:sdtPr>
      <w:sdtEndPr/>
      <w:sdtContent>
        <w:r w:rsidR="005611EC" w:rsidRPr="005C1FB2">
          <w:rPr>
            <w:rFonts w:ascii="Century Gothic" w:hAnsi="Century Gothic" w:cs="Arial"/>
            <w:b/>
            <w:bCs/>
          </w:rPr>
          <w:fldChar w:fldCharType="begin"/>
        </w:r>
        <w:r w:rsidR="005611EC" w:rsidRPr="005C1FB2">
          <w:rPr>
            <w:rFonts w:ascii="Century Gothic" w:hAnsi="Century Gothic" w:cs="Arial"/>
            <w:b/>
            <w:bCs/>
          </w:rPr>
          <w:instrText>PAGE   \* MERGEFORMAT</w:instrText>
        </w:r>
        <w:r w:rsidR="005611EC" w:rsidRPr="005C1FB2">
          <w:rPr>
            <w:rFonts w:ascii="Century Gothic" w:hAnsi="Century Gothic" w:cs="Arial"/>
            <w:b/>
            <w:bCs/>
          </w:rPr>
          <w:fldChar w:fldCharType="separate"/>
        </w:r>
        <w:r w:rsidR="005611EC" w:rsidRPr="005C1FB2">
          <w:rPr>
            <w:rFonts w:ascii="Century Gothic" w:hAnsi="Century Gothic" w:cs="Arial"/>
            <w:b/>
            <w:bCs/>
            <w:noProof/>
          </w:rPr>
          <w:t>55</w:t>
        </w:r>
        <w:r w:rsidR="005611EC" w:rsidRPr="005C1FB2">
          <w:rPr>
            <w:rFonts w:ascii="Century Gothic" w:hAnsi="Century Gothic" w:cs="Arial"/>
            <w:b/>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54D49" w14:textId="77777777" w:rsidR="0034113E" w:rsidRDefault="0034113E" w:rsidP="00C37BFD">
      <w:r>
        <w:separator/>
      </w:r>
    </w:p>
  </w:footnote>
  <w:footnote w:type="continuationSeparator" w:id="0">
    <w:p w14:paraId="256984A9" w14:textId="77777777" w:rsidR="0034113E" w:rsidRDefault="0034113E" w:rsidP="00C37BFD">
      <w:r>
        <w:continuationSeparator/>
      </w:r>
    </w:p>
  </w:footnote>
  <w:footnote w:type="continuationNotice" w:id="1">
    <w:p w14:paraId="64E34CFC" w14:textId="77777777" w:rsidR="0034113E" w:rsidRDefault="0034113E"/>
  </w:footnote>
  <w:footnote w:id="2">
    <w:p w14:paraId="7A2693A4" w14:textId="2906FF20" w:rsidR="00636B1F" w:rsidRPr="00061E78" w:rsidRDefault="00636B1F" w:rsidP="008444FE">
      <w:pPr>
        <w:pStyle w:val="Textonotapie"/>
        <w:jc w:val="both"/>
        <w:rPr>
          <w:rFonts w:ascii="Century Gothic" w:hAnsi="Century Gothic"/>
          <w:sz w:val="18"/>
          <w:szCs w:val="18"/>
          <w:lang w:val="pt-PT"/>
        </w:rPr>
      </w:pPr>
      <w:r w:rsidRPr="00061E78">
        <w:rPr>
          <w:rStyle w:val="Refdenotaalpie"/>
          <w:rFonts w:ascii="Century Gothic" w:hAnsi="Century Gothic"/>
          <w:sz w:val="18"/>
          <w:szCs w:val="18"/>
        </w:rPr>
        <w:footnoteRef/>
      </w:r>
      <w:r w:rsidRPr="00061E78">
        <w:rPr>
          <w:rFonts w:ascii="Century Gothic" w:hAnsi="Century Gothic"/>
          <w:sz w:val="18"/>
          <w:szCs w:val="18"/>
          <w:lang w:val="pt-PT"/>
        </w:rPr>
        <w:t xml:space="preserve"> En adelante</w:t>
      </w:r>
      <w:r w:rsidR="003A77FD" w:rsidRPr="00061E78">
        <w:rPr>
          <w:rFonts w:ascii="Century Gothic" w:hAnsi="Century Gothic"/>
          <w:sz w:val="18"/>
          <w:szCs w:val="18"/>
          <w:lang w:val="pt-PT"/>
        </w:rPr>
        <w:t xml:space="preserve"> podr</w:t>
      </w:r>
      <w:r w:rsidR="00B819F3">
        <w:rPr>
          <w:rFonts w:ascii="Century Gothic" w:hAnsi="Century Gothic"/>
          <w:sz w:val="18"/>
          <w:szCs w:val="18"/>
          <w:lang w:val="pt-PT"/>
        </w:rPr>
        <w:t>á</w:t>
      </w:r>
      <w:r w:rsidR="003A77FD" w:rsidRPr="00061E78">
        <w:rPr>
          <w:rFonts w:ascii="Century Gothic" w:hAnsi="Century Gothic"/>
          <w:sz w:val="18"/>
          <w:szCs w:val="18"/>
          <w:lang w:val="pt-PT"/>
        </w:rPr>
        <w:t xml:space="preserve"> citarse como</w:t>
      </w:r>
      <w:r w:rsidRPr="00061E78">
        <w:rPr>
          <w:rFonts w:ascii="Century Gothic" w:hAnsi="Century Gothic"/>
          <w:sz w:val="18"/>
          <w:szCs w:val="18"/>
          <w:lang w:val="pt-PT"/>
        </w:rPr>
        <w:t xml:space="preserve"> Sala </w:t>
      </w:r>
      <w:r w:rsidR="00C20607">
        <w:rPr>
          <w:rFonts w:ascii="Century Gothic" w:hAnsi="Century Gothic"/>
          <w:sz w:val="18"/>
          <w:szCs w:val="18"/>
          <w:lang w:val="pt-PT"/>
        </w:rPr>
        <w:t>R</w:t>
      </w:r>
      <w:r w:rsidR="003A77FD" w:rsidRPr="00061E78">
        <w:rPr>
          <w:rFonts w:ascii="Century Gothic" w:hAnsi="Century Gothic"/>
          <w:sz w:val="18"/>
          <w:szCs w:val="18"/>
          <w:lang w:val="pt-PT"/>
        </w:rPr>
        <w:t>egional</w:t>
      </w:r>
      <w:r w:rsidR="00C20607">
        <w:rPr>
          <w:rFonts w:ascii="Century Gothic" w:hAnsi="Century Gothic"/>
          <w:sz w:val="18"/>
          <w:szCs w:val="18"/>
          <w:lang w:val="pt-PT"/>
        </w:rPr>
        <w:t>, Sala Regional</w:t>
      </w:r>
      <w:r w:rsidR="003A77FD" w:rsidRPr="00061E78">
        <w:rPr>
          <w:rFonts w:ascii="Century Gothic" w:hAnsi="Century Gothic"/>
          <w:sz w:val="18"/>
          <w:szCs w:val="18"/>
          <w:lang w:val="pt-PT"/>
        </w:rPr>
        <w:t xml:space="preserve"> responsable o</w:t>
      </w:r>
      <w:r w:rsidR="002235A0" w:rsidRPr="00061E78">
        <w:rPr>
          <w:rFonts w:ascii="Century Gothic" w:hAnsi="Century Gothic"/>
          <w:sz w:val="18"/>
          <w:szCs w:val="18"/>
          <w:lang w:val="pt-PT"/>
        </w:rPr>
        <w:t xml:space="preserve"> </w:t>
      </w:r>
      <w:r w:rsidR="005E6EA8" w:rsidRPr="00061E78">
        <w:rPr>
          <w:rFonts w:ascii="Century Gothic" w:hAnsi="Century Gothic"/>
          <w:sz w:val="18"/>
          <w:szCs w:val="18"/>
          <w:lang w:val="pt-PT"/>
        </w:rPr>
        <w:t>Sala</w:t>
      </w:r>
      <w:r w:rsidR="003A77FD" w:rsidRPr="00061E78">
        <w:rPr>
          <w:rFonts w:ascii="Century Gothic" w:hAnsi="Century Gothic"/>
          <w:sz w:val="18"/>
          <w:szCs w:val="18"/>
          <w:lang w:val="pt-PT"/>
        </w:rPr>
        <w:t xml:space="preserve"> </w:t>
      </w:r>
      <w:r w:rsidR="00B85E85" w:rsidRPr="00061E78">
        <w:rPr>
          <w:rFonts w:ascii="Century Gothic" w:hAnsi="Century Gothic"/>
          <w:sz w:val="18"/>
          <w:szCs w:val="18"/>
          <w:lang w:val="pt-PT"/>
        </w:rPr>
        <w:t>MTY</w:t>
      </w:r>
    </w:p>
  </w:footnote>
  <w:footnote w:id="3">
    <w:p w14:paraId="74F66860" w14:textId="3ADFD451" w:rsidR="001F222D" w:rsidRPr="00061E78" w:rsidRDefault="001F222D" w:rsidP="008444FE">
      <w:pPr>
        <w:pStyle w:val="Textonotapie"/>
        <w:widowControl w:val="0"/>
        <w:jc w:val="both"/>
        <w:rPr>
          <w:rFonts w:ascii="Century Gothic" w:hAnsi="Century Gothic"/>
          <w:sz w:val="18"/>
          <w:szCs w:val="18"/>
        </w:rPr>
      </w:pPr>
      <w:r w:rsidRPr="00061E78">
        <w:rPr>
          <w:rStyle w:val="Refdenotaalpie"/>
          <w:rFonts w:ascii="Century Gothic" w:hAnsi="Century Gothic"/>
          <w:sz w:val="18"/>
          <w:szCs w:val="18"/>
        </w:rPr>
        <w:footnoteRef/>
      </w:r>
      <w:r w:rsidRPr="00061E78">
        <w:rPr>
          <w:rFonts w:ascii="Century Gothic" w:hAnsi="Century Gothic"/>
          <w:sz w:val="18"/>
          <w:szCs w:val="18"/>
        </w:rPr>
        <w:t xml:space="preserve"> Todas las fechas corresponderán a dos mil veinti</w:t>
      </w:r>
      <w:r w:rsidR="003F1C48" w:rsidRPr="00061E78">
        <w:rPr>
          <w:rFonts w:ascii="Century Gothic" w:hAnsi="Century Gothic"/>
          <w:sz w:val="18"/>
          <w:szCs w:val="18"/>
        </w:rPr>
        <w:t>séis</w:t>
      </w:r>
      <w:r w:rsidRPr="00061E78">
        <w:rPr>
          <w:rFonts w:ascii="Century Gothic" w:hAnsi="Century Gothic"/>
          <w:sz w:val="18"/>
          <w:szCs w:val="18"/>
        </w:rPr>
        <w:t>, salvo mención expresa.</w:t>
      </w:r>
    </w:p>
  </w:footnote>
  <w:footnote w:id="4">
    <w:p w14:paraId="07BF7477" w14:textId="124AB899" w:rsidR="00D56C2F" w:rsidRPr="00061E78" w:rsidRDefault="00D56C2F">
      <w:pPr>
        <w:pStyle w:val="Textonotapie"/>
        <w:rPr>
          <w:rFonts w:ascii="Century Gothic" w:hAnsi="Century Gothic"/>
          <w:sz w:val="18"/>
          <w:szCs w:val="18"/>
          <w:lang w:val="es-MX"/>
        </w:rPr>
      </w:pPr>
      <w:r w:rsidRPr="00061E78">
        <w:rPr>
          <w:rStyle w:val="Refdenotaalpie"/>
          <w:rFonts w:ascii="Century Gothic" w:hAnsi="Century Gothic"/>
          <w:sz w:val="18"/>
          <w:szCs w:val="18"/>
        </w:rPr>
        <w:footnoteRef/>
      </w:r>
      <w:r w:rsidRPr="00061E78">
        <w:rPr>
          <w:rFonts w:ascii="Century Gothic" w:hAnsi="Century Gothic"/>
          <w:sz w:val="18"/>
          <w:szCs w:val="18"/>
        </w:rPr>
        <w:t xml:space="preserve"> </w:t>
      </w:r>
      <w:r w:rsidRPr="00061E78">
        <w:rPr>
          <w:rFonts w:ascii="Century Gothic" w:hAnsi="Century Gothic"/>
          <w:sz w:val="18"/>
          <w:szCs w:val="18"/>
          <w:lang w:val="es-MX"/>
        </w:rPr>
        <w:t>En lo posterior, también TEPJF.</w:t>
      </w:r>
    </w:p>
  </w:footnote>
  <w:footnote w:id="5">
    <w:p w14:paraId="0F77BBE5" w14:textId="5F8F57EB" w:rsidR="002E455E" w:rsidRPr="002E455E" w:rsidRDefault="002E455E">
      <w:pPr>
        <w:pStyle w:val="Textonotapie"/>
        <w:rPr>
          <w:rFonts w:ascii="Century Gothic" w:hAnsi="Century Gothic"/>
          <w:lang w:val="es-MX"/>
        </w:rPr>
      </w:pPr>
      <w:r w:rsidRPr="002E455E">
        <w:rPr>
          <w:rStyle w:val="Refdenotaalpie"/>
          <w:rFonts w:ascii="Century Gothic" w:hAnsi="Century Gothic"/>
        </w:rPr>
        <w:footnoteRef/>
      </w:r>
      <w:r w:rsidRPr="002E455E">
        <w:rPr>
          <w:rFonts w:ascii="Century Gothic" w:hAnsi="Century Gothic"/>
        </w:rPr>
        <w:t xml:space="preserve"> </w:t>
      </w:r>
      <w:r w:rsidRPr="002E455E">
        <w:rPr>
          <w:rFonts w:ascii="Century Gothic" w:hAnsi="Century Gothic"/>
          <w:lang w:val="es-MX"/>
        </w:rPr>
        <w:t>En lo sucesivo también PAN.</w:t>
      </w:r>
    </w:p>
  </w:footnote>
  <w:footnote w:id="6">
    <w:p w14:paraId="626D00CC" w14:textId="2E4ABF84" w:rsidR="002D2858" w:rsidRPr="002D2858" w:rsidRDefault="002D2858">
      <w:pPr>
        <w:pStyle w:val="Textonotapie"/>
        <w:rPr>
          <w:rFonts w:ascii="Century Gothic" w:hAnsi="Century Gothic"/>
          <w:lang w:val="es-MX"/>
        </w:rPr>
      </w:pPr>
      <w:r w:rsidRPr="002D2858">
        <w:rPr>
          <w:rStyle w:val="Refdenotaalpie"/>
          <w:rFonts w:ascii="Century Gothic" w:hAnsi="Century Gothic"/>
        </w:rPr>
        <w:footnoteRef/>
      </w:r>
      <w:r w:rsidRPr="002D2858">
        <w:rPr>
          <w:rFonts w:ascii="Century Gothic" w:hAnsi="Century Gothic"/>
        </w:rPr>
        <w:t xml:space="preserve"> </w:t>
      </w:r>
      <w:r w:rsidRPr="002D2858">
        <w:rPr>
          <w:rFonts w:ascii="Century Gothic" w:hAnsi="Century Gothic"/>
          <w:lang w:val="es-MX"/>
        </w:rPr>
        <w:t>En adelante también Instituto Electoral local.</w:t>
      </w:r>
    </w:p>
  </w:footnote>
  <w:footnote w:id="7">
    <w:p w14:paraId="03D52E95" w14:textId="14B4882B" w:rsidR="002D2858" w:rsidRPr="002D2858" w:rsidRDefault="002D2858">
      <w:pPr>
        <w:pStyle w:val="Textonotapie"/>
        <w:rPr>
          <w:rFonts w:ascii="Century Gothic" w:hAnsi="Century Gothic"/>
          <w:lang w:val="es-MX"/>
        </w:rPr>
      </w:pPr>
      <w:r w:rsidRPr="002D2858">
        <w:rPr>
          <w:rStyle w:val="Refdenotaalpie"/>
          <w:rFonts w:ascii="Century Gothic" w:hAnsi="Century Gothic"/>
        </w:rPr>
        <w:footnoteRef/>
      </w:r>
      <w:r w:rsidRPr="002D2858">
        <w:rPr>
          <w:rFonts w:ascii="Century Gothic" w:hAnsi="Century Gothic"/>
        </w:rPr>
        <w:t xml:space="preserve"> </w:t>
      </w:r>
      <w:r w:rsidRPr="002D2858">
        <w:rPr>
          <w:rFonts w:ascii="Century Gothic" w:hAnsi="Century Gothic"/>
          <w:lang w:val="es-MX"/>
        </w:rPr>
        <w:t>En lo sucesivo también Tribunal Electoral local</w:t>
      </w:r>
      <w:r w:rsidR="00A55FB5">
        <w:rPr>
          <w:rFonts w:ascii="Century Gothic" w:hAnsi="Century Gothic"/>
          <w:lang w:val="es-MX"/>
        </w:rPr>
        <w:t xml:space="preserve"> o Tribunal local</w:t>
      </w:r>
      <w:r w:rsidRPr="002D2858">
        <w:rPr>
          <w:rFonts w:ascii="Century Gothic" w:hAnsi="Century Gothic"/>
          <w:lang w:val="es-MX"/>
        </w:rPr>
        <w:t>.</w:t>
      </w:r>
    </w:p>
  </w:footnote>
  <w:footnote w:id="8">
    <w:p w14:paraId="07F5E560" w14:textId="01D3005A" w:rsidR="00884583" w:rsidRPr="00061E78" w:rsidRDefault="00884583" w:rsidP="001D14B4">
      <w:pPr>
        <w:pStyle w:val="Textonotapie"/>
        <w:jc w:val="both"/>
        <w:rPr>
          <w:rFonts w:ascii="Century Gothic" w:hAnsi="Century Gothic"/>
          <w:sz w:val="18"/>
          <w:szCs w:val="18"/>
        </w:rPr>
      </w:pPr>
      <w:r w:rsidRPr="00061E78">
        <w:rPr>
          <w:rStyle w:val="Refdenotaalpie"/>
          <w:rFonts w:ascii="Century Gothic" w:hAnsi="Century Gothic"/>
          <w:sz w:val="18"/>
          <w:szCs w:val="18"/>
        </w:rPr>
        <w:footnoteRef/>
      </w:r>
      <w:r w:rsidRPr="00061E78">
        <w:rPr>
          <w:rFonts w:ascii="Century Gothic" w:hAnsi="Century Gothic"/>
          <w:sz w:val="18"/>
          <w:szCs w:val="18"/>
        </w:rPr>
        <w:t xml:space="preserve"> </w:t>
      </w:r>
      <w:hyperlink r:id="rId1" w:history="1">
        <w:r w:rsidRPr="00061E78">
          <w:rPr>
            <w:rStyle w:val="Hipervnculo"/>
            <w:rFonts w:ascii="Century Gothic" w:hAnsi="Century Gothic"/>
            <w:sz w:val="18"/>
            <w:szCs w:val="18"/>
          </w:rPr>
          <w:t>https://www.tee-nl.org.mx/sentencias.php?frSentencia=6343&amp;frBuscar=14&amp;frPagina=1</w:t>
        </w:r>
      </w:hyperlink>
      <w:r w:rsidRPr="00061E78">
        <w:rPr>
          <w:rFonts w:ascii="Century Gothic" w:hAnsi="Century Gothic"/>
          <w:sz w:val="18"/>
          <w:szCs w:val="18"/>
        </w:rPr>
        <w:t xml:space="preserve"> </w:t>
      </w:r>
    </w:p>
  </w:footnote>
  <w:footnote w:id="9">
    <w:p w14:paraId="20D61E67" w14:textId="63AB0AC3" w:rsidR="00657638" w:rsidRPr="00061E78" w:rsidRDefault="00657638" w:rsidP="00E31199">
      <w:pPr>
        <w:pStyle w:val="Textonotapie"/>
        <w:jc w:val="both"/>
        <w:rPr>
          <w:rFonts w:ascii="Century Gothic" w:hAnsi="Century Gothic"/>
          <w:sz w:val="18"/>
          <w:szCs w:val="18"/>
          <w:lang w:val="es-MX"/>
        </w:rPr>
      </w:pPr>
      <w:r w:rsidRPr="00061E78">
        <w:rPr>
          <w:rStyle w:val="Refdenotaalpie"/>
          <w:rFonts w:ascii="Century Gothic" w:hAnsi="Century Gothic"/>
          <w:sz w:val="18"/>
          <w:szCs w:val="18"/>
        </w:rPr>
        <w:footnoteRef/>
      </w:r>
      <w:r w:rsidRPr="00061E78">
        <w:rPr>
          <w:rFonts w:ascii="Century Gothic" w:hAnsi="Century Gothic"/>
          <w:sz w:val="18"/>
          <w:szCs w:val="18"/>
          <w:lang w:val="es-MX"/>
        </w:rPr>
        <w:t xml:space="preserve"> Consultable en </w:t>
      </w:r>
      <w:hyperlink r:id="rId2" w:history="1">
        <w:r w:rsidRPr="00061E78">
          <w:rPr>
            <w:rStyle w:val="Hipervnculo"/>
            <w:rFonts w:ascii="Century Gothic" w:hAnsi="Century Gothic"/>
            <w:sz w:val="18"/>
            <w:szCs w:val="18"/>
            <w:lang w:val="es-MX"/>
          </w:rPr>
          <w:t>https://www.te.gob.mx/media/SentenciasN/pdf/monterrey/SM-JG-0014-2026.pdf</w:t>
        </w:r>
      </w:hyperlink>
      <w:r w:rsidRPr="00061E78">
        <w:rPr>
          <w:rFonts w:ascii="Century Gothic" w:hAnsi="Century Gothic"/>
          <w:sz w:val="18"/>
          <w:szCs w:val="18"/>
          <w:lang w:val="es-MX"/>
        </w:rPr>
        <w:t xml:space="preserve"> </w:t>
      </w:r>
    </w:p>
  </w:footnote>
  <w:footnote w:id="10">
    <w:p w14:paraId="3604E2ED" w14:textId="1B91285B" w:rsidR="007C4B29" w:rsidRPr="00061E78" w:rsidRDefault="007C4B29" w:rsidP="003A3130">
      <w:pPr>
        <w:pStyle w:val="Textonotapie"/>
        <w:jc w:val="both"/>
        <w:rPr>
          <w:rFonts w:ascii="Century Gothic" w:hAnsi="Century Gothic"/>
          <w:sz w:val="18"/>
          <w:szCs w:val="18"/>
          <w:lang w:val="es-MX"/>
        </w:rPr>
      </w:pPr>
      <w:r w:rsidRPr="00061E78">
        <w:rPr>
          <w:rStyle w:val="Refdenotaalpie"/>
          <w:rFonts w:ascii="Century Gothic" w:hAnsi="Century Gothic"/>
          <w:sz w:val="18"/>
          <w:szCs w:val="18"/>
        </w:rPr>
        <w:footnoteRef/>
      </w:r>
      <w:r w:rsidRPr="00061E78">
        <w:rPr>
          <w:rFonts w:ascii="Century Gothic" w:hAnsi="Century Gothic"/>
          <w:sz w:val="18"/>
          <w:szCs w:val="18"/>
          <w:lang w:val="es-MX"/>
        </w:rPr>
        <w:t xml:space="preserve"> </w:t>
      </w:r>
      <w:r w:rsidR="003A3130">
        <w:rPr>
          <w:rFonts w:ascii="Century Gothic" w:hAnsi="Century Gothic"/>
          <w:sz w:val="18"/>
          <w:szCs w:val="18"/>
          <w:lang w:val="es-MX"/>
        </w:rPr>
        <w:t xml:space="preserve">La sentencia puede ser consultada en el siguiente enlace electrónico </w:t>
      </w:r>
      <w:hyperlink r:id="rId3" w:history="1">
        <w:r w:rsidR="0092474B" w:rsidRPr="00061E78">
          <w:rPr>
            <w:rStyle w:val="Hipervnculo"/>
            <w:rFonts w:ascii="Century Gothic" w:hAnsi="Century Gothic"/>
            <w:sz w:val="18"/>
            <w:szCs w:val="18"/>
            <w:lang w:val="es-MX"/>
          </w:rPr>
          <w:t>https://www.tee-nl.org.mx/sentencias.php?frSentencia=6343&amp;frBuscar=14&amp;frPagina=1</w:t>
        </w:r>
      </w:hyperlink>
      <w:r w:rsidRPr="00061E78">
        <w:rPr>
          <w:rFonts w:ascii="Century Gothic" w:hAnsi="Century Gothic"/>
          <w:sz w:val="18"/>
          <w:szCs w:val="18"/>
          <w:lang w:val="es-MX"/>
        </w:rPr>
        <w:t xml:space="preserve"> </w:t>
      </w:r>
    </w:p>
  </w:footnote>
  <w:footnote w:id="11">
    <w:p w14:paraId="28E6543E" w14:textId="51BA3B7A" w:rsidR="006A553E" w:rsidRPr="00061E78" w:rsidRDefault="006A553E">
      <w:pPr>
        <w:pStyle w:val="Textonotapie"/>
        <w:rPr>
          <w:rFonts w:ascii="Century Gothic" w:hAnsi="Century Gothic"/>
          <w:sz w:val="18"/>
          <w:szCs w:val="18"/>
        </w:rPr>
      </w:pPr>
      <w:r w:rsidRPr="00061E78">
        <w:rPr>
          <w:rStyle w:val="Refdenotaalpie"/>
          <w:rFonts w:ascii="Century Gothic" w:hAnsi="Century Gothic"/>
          <w:sz w:val="18"/>
          <w:szCs w:val="18"/>
        </w:rPr>
        <w:footnoteRef/>
      </w:r>
      <w:r w:rsidRPr="00061E78">
        <w:rPr>
          <w:rFonts w:ascii="Century Gothic" w:hAnsi="Century Gothic"/>
          <w:sz w:val="18"/>
          <w:szCs w:val="18"/>
        </w:rPr>
        <w:t xml:space="preserve"> </w:t>
      </w:r>
      <w:r w:rsidR="00061E78" w:rsidRPr="00061E78">
        <w:rPr>
          <w:rFonts w:ascii="Century Gothic" w:hAnsi="Century Gothic"/>
          <w:sz w:val="18"/>
          <w:szCs w:val="18"/>
        </w:rPr>
        <w:t xml:space="preserve">Consultable en </w:t>
      </w:r>
      <w:hyperlink r:id="rId4" w:history="1">
        <w:r w:rsidR="00061E78" w:rsidRPr="00061E78">
          <w:rPr>
            <w:rStyle w:val="Hipervnculo"/>
            <w:rFonts w:ascii="Century Gothic" w:hAnsi="Century Gothic"/>
            <w:sz w:val="18"/>
            <w:szCs w:val="18"/>
          </w:rPr>
          <w:t>http://www.te.gob.mx/EE/SM/2026/JG/24/SM_2026_JG_24-1721454.pdf</w:t>
        </w:r>
      </w:hyperlink>
      <w:r w:rsidR="00061E78" w:rsidRPr="00061E78">
        <w:rPr>
          <w:rFonts w:ascii="Century Gothic" w:hAnsi="Century Gothic"/>
          <w:sz w:val="18"/>
          <w:szCs w:val="18"/>
        </w:rPr>
        <w:t xml:space="preserve"> </w:t>
      </w:r>
    </w:p>
  </w:footnote>
  <w:footnote w:id="12">
    <w:p w14:paraId="3E604C17" w14:textId="5784EB7C" w:rsidR="009401AB" w:rsidRPr="00061E78" w:rsidRDefault="009401AB" w:rsidP="009401AB">
      <w:pPr>
        <w:pStyle w:val="Textonotapie"/>
        <w:rPr>
          <w:rFonts w:ascii="Century Gothic" w:hAnsi="Century Gothic"/>
          <w:sz w:val="18"/>
          <w:szCs w:val="18"/>
          <w:lang w:val="es-MX"/>
        </w:rPr>
      </w:pPr>
      <w:r w:rsidRPr="00061E78">
        <w:rPr>
          <w:rStyle w:val="Refdenotaalpie"/>
          <w:rFonts w:ascii="Century Gothic" w:hAnsi="Century Gothic"/>
          <w:sz w:val="18"/>
          <w:szCs w:val="18"/>
        </w:rPr>
        <w:footnoteRef/>
      </w:r>
      <w:r w:rsidRPr="00061E78">
        <w:rPr>
          <w:rFonts w:ascii="Century Gothic" w:hAnsi="Century Gothic"/>
          <w:sz w:val="18"/>
          <w:szCs w:val="18"/>
        </w:rPr>
        <w:t xml:space="preserve"> </w:t>
      </w:r>
      <w:r w:rsidRPr="00061E78">
        <w:rPr>
          <w:rFonts w:ascii="Century Gothic" w:hAnsi="Century Gothic"/>
          <w:sz w:val="18"/>
          <w:szCs w:val="18"/>
          <w:lang w:val="es-MX"/>
        </w:rPr>
        <w:t>En lo subsecuente podrá citarse como Ley de Medios</w:t>
      </w:r>
      <w:r w:rsidR="00FC106A" w:rsidRPr="00061E78">
        <w:rPr>
          <w:rFonts w:ascii="Century Gothic" w:hAnsi="Century Gothic"/>
          <w:sz w:val="18"/>
          <w:szCs w:val="18"/>
          <w:lang w:val="es-MX"/>
        </w:rPr>
        <w:t xml:space="preserve"> o LGSMIME</w:t>
      </w:r>
      <w:r w:rsidRPr="00061E78">
        <w:rPr>
          <w:rFonts w:ascii="Century Gothic" w:hAnsi="Century Gothic"/>
          <w:sz w:val="18"/>
          <w:szCs w:val="18"/>
          <w:lang w:val="es-MX"/>
        </w:rPr>
        <w:t>.</w:t>
      </w:r>
    </w:p>
  </w:footnote>
  <w:footnote w:id="13">
    <w:p w14:paraId="117B1B92" w14:textId="79AB107D" w:rsidR="00B065C3" w:rsidRPr="00061E78" w:rsidRDefault="00EC484A" w:rsidP="008444FE">
      <w:pPr>
        <w:pStyle w:val="Textonotapie"/>
        <w:jc w:val="both"/>
        <w:rPr>
          <w:rFonts w:ascii="Century Gothic" w:hAnsi="Century Gothic"/>
          <w:sz w:val="18"/>
          <w:szCs w:val="18"/>
        </w:rPr>
      </w:pPr>
      <w:r w:rsidRPr="00061E78">
        <w:rPr>
          <w:rStyle w:val="Refdenotaalpie"/>
          <w:rFonts w:ascii="Century Gothic" w:hAnsi="Century Gothic"/>
          <w:sz w:val="18"/>
          <w:szCs w:val="18"/>
        </w:rPr>
        <w:footnoteRef/>
      </w:r>
      <w:r w:rsidRPr="00061E78">
        <w:rPr>
          <w:rFonts w:ascii="Century Gothic" w:hAnsi="Century Gothic"/>
          <w:sz w:val="18"/>
          <w:szCs w:val="18"/>
        </w:rPr>
        <w:t xml:space="preserve"> </w:t>
      </w:r>
      <w:r w:rsidR="00B065C3" w:rsidRPr="00061E78">
        <w:rPr>
          <w:rFonts w:ascii="Century Gothic" w:hAnsi="Century Gothic"/>
          <w:sz w:val="18"/>
          <w:szCs w:val="18"/>
        </w:rPr>
        <w:t xml:space="preserve">Con fundamento en lo establecido en los artículos 41, párrafo tercero, Base VI, y 99, párrafos primero y cuarto, fracción X de la Constitución Política de los Estados Unidos Mexicanos; </w:t>
      </w:r>
      <w:r w:rsidR="00963548" w:rsidRPr="00061E78">
        <w:rPr>
          <w:rFonts w:ascii="Century Gothic" w:hAnsi="Century Gothic"/>
          <w:sz w:val="18"/>
          <w:szCs w:val="18"/>
        </w:rPr>
        <w:t>251</w:t>
      </w:r>
      <w:r w:rsidR="00B065C3" w:rsidRPr="00061E78">
        <w:rPr>
          <w:rFonts w:ascii="Century Gothic" w:hAnsi="Century Gothic"/>
          <w:sz w:val="18"/>
          <w:szCs w:val="18"/>
        </w:rPr>
        <w:t xml:space="preserve">, </w:t>
      </w:r>
      <w:r w:rsidR="000E51FC" w:rsidRPr="00061E78">
        <w:rPr>
          <w:rFonts w:ascii="Century Gothic" w:hAnsi="Century Gothic"/>
          <w:sz w:val="18"/>
          <w:szCs w:val="18"/>
        </w:rPr>
        <w:t>252</w:t>
      </w:r>
      <w:r w:rsidR="00B065C3" w:rsidRPr="00061E78">
        <w:rPr>
          <w:rFonts w:ascii="Century Gothic" w:hAnsi="Century Gothic"/>
          <w:sz w:val="18"/>
          <w:szCs w:val="18"/>
        </w:rPr>
        <w:t xml:space="preserve">, </w:t>
      </w:r>
      <w:r w:rsidR="00EC593E" w:rsidRPr="00061E78">
        <w:rPr>
          <w:rFonts w:ascii="Century Gothic" w:hAnsi="Century Gothic"/>
          <w:sz w:val="18"/>
          <w:szCs w:val="18"/>
        </w:rPr>
        <w:t>253</w:t>
      </w:r>
      <w:r w:rsidR="00B065C3" w:rsidRPr="00061E78">
        <w:rPr>
          <w:rFonts w:ascii="Century Gothic" w:hAnsi="Century Gothic"/>
          <w:sz w:val="18"/>
          <w:szCs w:val="18"/>
        </w:rPr>
        <w:t>, fracción X</w:t>
      </w:r>
      <w:r w:rsidR="00EC593E" w:rsidRPr="00061E78">
        <w:rPr>
          <w:rFonts w:ascii="Century Gothic" w:hAnsi="Century Gothic"/>
          <w:sz w:val="18"/>
          <w:szCs w:val="18"/>
        </w:rPr>
        <w:t>II</w:t>
      </w:r>
      <w:r w:rsidR="00B065C3" w:rsidRPr="00061E78">
        <w:rPr>
          <w:rFonts w:ascii="Century Gothic" w:hAnsi="Century Gothic"/>
          <w:sz w:val="18"/>
          <w:szCs w:val="18"/>
        </w:rPr>
        <w:t xml:space="preserve">, y </w:t>
      </w:r>
      <w:r w:rsidR="005E03F1" w:rsidRPr="00061E78">
        <w:rPr>
          <w:rFonts w:ascii="Century Gothic" w:hAnsi="Century Gothic"/>
          <w:sz w:val="18"/>
          <w:szCs w:val="18"/>
        </w:rPr>
        <w:t>256,</w:t>
      </w:r>
      <w:r w:rsidR="00B065C3" w:rsidRPr="00061E78">
        <w:rPr>
          <w:rFonts w:ascii="Century Gothic" w:hAnsi="Century Gothic"/>
          <w:sz w:val="18"/>
          <w:szCs w:val="18"/>
        </w:rPr>
        <w:t xml:space="preserve"> fracción XVI, de la Ley Orgánica del Poder Judicial de la Federación, y 3, </w:t>
      </w:r>
      <w:r w:rsidR="007046C2" w:rsidRPr="00061E78">
        <w:rPr>
          <w:rFonts w:ascii="Century Gothic" w:hAnsi="Century Gothic"/>
          <w:sz w:val="18"/>
          <w:szCs w:val="18"/>
        </w:rPr>
        <w:t xml:space="preserve">apartado </w:t>
      </w:r>
      <w:r w:rsidR="00B065C3" w:rsidRPr="00061E78">
        <w:rPr>
          <w:rFonts w:ascii="Century Gothic" w:hAnsi="Century Gothic"/>
          <w:sz w:val="18"/>
          <w:szCs w:val="18"/>
        </w:rPr>
        <w:t xml:space="preserve">2, 4, </w:t>
      </w:r>
      <w:r w:rsidR="007046C2" w:rsidRPr="00061E78">
        <w:rPr>
          <w:rFonts w:ascii="Century Gothic" w:hAnsi="Century Gothic"/>
          <w:sz w:val="18"/>
          <w:szCs w:val="18"/>
        </w:rPr>
        <w:t>apartado</w:t>
      </w:r>
      <w:r w:rsidR="00B065C3" w:rsidRPr="00061E78">
        <w:rPr>
          <w:rFonts w:ascii="Century Gothic" w:hAnsi="Century Gothic"/>
          <w:sz w:val="18"/>
          <w:szCs w:val="18"/>
        </w:rPr>
        <w:t xml:space="preserve"> 1, y 64 de la L</w:t>
      </w:r>
      <w:r w:rsidR="00E06C3D" w:rsidRPr="00061E78">
        <w:rPr>
          <w:rFonts w:ascii="Century Gothic" w:hAnsi="Century Gothic"/>
          <w:sz w:val="18"/>
          <w:szCs w:val="18"/>
        </w:rPr>
        <w:t>GSMIME</w:t>
      </w:r>
      <w:r w:rsidR="00B065C3" w:rsidRPr="00061E78">
        <w:rPr>
          <w:rFonts w:ascii="Century Gothic" w:hAnsi="Century Gothic"/>
          <w:sz w:val="18"/>
          <w:szCs w:val="18"/>
        </w:rPr>
        <w:t>.</w:t>
      </w:r>
    </w:p>
  </w:footnote>
  <w:footnote w:id="14">
    <w:p w14:paraId="2F1053E3" w14:textId="04DE5A75" w:rsidR="00D354FC" w:rsidRPr="00061E78" w:rsidRDefault="00D354FC" w:rsidP="00580567">
      <w:pPr>
        <w:pStyle w:val="Textonotapie"/>
        <w:jc w:val="both"/>
        <w:rPr>
          <w:rFonts w:ascii="Century Gothic" w:hAnsi="Century Gothic" w:cs="Arial"/>
          <w:sz w:val="18"/>
          <w:szCs w:val="18"/>
        </w:rPr>
      </w:pPr>
      <w:r w:rsidRPr="00061E78">
        <w:rPr>
          <w:rStyle w:val="Refdenotaalpie"/>
          <w:rFonts w:ascii="Century Gothic" w:hAnsi="Century Gothic" w:cs="Arial"/>
          <w:sz w:val="18"/>
          <w:szCs w:val="18"/>
        </w:rPr>
        <w:footnoteRef/>
      </w:r>
      <w:r w:rsidRPr="00061E78">
        <w:rPr>
          <w:rFonts w:ascii="Century Gothic" w:hAnsi="Century Gothic" w:cs="Arial"/>
          <w:sz w:val="18"/>
          <w:szCs w:val="18"/>
        </w:rPr>
        <w:t xml:space="preserve"> </w:t>
      </w:r>
      <w:r w:rsidR="00580567" w:rsidRPr="00061E78">
        <w:rPr>
          <w:rFonts w:ascii="Century Gothic" w:hAnsi="Century Gothic" w:cs="Arial"/>
          <w:sz w:val="18"/>
          <w:szCs w:val="18"/>
        </w:rPr>
        <w:t xml:space="preserve">Sobre el concepto </w:t>
      </w:r>
      <w:r w:rsidR="00B731FE" w:rsidRPr="00061E78">
        <w:rPr>
          <w:rFonts w:ascii="Century Gothic" w:hAnsi="Century Gothic" w:cs="Arial"/>
          <w:sz w:val="18"/>
          <w:szCs w:val="18"/>
        </w:rPr>
        <w:t>“sentencia de fondo” v</w:t>
      </w:r>
      <w:r w:rsidRPr="00061E78">
        <w:rPr>
          <w:rFonts w:ascii="Century Gothic" w:hAnsi="Century Gothic" w:cs="Arial"/>
          <w:sz w:val="18"/>
          <w:szCs w:val="18"/>
        </w:rPr>
        <w:t>er jurisprudencia 22/2001 de esta Sala</w:t>
      </w:r>
      <w:r w:rsidR="0041632F" w:rsidRPr="00061E78">
        <w:rPr>
          <w:rFonts w:ascii="Century Gothic" w:hAnsi="Century Gothic" w:cs="Arial"/>
          <w:sz w:val="18"/>
          <w:szCs w:val="18"/>
        </w:rPr>
        <w:t xml:space="preserve">, consultable en </w:t>
      </w:r>
      <w:hyperlink r:id="rId5" w:anchor="/22-2001" w:history="1">
        <w:r w:rsidR="0041632F" w:rsidRPr="00061E78">
          <w:rPr>
            <w:rStyle w:val="Hipervnculo"/>
            <w:rFonts w:ascii="Century Gothic" w:hAnsi="Century Gothic" w:cs="Arial"/>
            <w:sz w:val="18"/>
            <w:szCs w:val="18"/>
          </w:rPr>
          <w:t>https://www.te.gob.mx/ius2021/#/22-2001</w:t>
        </w:r>
      </w:hyperlink>
      <w:r w:rsidR="0041632F" w:rsidRPr="00061E78">
        <w:rPr>
          <w:rFonts w:ascii="Century Gothic" w:hAnsi="Century Gothic" w:cs="Arial"/>
          <w:sz w:val="18"/>
          <w:szCs w:val="18"/>
        </w:rPr>
        <w:t xml:space="preserve"> </w:t>
      </w:r>
    </w:p>
  </w:footnote>
  <w:footnote w:id="15">
    <w:p w14:paraId="206F0AC7" w14:textId="544A7304" w:rsidR="00D354FC" w:rsidRPr="00061E78" w:rsidRDefault="00D354FC" w:rsidP="00D354FC">
      <w:pPr>
        <w:pStyle w:val="Textonotapie"/>
        <w:jc w:val="both"/>
        <w:rPr>
          <w:rFonts w:ascii="Century Gothic" w:hAnsi="Century Gothic" w:cs="Arial"/>
          <w:sz w:val="18"/>
          <w:szCs w:val="18"/>
        </w:rPr>
      </w:pPr>
      <w:r w:rsidRPr="00061E78">
        <w:rPr>
          <w:rStyle w:val="Refdenotaalpie"/>
          <w:rFonts w:ascii="Century Gothic" w:hAnsi="Century Gothic" w:cs="Arial"/>
          <w:sz w:val="18"/>
          <w:szCs w:val="18"/>
        </w:rPr>
        <w:footnoteRef/>
      </w:r>
      <w:r w:rsidRPr="00061E78">
        <w:rPr>
          <w:rFonts w:ascii="Century Gothic" w:hAnsi="Century Gothic" w:cs="Arial"/>
          <w:sz w:val="18"/>
          <w:szCs w:val="18"/>
        </w:rPr>
        <w:t xml:space="preserve"> Ver jurisprudencias 32/2009, 17/2012 y 19/2012</w:t>
      </w:r>
      <w:r w:rsidR="00FC60B0" w:rsidRPr="00061E78">
        <w:rPr>
          <w:rFonts w:ascii="Century Gothic" w:hAnsi="Century Gothic" w:cs="Arial"/>
          <w:sz w:val="18"/>
          <w:szCs w:val="18"/>
        </w:rPr>
        <w:t xml:space="preserve">, consultables en </w:t>
      </w:r>
      <w:hyperlink r:id="rId6" w:anchor="/32-2009" w:history="1">
        <w:r w:rsidR="00FC60B0" w:rsidRPr="00061E78">
          <w:rPr>
            <w:rStyle w:val="Hipervnculo"/>
            <w:rFonts w:ascii="Century Gothic" w:hAnsi="Century Gothic" w:cs="Arial"/>
            <w:sz w:val="18"/>
            <w:szCs w:val="18"/>
          </w:rPr>
          <w:t>https://www.te.gob.mx/ius2021/#/32-2009</w:t>
        </w:r>
      </w:hyperlink>
      <w:r w:rsidR="001535FE" w:rsidRPr="00061E78">
        <w:rPr>
          <w:rFonts w:ascii="Century Gothic" w:hAnsi="Century Gothic" w:cs="Arial"/>
          <w:sz w:val="18"/>
          <w:szCs w:val="18"/>
        </w:rPr>
        <w:t xml:space="preserve">, </w:t>
      </w:r>
      <w:hyperlink r:id="rId7" w:anchor="/17-2012" w:history="1">
        <w:r w:rsidR="001535FE" w:rsidRPr="00061E78">
          <w:rPr>
            <w:rStyle w:val="Hipervnculo"/>
            <w:rFonts w:ascii="Century Gothic" w:hAnsi="Century Gothic" w:cs="Arial"/>
            <w:sz w:val="18"/>
            <w:szCs w:val="18"/>
          </w:rPr>
          <w:t>https://www.te.gob.mx/ius2021/#/17-2012</w:t>
        </w:r>
      </w:hyperlink>
      <w:r w:rsidR="001535FE" w:rsidRPr="00061E78">
        <w:rPr>
          <w:rFonts w:ascii="Century Gothic" w:hAnsi="Century Gothic" w:cs="Arial"/>
          <w:sz w:val="18"/>
          <w:szCs w:val="18"/>
        </w:rPr>
        <w:t xml:space="preserve"> </w:t>
      </w:r>
      <w:r w:rsidR="00D0132B" w:rsidRPr="00061E78">
        <w:rPr>
          <w:rFonts w:ascii="Century Gothic" w:hAnsi="Century Gothic" w:cs="Arial"/>
          <w:sz w:val="18"/>
          <w:szCs w:val="18"/>
        </w:rPr>
        <w:t xml:space="preserve">y </w:t>
      </w:r>
      <w:hyperlink r:id="rId8" w:anchor="/19-2012" w:history="1">
        <w:r w:rsidR="00D0132B" w:rsidRPr="00061E78">
          <w:rPr>
            <w:rStyle w:val="Hipervnculo"/>
            <w:rFonts w:ascii="Century Gothic" w:hAnsi="Century Gothic" w:cs="Arial"/>
            <w:sz w:val="18"/>
            <w:szCs w:val="18"/>
          </w:rPr>
          <w:t>https://www.te.gob.mx/ius2021/#/19-2012</w:t>
        </w:r>
      </w:hyperlink>
      <w:r w:rsidR="00D0132B" w:rsidRPr="00061E78">
        <w:rPr>
          <w:rFonts w:ascii="Century Gothic" w:hAnsi="Century Gothic" w:cs="Arial"/>
          <w:sz w:val="18"/>
          <w:szCs w:val="18"/>
        </w:rPr>
        <w:t xml:space="preserve"> </w:t>
      </w:r>
      <w:r w:rsidR="00FC60B0" w:rsidRPr="00061E78">
        <w:rPr>
          <w:rFonts w:ascii="Century Gothic" w:hAnsi="Century Gothic" w:cs="Arial"/>
          <w:sz w:val="18"/>
          <w:szCs w:val="18"/>
        </w:rPr>
        <w:t xml:space="preserve"> </w:t>
      </w:r>
      <w:r w:rsidRPr="00061E78">
        <w:rPr>
          <w:rFonts w:ascii="Century Gothic" w:hAnsi="Century Gothic" w:cs="Arial"/>
          <w:sz w:val="18"/>
          <w:szCs w:val="18"/>
        </w:rPr>
        <w:t xml:space="preserve"> </w:t>
      </w:r>
    </w:p>
  </w:footnote>
  <w:footnote w:id="16">
    <w:p w14:paraId="5EFD2991" w14:textId="63A05053" w:rsidR="00D354FC" w:rsidRPr="00061E78" w:rsidRDefault="00D354FC" w:rsidP="00D354FC">
      <w:pPr>
        <w:pStyle w:val="Textonotapie"/>
        <w:jc w:val="both"/>
        <w:rPr>
          <w:rFonts w:ascii="Century Gothic" w:hAnsi="Century Gothic" w:cs="Arial"/>
          <w:sz w:val="18"/>
          <w:szCs w:val="18"/>
        </w:rPr>
      </w:pPr>
      <w:r w:rsidRPr="00061E78">
        <w:rPr>
          <w:rStyle w:val="Refdenotaalpie"/>
          <w:rFonts w:ascii="Century Gothic" w:hAnsi="Century Gothic" w:cs="Arial"/>
          <w:sz w:val="18"/>
          <w:szCs w:val="18"/>
        </w:rPr>
        <w:footnoteRef/>
      </w:r>
      <w:r w:rsidRPr="00061E78">
        <w:rPr>
          <w:rFonts w:ascii="Century Gothic" w:hAnsi="Century Gothic" w:cs="Arial"/>
          <w:sz w:val="18"/>
          <w:szCs w:val="18"/>
        </w:rPr>
        <w:t xml:space="preserve"> Ver jurisprudencia 10/2011</w:t>
      </w:r>
      <w:r w:rsidR="0010492A" w:rsidRPr="00061E78">
        <w:rPr>
          <w:rFonts w:ascii="Century Gothic" w:hAnsi="Century Gothic" w:cs="Arial"/>
          <w:sz w:val="18"/>
          <w:szCs w:val="18"/>
        </w:rPr>
        <w:t xml:space="preserve">, verificable en </w:t>
      </w:r>
      <w:hyperlink r:id="rId9" w:anchor="/10-2011" w:history="1">
        <w:r w:rsidR="0010492A" w:rsidRPr="00061E78">
          <w:rPr>
            <w:rStyle w:val="Hipervnculo"/>
            <w:rFonts w:ascii="Century Gothic" w:hAnsi="Century Gothic" w:cs="Arial"/>
            <w:sz w:val="18"/>
            <w:szCs w:val="18"/>
          </w:rPr>
          <w:t>https://www.te.gob.mx/ius2021/#/10-2011</w:t>
        </w:r>
      </w:hyperlink>
      <w:r w:rsidR="0010492A" w:rsidRPr="00061E78">
        <w:rPr>
          <w:rFonts w:ascii="Century Gothic" w:hAnsi="Century Gothic" w:cs="Arial"/>
          <w:sz w:val="18"/>
          <w:szCs w:val="18"/>
        </w:rPr>
        <w:t xml:space="preserve"> </w:t>
      </w:r>
    </w:p>
  </w:footnote>
  <w:footnote w:id="17">
    <w:p w14:paraId="31307F23" w14:textId="6668654E" w:rsidR="00D354FC" w:rsidRPr="00061E78" w:rsidRDefault="00D354FC" w:rsidP="00D354FC">
      <w:pPr>
        <w:pStyle w:val="Textonotapie"/>
        <w:jc w:val="both"/>
        <w:rPr>
          <w:rFonts w:ascii="Century Gothic" w:hAnsi="Century Gothic" w:cs="Arial"/>
          <w:sz w:val="18"/>
          <w:szCs w:val="18"/>
        </w:rPr>
      </w:pPr>
      <w:r w:rsidRPr="00061E78">
        <w:rPr>
          <w:rStyle w:val="Refdenotaalpie"/>
          <w:rFonts w:ascii="Century Gothic" w:hAnsi="Century Gothic" w:cs="Arial"/>
          <w:sz w:val="18"/>
          <w:szCs w:val="18"/>
        </w:rPr>
        <w:footnoteRef/>
      </w:r>
      <w:r w:rsidRPr="00061E78">
        <w:rPr>
          <w:rFonts w:ascii="Century Gothic" w:hAnsi="Century Gothic" w:cs="Arial"/>
          <w:sz w:val="18"/>
          <w:szCs w:val="18"/>
        </w:rPr>
        <w:t xml:space="preserve"> Ver sentencia de clave SUP-REC-57/2012 y acumulado</w:t>
      </w:r>
      <w:r w:rsidR="0087272B" w:rsidRPr="00061E78">
        <w:rPr>
          <w:rFonts w:ascii="Century Gothic" w:hAnsi="Century Gothic" w:cs="Arial"/>
          <w:sz w:val="18"/>
          <w:szCs w:val="18"/>
        </w:rPr>
        <w:t>, consultable en</w:t>
      </w:r>
      <w:r w:rsidR="0052596C" w:rsidRPr="00061E78">
        <w:rPr>
          <w:rFonts w:ascii="Century Gothic" w:hAnsi="Century Gothic" w:cs="Arial"/>
          <w:sz w:val="18"/>
          <w:szCs w:val="18"/>
        </w:rPr>
        <w:t xml:space="preserve"> </w:t>
      </w:r>
      <w:hyperlink r:id="rId10" w:history="1">
        <w:r w:rsidR="0052596C" w:rsidRPr="00061E78">
          <w:rPr>
            <w:rStyle w:val="Hipervnculo"/>
            <w:rFonts w:ascii="Century Gothic" w:hAnsi="Century Gothic" w:cs="Arial"/>
            <w:sz w:val="18"/>
            <w:szCs w:val="18"/>
          </w:rPr>
          <w:t>https://www.te.gob.mx/sentenciasHTML/convertir/expediente/SUP-REC-00057-2012</w:t>
        </w:r>
      </w:hyperlink>
      <w:r w:rsidR="0052596C" w:rsidRPr="00061E78">
        <w:rPr>
          <w:rFonts w:ascii="Century Gothic" w:hAnsi="Century Gothic" w:cs="Arial"/>
          <w:sz w:val="18"/>
          <w:szCs w:val="18"/>
        </w:rPr>
        <w:t xml:space="preserve"> </w:t>
      </w:r>
    </w:p>
  </w:footnote>
  <w:footnote w:id="18">
    <w:p w14:paraId="2C8A24ED" w14:textId="41B8BF94" w:rsidR="00D354FC" w:rsidRPr="00061E78" w:rsidRDefault="00D354FC" w:rsidP="00D354FC">
      <w:pPr>
        <w:pStyle w:val="Textonotapie"/>
        <w:jc w:val="both"/>
        <w:rPr>
          <w:rFonts w:ascii="Century Gothic" w:hAnsi="Century Gothic" w:cs="Arial"/>
          <w:sz w:val="18"/>
          <w:szCs w:val="18"/>
        </w:rPr>
      </w:pPr>
      <w:r w:rsidRPr="00061E78">
        <w:rPr>
          <w:rStyle w:val="Refdenotaalpie"/>
          <w:rFonts w:ascii="Century Gothic" w:hAnsi="Century Gothic" w:cs="Arial"/>
          <w:sz w:val="18"/>
          <w:szCs w:val="18"/>
        </w:rPr>
        <w:footnoteRef/>
      </w:r>
      <w:r w:rsidRPr="00061E78">
        <w:rPr>
          <w:rFonts w:ascii="Century Gothic" w:hAnsi="Century Gothic" w:cs="Arial"/>
          <w:sz w:val="18"/>
          <w:szCs w:val="18"/>
        </w:rPr>
        <w:t xml:space="preserve"> Ver jurisprudencia 26/2012</w:t>
      </w:r>
      <w:r w:rsidR="009D5EB6" w:rsidRPr="00061E78">
        <w:rPr>
          <w:rFonts w:ascii="Century Gothic" w:hAnsi="Century Gothic" w:cs="Arial"/>
          <w:sz w:val="18"/>
          <w:szCs w:val="18"/>
        </w:rPr>
        <w:t xml:space="preserve">, </w:t>
      </w:r>
      <w:hyperlink r:id="rId11" w:anchor="/26-2012" w:history="1">
        <w:r w:rsidR="009D5EB6" w:rsidRPr="00061E78">
          <w:rPr>
            <w:rStyle w:val="Hipervnculo"/>
            <w:rFonts w:ascii="Century Gothic" w:hAnsi="Century Gothic" w:cs="Arial"/>
            <w:sz w:val="18"/>
            <w:szCs w:val="18"/>
          </w:rPr>
          <w:t>https://www.te.gob.mx/ius2021/#/26-2012</w:t>
        </w:r>
      </w:hyperlink>
      <w:r w:rsidR="009D5EB6" w:rsidRPr="00061E78">
        <w:rPr>
          <w:rFonts w:ascii="Century Gothic" w:hAnsi="Century Gothic" w:cs="Arial"/>
          <w:sz w:val="18"/>
          <w:szCs w:val="18"/>
        </w:rPr>
        <w:t xml:space="preserve"> </w:t>
      </w:r>
    </w:p>
  </w:footnote>
  <w:footnote w:id="19">
    <w:p w14:paraId="4AB76F50" w14:textId="2E4E7C48" w:rsidR="00D354FC" w:rsidRPr="00061E78" w:rsidRDefault="00D354FC" w:rsidP="00D354FC">
      <w:pPr>
        <w:pStyle w:val="Textonotapie"/>
        <w:jc w:val="both"/>
        <w:rPr>
          <w:rFonts w:ascii="Century Gothic" w:hAnsi="Century Gothic" w:cs="Arial"/>
          <w:sz w:val="18"/>
          <w:szCs w:val="18"/>
        </w:rPr>
      </w:pPr>
      <w:r w:rsidRPr="00061E78">
        <w:rPr>
          <w:rStyle w:val="Refdenotaalpie"/>
          <w:rFonts w:ascii="Century Gothic" w:hAnsi="Century Gothic" w:cs="Arial"/>
          <w:sz w:val="18"/>
          <w:szCs w:val="18"/>
        </w:rPr>
        <w:footnoteRef/>
      </w:r>
      <w:r w:rsidRPr="00061E78">
        <w:rPr>
          <w:rFonts w:ascii="Century Gothic" w:hAnsi="Century Gothic" w:cs="Arial"/>
          <w:sz w:val="18"/>
          <w:szCs w:val="18"/>
        </w:rPr>
        <w:t xml:space="preserve"> Ver jurisprudencia 28/2013</w:t>
      </w:r>
      <w:r w:rsidR="00AD6C27" w:rsidRPr="00061E78">
        <w:rPr>
          <w:rFonts w:ascii="Century Gothic" w:hAnsi="Century Gothic" w:cs="Arial"/>
          <w:sz w:val="18"/>
          <w:szCs w:val="18"/>
        </w:rPr>
        <w:t xml:space="preserve"> </w:t>
      </w:r>
      <w:hyperlink r:id="rId12" w:anchor="/28-2013" w:history="1">
        <w:r w:rsidR="00AD6C27" w:rsidRPr="00061E78">
          <w:rPr>
            <w:rStyle w:val="Hipervnculo"/>
            <w:rFonts w:ascii="Century Gothic" w:hAnsi="Century Gothic" w:cs="Arial"/>
            <w:sz w:val="18"/>
            <w:szCs w:val="18"/>
          </w:rPr>
          <w:t>https://www.te.gob.mx/ius2021/#/28-2013</w:t>
        </w:r>
      </w:hyperlink>
      <w:r w:rsidR="00AD6C27" w:rsidRPr="00061E78">
        <w:rPr>
          <w:rFonts w:ascii="Century Gothic" w:hAnsi="Century Gothic" w:cs="Arial"/>
          <w:sz w:val="18"/>
          <w:szCs w:val="18"/>
        </w:rPr>
        <w:t xml:space="preserve"> </w:t>
      </w:r>
    </w:p>
  </w:footnote>
  <w:footnote w:id="20">
    <w:p w14:paraId="7A363A62" w14:textId="094410DC" w:rsidR="00D354FC" w:rsidRPr="00061E78" w:rsidRDefault="00D354FC" w:rsidP="00D354FC">
      <w:pPr>
        <w:pStyle w:val="Textonotapie"/>
        <w:jc w:val="both"/>
        <w:rPr>
          <w:rFonts w:ascii="Century Gothic" w:hAnsi="Century Gothic" w:cs="Arial"/>
          <w:sz w:val="18"/>
          <w:szCs w:val="18"/>
        </w:rPr>
      </w:pPr>
      <w:r w:rsidRPr="00061E78">
        <w:rPr>
          <w:rStyle w:val="Refdenotaalpie"/>
          <w:rFonts w:ascii="Century Gothic" w:hAnsi="Century Gothic" w:cs="Arial"/>
          <w:sz w:val="18"/>
          <w:szCs w:val="18"/>
        </w:rPr>
        <w:footnoteRef/>
      </w:r>
      <w:r w:rsidRPr="00061E78">
        <w:rPr>
          <w:rFonts w:ascii="Century Gothic" w:hAnsi="Century Gothic" w:cs="Arial"/>
          <w:sz w:val="18"/>
          <w:szCs w:val="18"/>
        </w:rPr>
        <w:t xml:space="preserve"> Ver jurisprudencia 5/2014</w:t>
      </w:r>
      <w:r w:rsidR="008E75ED" w:rsidRPr="00061E78">
        <w:rPr>
          <w:rFonts w:ascii="Century Gothic" w:hAnsi="Century Gothic" w:cs="Arial"/>
          <w:sz w:val="18"/>
          <w:szCs w:val="18"/>
        </w:rPr>
        <w:t xml:space="preserve"> </w:t>
      </w:r>
      <w:hyperlink r:id="rId13" w:anchor="/5-2014" w:history="1">
        <w:r w:rsidR="008E75ED" w:rsidRPr="00061E78">
          <w:rPr>
            <w:rStyle w:val="Hipervnculo"/>
            <w:rFonts w:ascii="Century Gothic" w:hAnsi="Century Gothic" w:cs="Arial"/>
            <w:sz w:val="18"/>
            <w:szCs w:val="18"/>
          </w:rPr>
          <w:t>https://www.te.gob.mx/ius2021/#/5-2014</w:t>
        </w:r>
      </w:hyperlink>
      <w:r w:rsidR="008E75ED" w:rsidRPr="00061E78">
        <w:rPr>
          <w:rFonts w:ascii="Century Gothic" w:hAnsi="Century Gothic" w:cs="Arial"/>
          <w:sz w:val="18"/>
          <w:szCs w:val="18"/>
        </w:rPr>
        <w:t xml:space="preserve"> </w:t>
      </w:r>
    </w:p>
  </w:footnote>
  <w:footnote w:id="21">
    <w:p w14:paraId="0D6AB824" w14:textId="25EB90A7" w:rsidR="00D354FC" w:rsidRPr="00061E78" w:rsidRDefault="00D354FC" w:rsidP="00D354FC">
      <w:pPr>
        <w:pStyle w:val="Textonotapie"/>
        <w:jc w:val="both"/>
        <w:rPr>
          <w:rFonts w:ascii="Century Gothic" w:hAnsi="Century Gothic" w:cs="Arial"/>
          <w:sz w:val="18"/>
          <w:szCs w:val="18"/>
        </w:rPr>
      </w:pPr>
      <w:r w:rsidRPr="00061E78">
        <w:rPr>
          <w:rStyle w:val="Refdenotaalpie"/>
          <w:rFonts w:ascii="Century Gothic" w:hAnsi="Century Gothic" w:cs="Arial"/>
          <w:sz w:val="18"/>
          <w:szCs w:val="18"/>
        </w:rPr>
        <w:footnoteRef/>
      </w:r>
      <w:r w:rsidRPr="00061E78">
        <w:rPr>
          <w:rFonts w:ascii="Century Gothic" w:hAnsi="Century Gothic" w:cs="Arial"/>
          <w:sz w:val="18"/>
          <w:szCs w:val="18"/>
        </w:rPr>
        <w:t xml:space="preserve"> Ver jurisprudencia 12/2014</w:t>
      </w:r>
      <w:r w:rsidR="00F9623D" w:rsidRPr="00061E78">
        <w:rPr>
          <w:rFonts w:ascii="Century Gothic" w:hAnsi="Century Gothic" w:cs="Arial"/>
          <w:sz w:val="18"/>
          <w:szCs w:val="18"/>
        </w:rPr>
        <w:t xml:space="preserve"> </w:t>
      </w:r>
      <w:hyperlink r:id="rId14" w:anchor="/12-2014" w:history="1">
        <w:r w:rsidR="00F9623D" w:rsidRPr="00061E78">
          <w:rPr>
            <w:rStyle w:val="Hipervnculo"/>
            <w:rFonts w:ascii="Century Gothic" w:hAnsi="Century Gothic" w:cs="Arial"/>
            <w:sz w:val="18"/>
            <w:szCs w:val="18"/>
          </w:rPr>
          <w:t>https://www.te.gob.mx/ius2021/#/12-2014</w:t>
        </w:r>
      </w:hyperlink>
      <w:r w:rsidR="00F9623D" w:rsidRPr="00061E78">
        <w:rPr>
          <w:rFonts w:ascii="Century Gothic" w:hAnsi="Century Gothic" w:cs="Arial"/>
          <w:sz w:val="18"/>
          <w:szCs w:val="18"/>
        </w:rPr>
        <w:t xml:space="preserve"> </w:t>
      </w:r>
    </w:p>
  </w:footnote>
  <w:footnote w:id="22">
    <w:p w14:paraId="5226FE57" w14:textId="790D9FAB" w:rsidR="00D354FC" w:rsidRPr="00061E78" w:rsidRDefault="00D354FC" w:rsidP="00D354FC">
      <w:pPr>
        <w:pStyle w:val="Textonotapie"/>
        <w:jc w:val="both"/>
        <w:rPr>
          <w:rFonts w:ascii="Century Gothic" w:hAnsi="Century Gothic" w:cs="Arial"/>
          <w:sz w:val="18"/>
          <w:szCs w:val="18"/>
        </w:rPr>
      </w:pPr>
      <w:r w:rsidRPr="00061E78">
        <w:rPr>
          <w:rStyle w:val="Refdenotaalpie"/>
          <w:rFonts w:ascii="Century Gothic" w:hAnsi="Century Gothic" w:cs="Arial"/>
          <w:sz w:val="18"/>
          <w:szCs w:val="18"/>
        </w:rPr>
        <w:footnoteRef/>
      </w:r>
      <w:r w:rsidRPr="00061E78">
        <w:rPr>
          <w:rFonts w:ascii="Century Gothic" w:hAnsi="Century Gothic" w:cs="Arial"/>
          <w:sz w:val="18"/>
          <w:szCs w:val="18"/>
        </w:rPr>
        <w:t xml:space="preserve"> Ver jurisprudencia 32/2015</w:t>
      </w:r>
      <w:r w:rsidR="00745FA6" w:rsidRPr="00061E78">
        <w:rPr>
          <w:rFonts w:ascii="Century Gothic" w:hAnsi="Century Gothic" w:cs="Arial"/>
          <w:sz w:val="18"/>
          <w:szCs w:val="18"/>
        </w:rPr>
        <w:t xml:space="preserve"> </w:t>
      </w:r>
      <w:hyperlink r:id="rId15" w:anchor="/32-2015" w:history="1">
        <w:r w:rsidR="00745FA6" w:rsidRPr="00061E78">
          <w:rPr>
            <w:rStyle w:val="Hipervnculo"/>
            <w:rFonts w:ascii="Century Gothic" w:hAnsi="Century Gothic" w:cs="Arial"/>
            <w:sz w:val="18"/>
            <w:szCs w:val="18"/>
          </w:rPr>
          <w:t>https://www.te.gob.mx/ius2021/#/32-2015</w:t>
        </w:r>
      </w:hyperlink>
      <w:r w:rsidR="00745FA6" w:rsidRPr="00061E78">
        <w:rPr>
          <w:rFonts w:ascii="Century Gothic" w:hAnsi="Century Gothic" w:cs="Arial"/>
          <w:sz w:val="18"/>
          <w:szCs w:val="18"/>
        </w:rPr>
        <w:t xml:space="preserve"> </w:t>
      </w:r>
    </w:p>
  </w:footnote>
  <w:footnote w:id="23">
    <w:p w14:paraId="3CF83176" w14:textId="3F3CC860" w:rsidR="00D354FC" w:rsidRPr="00061E78" w:rsidRDefault="00D354FC" w:rsidP="00D354FC">
      <w:pPr>
        <w:autoSpaceDE w:val="0"/>
        <w:autoSpaceDN w:val="0"/>
        <w:adjustRightInd w:val="0"/>
        <w:jc w:val="both"/>
        <w:rPr>
          <w:rFonts w:ascii="Century Gothic" w:hAnsi="Century Gothic" w:cs="Arial"/>
          <w:sz w:val="18"/>
          <w:szCs w:val="18"/>
          <w:lang w:val="es-419"/>
        </w:rPr>
      </w:pPr>
      <w:r w:rsidRPr="00061E78">
        <w:rPr>
          <w:rStyle w:val="Refdenotaalpie"/>
          <w:rFonts w:ascii="Century Gothic" w:eastAsia="Calibri" w:hAnsi="Century Gothic" w:cs="Arial"/>
          <w:sz w:val="18"/>
          <w:szCs w:val="18"/>
        </w:rPr>
        <w:footnoteRef/>
      </w:r>
      <w:r w:rsidRPr="00061E78">
        <w:rPr>
          <w:rFonts w:ascii="Century Gothic" w:hAnsi="Century Gothic" w:cs="Arial"/>
          <w:sz w:val="18"/>
          <w:szCs w:val="18"/>
        </w:rPr>
        <w:t xml:space="preserve"> </w:t>
      </w:r>
      <w:r w:rsidRPr="00061E78">
        <w:rPr>
          <w:rFonts w:ascii="Century Gothic" w:hAnsi="Century Gothic" w:cs="Arial"/>
          <w:sz w:val="18"/>
          <w:szCs w:val="18"/>
          <w:lang w:val="es-419"/>
        </w:rPr>
        <w:t>Ver jurisprudencia 39/2016</w:t>
      </w:r>
      <w:r w:rsidR="00DB1311" w:rsidRPr="00061E78">
        <w:rPr>
          <w:rFonts w:ascii="Century Gothic" w:hAnsi="Century Gothic" w:cs="Arial"/>
          <w:sz w:val="18"/>
          <w:szCs w:val="18"/>
          <w:lang w:val="es-419"/>
        </w:rPr>
        <w:t xml:space="preserve"> </w:t>
      </w:r>
      <w:hyperlink r:id="rId16" w:anchor="/39-2016" w:history="1">
        <w:r w:rsidR="00DB1311" w:rsidRPr="00061E78">
          <w:rPr>
            <w:rStyle w:val="Hipervnculo"/>
            <w:rFonts w:ascii="Century Gothic" w:hAnsi="Century Gothic" w:cs="Arial"/>
            <w:sz w:val="18"/>
            <w:szCs w:val="18"/>
            <w:lang w:val="es-419"/>
          </w:rPr>
          <w:t>https://www.te.gob.mx/ius2021/#/39-2016</w:t>
        </w:r>
      </w:hyperlink>
      <w:r w:rsidR="00DB1311" w:rsidRPr="00061E78">
        <w:rPr>
          <w:rFonts w:ascii="Century Gothic" w:hAnsi="Century Gothic" w:cs="Arial"/>
          <w:sz w:val="18"/>
          <w:szCs w:val="18"/>
          <w:lang w:val="es-419"/>
        </w:rPr>
        <w:t xml:space="preserve"> </w:t>
      </w:r>
    </w:p>
  </w:footnote>
  <w:footnote w:id="24">
    <w:p w14:paraId="188E5E40" w14:textId="10E4351B" w:rsidR="00D354FC" w:rsidRPr="00061E78" w:rsidRDefault="00D354FC" w:rsidP="00D354FC">
      <w:pPr>
        <w:pStyle w:val="Textonotapie"/>
        <w:jc w:val="both"/>
        <w:rPr>
          <w:rFonts w:ascii="Century Gothic" w:hAnsi="Century Gothic" w:cs="Arial"/>
          <w:sz w:val="18"/>
          <w:szCs w:val="18"/>
          <w:lang w:val="es-MX"/>
        </w:rPr>
      </w:pPr>
      <w:r w:rsidRPr="00061E78">
        <w:rPr>
          <w:rStyle w:val="Refdenotaalpie"/>
          <w:rFonts w:ascii="Century Gothic" w:hAnsi="Century Gothic" w:cs="Arial"/>
          <w:sz w:val="18"/>
          <w:szCs w:val="18"/>
        </w:rPr>
        <w:footnoteRef/>
      </w:r>
      <w:r w:rsidRPr="00061E78">
        <w:rPr>
          <w:rFonts w:ascii="Century Gothic" w:hAnsi="Century Gothic" w:cs="Arial"/>
          <w:sz w:val="18"/>
          <w:szCs w:val="18"/>
        </w:rPr>
        <w:t xml:space="preserve"> Ver jurisprudencia 12/2018</w:t>
      </w:r>
      <w:r w:rsidR="00C46B7A" w:rsidRPr="00061E78">
        <w:rPr>
          <w:rFonts w:ascii="Century Gothic" w:hAnsi="Century Gothic" w:cs="Arial"/>
          <w:sz w:val="18"/>
          <w:szCs w:val="18"/>
        </w:rPr>
        <w:t xml:space="preserve"> </w:t>
      </w:r>
      <w:hyperlink r:id="rId17" w:anchor="/12-2018" w:history="1">
        <w:r w:rsidR="00C46B7A" w:rsidRPr="00061E78">
          <w:rPr>
            <w:rStyle w:val="Hipervnculo"/>
            <w:rFonts w:ascii="Century Gothic" w:hAnsi="Century Gothic" w:cs="Arial"/>
            <w:sz w:val="18"/>
            <w:szCs w:val="18"/>
          </w:rPr>
          <w:t>https://www.te.gob.mx/ius2021/#/12-2018</w:t>
        </w:r>
      </w:hyperlink>
      <w:r w:rsidR="00C46B7A" w:rsidRPr="00061E78">
        <w:rPr>
          <w:rFonts w:ascii="Century Gothic" w:hAnsi="Century Gothic" w:cs="Arial"/>
          <w:sz w:val="18"/>
          <w:szCs w:val="18"/>
        </w:rPr>
        <w:t xml:space="preserve"> </w:t>
      </w:r>
    </w:p>
  </w:footnote>
  <w:footnote w:id="25">
    <w:p w14:paraId="28C283AF" w14:textId="218F18FC" w:rsidR="00D354FC" w:rsidRPr="00061E78" w:rsidRDefault="00D354FC" w:rsidP="00D354FC">
      <w:pPr>
        <w:pStyle w:val="Textonotapie"/>
        <w:jc w:val="both"/>
        <w:rPr>
          <w:rFonts w:ascii="Century Gothic" w:hAnsi="Century Gothic" w:cs="Arial"/>
          <w:sz w:val="18"/>
          <w:szCs w:val="18"/>
        </w:rPr>
      </w:pPr>
      <w:r w:rsidRPr="00061E78">
        <w:rPr>
          <w:rStyle w:val="Refdenotaalpie"/>
          <w:rFonts w:ascii="Century Gothic" w:hAnsi="Century Gothic" w:cs="Arial"/>
          <w:sz w:val="18"/>
          <w:szCs w:val="18"/>
        </w:rPr>
        <w:footnoteRef/>
      </w:r>
      <w:r w:rsidRPr="00061E78">
        <w:rPr>
          <w:rFonts w:ascii="Century Gothic" w:hAnsi="Century Gothic" w:cs="Arial"/>
          <w:sz w:val="18"/>
          <w:szCs w:val="18"/>
        </w:rPr>
        <w:t xml:space="preserve"> Ver jurisprudencia 5/2019</w:t>
      </w:r>
      <w:r w:rsidR="00E26697" w:rsidRPr="00061E78">
        <w:rPr>
          <w:rFonts w:ascii="Century Gothic" w:hAnsi="Century Gothic" w:cs="Arial"/>
          <w:sz w:val="18"/>
          <w:szCs w:val="18"/>
        </w:rPr>
        <w:t xml:space="preserve"> </w:t>
      </w:r>
      <w:hyperlink r:id="rId18" w:anchor="/5-2019" w:history="1">
        <w:r w:rsidR="00E26697" w:rsidRPr="00061E78">
          <w:rPr>
            <w:rStyle w:val="Hipervnculo"/>
            <w:rFonts w:ascii="Century Gothic" w:hAnsi="Century Gothic" w:cs="Arial"/>
            <w:sz w:val="18"/>
            <w:szCs w:val="18"/>
          </w:rPr>
          <w:t>https://www.te.gob.mx/ius2021/#/5-2019</w:t>
        </w:r>
      </w:hyperlink>
      <w:r w:rsidR="00E26697" w:rsidRPr="00061E78">
        <w:rPr>
          <w:rFonts w:ascii="Century Gothic" w:hAnsi="Century Gothic" w:cs="Arial"/>
          <w:sz w:val="18"/>
          <w:szCs w:val="18"/>
        </w:rPr>
        <w:t xml:space="preserve"> </w:t>
      </w:r>
    </w:p>
  </w:footnote>
  <w:footnote w:id="26">
    <w:p w14:paraId="4942A086" w14:textId="2E660FF8" w:rsidR="00D354FC" w:rsidRPr="00061E78" w:rsidRDefault="00D354FC" w:rsidP="00D354FC">
      <w:pPr>
        <w:pStyle w:val="Textonotapie"/>
        <w:jc w:val="both"/>
        <w:rPr>
          <w:rFonts w:ascii="Century Gothic" w:hAnsi="Century Gothic"/>
          <w:sz w:val="18"/>
          <w:szCs w:val="18"/>
          <w:lang w:val="es-MX"/>
        </w:rPr>
      </w:pPr>
      <w:r w:rsidRPr="00061E78">
        <w:rPr>
          <w:rStyle w:val="Refdenotaalpie"/>
          <w:rFonts w:ascii="Century Gothic" w:hAnsi="Century Gothic"/>
          <w:sz w:val="18"/>
          <w:szCs w:val="18"/>
        </w:rPr>
        <w:footnoteRef/>
      </w:r>
      <w:r w:rsidRPr="00061E78">
        <w:rPr>
          <w:rFonts w:ascii="Century Gothic" w:hAnsi="Century Gothic"/>
          <w:sz w:val="18"/>
          <w:szCs w:val="18"/>
        </w:rPr>
        <w:t xml:space="preserve"> Ver jurisprudencia 13/2023</w:t>
      </w:r>
      <w:r w:rsidR="004D141C" w:rsidRPr="00061E78">
        <w:rPr>
          <w:rFonts w:ascii="Century Gothic" w:hAnsi="Century Gothic"/>
          <w:sz w:val="18"/>
          <w:szCs w:val="18"/>
        </w:rPr>
        <w:t xml:space="preserve"> </w:t>
      </w:r>
      <w:hyperlink r:id="rId19" w:anchor="/13-2023" w:history="1">
        <w:r w:rsidR="004D141C" w:rsidRPr="00061E78">
          <w:rPr>
            <w:rStyle w:val="Hipervnculo"/>
            <w:rFonts w:ascii="Century Gothic" w:hAnsi="Century Gothic"/>
            <w:sz w:val="18"/>
            <w:szCs w:val="18"/>
          </w:rPr>
          <w:t>https://www.te.gob.mx/ius2021/#/13-2023</w:t>
        </w:r>
      </w:hyperlink>
      <w:r w:rsidR="004D141C" w:rsidRPr="00061E78">
        <w:rPr>
          <w:rFonts w:ascii="Century Gothic" w:hAnsi="Century Gothic"/>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A601" w14:textId="45EA0CC0" w:rsidR="00531535" w:rsidRPr="00FD5271" w:rsidRDefault="00995399" w:rsidP="00AE4BE2">
    <w:pPr>
      <w:pStyle w:val="Encabezado"/>
      <w:rPr>
        <w:rFonts w:ascii="Century Gothic" w:hAnsi="Century Gothic" w:cs="Arial"/>
        <w:b/>
        <w:bCs/>
        <w:sz w:val="24"/>
        <w:szCs w:val="24"/>
        <w:lang w:val="es-MX"/>
      </w:rPr>
    </w:pPr>
    <w:r w:rsidRPr="00FD5271">
      <w:rPr>
        <w:rFonts w:ascii="Century Gothic" w:hAnsi="Century Gothic" w:cs="Arial"/>
        <w:b/>
        <w:bCs/>
        <w:sz w:val="24"/>
        <w:szCs w:val="24"/>
        <w:lang w:val="es-MX"/>
      </w:rPr>
      <w:t>SUP-REC-</w:t>
    </w:r>
    <w:r w:rsidR="001B1A43">
      <w:rPr>
        <w:rFonts w:ascii="Century Gothic" w:hAnsi="Century Gothic" w:cs="Arial"/>
        <w:b/>
        <w:bCs/>
        <w:sz w:val="24"/>
        <w:szCs w:val="24"/>
        <w:lang w:val="es-MX"/>
      </w:rPr>
      <w:t>2</w:t>
    </w:r>
    <w:r w:rsidR="00433CC6">
      <w:rPr>
        <w:rFonts w:ascii="Century Gothic" w:hAnsi="Century Gothic" w:cs="Arial"/>
        <w:b/>
        <w:bCs/>
        <w:sz w:val="24"/>
        <w:szCs w:val="24"/>
        <w:lang w:val="es-MX"/>
      </w:rPr>
      <w:t>74</w:t>
    </w:r>
    <w:r w:rsidRPr="00FD5271">
      <w:rPr>
        <w:rFonts w:ascii="Century Gothic" w:hAnsi="Century Gothic" w:cs="Arial"/>
        <w:b/>
        <w:bCs/>
        <w:sz w:val="24"/>
        <w:szCs w:val="24"/>
        <w:lang w:val="es-MX"/>
      </w:rPr>
      <w:t>/202</w:t>
    </w:r>
    <w:r w:rsidR="00670826">
      <w:rPr>
        <w:rFonts w:ascii="Century Gothic" w:hAnsi="Century Gothic" w:cs="Arial"/>
        <w:b/>
        <w:bCs/>
        <w:sz w:val="24"/>
        <w:szCs w:val="24"/>
        <w:lang w:val="es-MX"/>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5F07" w14:textId="5557E346" w:rsidR="00FD5271" w:rsidRDefault="00AE4BE2" w:rsidP="002C0BF3">
    <w:pPr>
      <w:pStyle w:val="Encabezado"/>
      <w:jc w:val="right"/>
      <w:rPr>
        <w:rFonts w:ascii="Century Gothic" w:hAnsi="Century Gothic" w:cs="Arial"/>
        <w:b/>
        <w:bCs/>
        <w:sz w:val="24"/>
        <w:szCs w:val="24"/>
        <w:lang w:val="es-MX"/>
      </w:rPr>
    </w:pPr>
    <w:r w:rsidRPr="00FD5271">
      <w:rPr>
        <w:rFonts w:ascii="Century Gothic" w:hAnsi="Century Gothic"/>
        <w:noProof/>
        <w:sz w:val="24"/>
        <w:szCs w:val="24"/>
      </w:rPr>
      <w:drawing>
        <wp:anchor distT="0" distB="0" distL="114300" distR="114300" simplePos="0" relativeHeight="251658752" behindDoc="0" locked="0" layoutInCell="1" allowOverlap="1" wp14:anchorId="72998C35" wp14:editId="197143F1">
          <wp:simplePos x="0" y="0"/>
          <wp:positionH relativeFrom="leftMargin">
            <wp:align>right</wp:align>
          </wp:positionH>
          <wp:positionV relativeFrom="paragraph">
            <wp:posOffset>-652145</wp:posOffset>
          </wp:positionV>
          <wp:extent cx="1247775" cy="1000125"/>
          <wp:effectExtent l="0" t="0" r="9525" b="9525"/>
          <wp:wrapNone/>
          <wp:docPr id="1713873637" name="Imagen 17138736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5611EC" w:rsidRPr="00FD5271">
      <w:rPr>
        <w:rFonts w:ascii="Century Gothic" w:hAnsi="Century Gothic" w:cs="Arial"/>
        <w:b/>
        <w:bCs/>
        <w:sz w:val="24"/>
        <w:szCs w:val="24"/>
        <w:lang w:val="es-MX"/>
      </w:rPr>
      <w:t>SUP-REC-</w:t>
    </w:r>
    <w:r w:rsidR="001B1A43">
      <w:rPr>
        <w:rFonts w:ascii="Century Gothic" w:hAnsi="Century Gothic" w:cs="Arial"/>
        <w:b/>
        <w:bCs/>
        <w:sz w:val="24"/>
        <w:szCs w:val="24"/>
        <w:lang w:val="es-MX"/>
      </w:rPr>
      <w:t>2</w:t>
    </w:r>
    <w:r w:rsidR="00621DC6">
      <w:rPr>
        <w:rFonts w:ascii="Century Gothic" w:hAnsi="Century Gothic" w:cs="Arial"/>
        <w:b/>
        <w:bCs/>
        <w:sz w:val="24"/>
        <w:szCs w:val="24"/>
        <w:lang w:val="es-MX"/>
      </w:rPr>
      <w:t>74</w:t>
    </w:r>
    <w:r w:rsidR="005611EC" w:rsidRPr="00FD5271">
      <w:rPr>
        <w:rFonts w:ascii="Century Gothic" w:hAnsi="Century Gothic" w:cs="Arial"/>
        <w:b/>
        <w:bCs/>
        <w:sz w:val="24"/>
        <w:szCs w:val="24"/>
        <w:lang w:val="es-MX"/>
      </w:rPr>
      <w:t>/202</w:t>
    </w:r>
    <w:r w:rsidR="00670826">
      <w:rPr>
        <w:rFonts w:ascii="Century Gothic" w:hAnsi="Century Gothic" w:cs="Arial"/>
        <w:b/>
        <w:bCs/>
        <w:sz w:val="24"/>
        <w:szCs w:val="24"/>
        <w:lang w:val="es-MX"/>
      </w:rPr>
      <w:t>6</w:t>
    </w:r>
  </w:p>
  <w:p w14:paraId="722CE4BB" w14:textId="77777777" w:rsidR="00CA1E76" w:rsidRDefault="00CA1E76" w:rsidP="002C0BF3">
    <w:pPr>
      <w:pStyle w:val="Encabezado"/>
      <w:jc w:val="right"/>
      <w:rPr>
        <w:rFonts w:ascii="Century Gothic" w:hAnsi="Century Gothic" w:cs="Arial"/>
        <w:b/>
        <w:bCs/>
        <w:sz w:val="24"/>
        <w:szCs w:val="24"/>
        <w:lang w:val="es-MX"/>
      </w:rPr>
    </w:pPr>
  </w:p>
  <w:p w14:paraId="70D8976E" w14:textId="77777777" w:rsidR="00CA1E76" w:rsidRPr="00FD5271" w:rsidRDefault="00CA1E76" w:rsidP="002C0BF3">
    <w:pPr>
      <w:pStyle w:val="Encabezado"/>
      <w:jc w:val="right"/>
      <w:rPr>
        <w:rFonts w:ascii="Century Gothic" w:hAnsi="Century Gothic" w:cs="Arial"/>
        <w:b/>
        <w:bCs/>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1E64" w14:textId="1951EE30" w:rsidR="005611EC" w:rsidRDefault="00A17C82">
    <w:pPr>
      <w:pStyle w:val="Encabezado"/>
    </w:pPr>
    <w:r>
      <w:rPr>
        <w:noProof/>
      </w:rPr>
      <w:drawing>
        <wp:anchor distT="0" distB="0" distL="114300" distR="114300" simplePos="0" relativeHeight="251659776" behindDoc="1" locked="0" layoutInCell="1" allowOverlap="1" wp14:anchorId="3CF5D823" wp14:editId="360B50AB">
          <wp:simplePos x="0" y="0"/>
          <wp:positionH relativeFrom="leftMargin">
            <wp:align>right</wp:align>
          </wp:positionH>
          <wp:positionV relativeFrom="paragraph">
            <wp:posOffset>-652145</wp:posOffset>
          </wp:positionV>
          <wp:extent cx="1249680" cy="1000125"/>
          <wp:effectExtent l="0" t="0" r="7620" b="9525"/>
          <wp:wrapTight wrapText="bothSides">
            <wp:wrapPolygon edited="0">
              <wp:start x="7573" y="0"/>
              <wp:lineTo x="5927" y="823"/>
              <wp:lineTo x="2634" y="5349"/>
              <wp:lineTo x="2634" y="8229"/>
              <wp:lineTo x="4280" y="13166"/>
              <wp:lineTo x="0" y="17691"/>
              <wp:lineTo x="0" y="21394"/>
              <wp:lineTo x="21402" y="21394"/>
              <wp:lineTo x="21402" y="17691"/>
              <wp:lineTo x="17122" y="13166"/>
              <wp:lineTo x="18439" y="7817"/>
              <wp:lineTo x="18768" y="5349"/>
              <wp:lineTo x="14817" y="411"/>
              <wp:lineTo x="13171" y="0"/>
              <wp:lineTo x="7573" y="0"/>
            </wp:wrapPolygon>
          </wp:wrapTight>
          <wp:docPr id="4409017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10001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0073"/>
    <w:multiLevelType w:val="hybridMultilevel"/>
    <w:tmpl w:val="C6228774"/>
    <w:lvl w:ilvl="0" w:tplc="65A01E82">
      <w:numFmt w:val="bullet"/>
      <w:lvlText w:val="-"/>
      <w:lvlJc w:val="left"/>
      <w:pPr>
        <w:ind w:left="720" w:hanging="360"/>
      </w:pPr>
      <w:rPr>
        <w:rFonts w:ascii="Century Gothic" w:eastAsia="Times New Roman" w:hAnsi="Century Gothic" w:cs="Poppi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E0593D"/>
    <w:multiLevelType w:val="hybridMultilevel"/>
    <w:tmpl w:val="A3C0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667159"/>
    <w:multiLevelType w:val="hybridMultilevel"/>
    <w:tmpl w:val="8F60037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AA527D"/>
    <w:multiLevelType w:val="hybridMultilevel"/>
    <w:tmpl w:val="85E07C8E"/>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0F5F55D1"/>
    <w:multiLevelType w:val="hybridMultilevel"/>
    <w:tmpl w:val="D06EAD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023EA4"/>
    <w:multiLevelType w:val="hybridMultilevel"/>
    <w:tmpl w:val="17B28B8A"/>
    <w:lvl w:ilvl="0" w:tplc="471C93A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665531D"/>
    <w:multiLevelType w:val="hybridMultilevel"/>
    <w:tmpl w:val="AA6EBE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AB30595"/>
    <w:multiLevelType w:val="hybridMultilevel"/>
    <w:tmpl w:val="0EC6FE6C"/>
    <w:lvl w:ilvl="0" w:tplc="6F6E5F94">
      <w:start w:val="2"/>
      <w:numFmt w:val="bullet"/>
      <w:lvlText w:val="-"/>
      <w:lvlJc w:val="left"/>
      <w:pPr>
        <w:ind w:left="720" w:hanging="360"/>
      </w:pPr>
      <w:rPr>
        <w:rFonts w:ascii="Century Gothic" w:eastAsia="Times New Roman" w:hAnsi="Century Gothic" w:cs="Poppi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D587BEF"/>
    <w:multiLevelType w:val="hybridMultilevel"/>
    <w:tmpl w:val="8642FBEC"/>
    <w:lvl w:ilvl="0" w:tplc="46DA70E8">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EB779D8"/>
    <w:multiLevelType w:val="hybridMultilevel"/>
    <w:tmpl w:val="DC44A06A"/>
    <w:lvl w:ilvl="0" w:tplc="A0E88BE0">
      <w:start w:val="1"/>
      <w:numFmt w:val="decimal"/>
      <w:pStyle w:val="Normalsentencia"/>
      <w:lvlText w:val="%1."/>
      <w:lvlJc w:val="left"/>
      <w:pPr>
        <w:ind w:left="360" w:hanging="360"/>
      </w:pPr>
      <w:rPr>
        <w:b/>
        <w:color w:val="auto"/>
        <w:sz w:val="22"/>
        <w:szCs w:val="22"/>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03950A5"/>
    <w:multiLevelType w:val="hybridMultilevel"/>
    <w:tmpl w:val="CD7235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2891385"/>
    <w:multiLevelType w:val="hybridMultilevel"/>
    <w:tmpl w:val="8648E300"/>
    <w:lvl w:ilvl="0" w:tplc="30B03C62">
      <w:start w:val="1"/>
      <w:numFmt w:val="decimal"/>
      <w:pStyle w:val="NSentencia"/>
      <w:lvlText w:val="%1."/>
      <w:lvlJc w:val="left"/>
      <w:pPr>
        <w:ind w:left="360" w:hanging="360"/>
      </w:pPr>
      <w:rPr>
        <w:rFonts w:ascii="Univers" w:hAnsi="Univers" w:hint="default"/>
        <w:b/>
        <w:sz w:val="24"/>
        <w:szCs w:val="24"/>
      </w:r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B072CA"/>
    <w:multiLevelType w:val="hybridMultilevel"/>
    <w:tmpl w:val="00A28E84"/>
    <w:lvl w:ilvl="0" w:tplc="F24A918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88F3EF9"/>
    <w:multiLevelType w:val="hybridMultilevel"/>
    <w:tmpl w:val="CCBCE31A"/>
    <w:lvl w:ilvl="0" w:tplc="888AB630">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292D519F"/>
    <w:multiLevelType w:val="hybridMultilevel"/>
    <w:tmpl w:val="9DBE1510"/>
    <w:lvl w:ilvl="0" w:tplc="158AAA6C">
      <w:start w:val="7"/>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B2327A3"/>
    <w:multiLevelType w:val="hybridMultilevel"/>
    <w:tmpl w:val="C038A758"/>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35FD5E78"/>
    <w:multiLevelType w:val="hybridMultilevel"/>
    <w:tmpl w:val="B5AACDF8"/>
    <w:lvl w:ilvl="0" w:tplc="5AC228C8">
      <w:start w:val="1"/>
      <w:numFmt w:val="decimal"/>
      <w:lvlText w:val="(%1)"/>
      <w:lvlJc w:val="left"/>
      <w:pPr>
        <w:ind w:left="11" w:hanging="360"/>
      </w:pPr>
      <w:rPr>
        <w:rFonts w:ascii="Arial" w:hAnsi="Arial" w:hint="default"/>
        <w:b w:val="0"/>
        <w:bCs w:val="0"/>
        <w:sz w:val="16"/>
        <w:lang w:val="es-419"/>
      </w:rPr>
    </w:lvl>
    <w:lvl w:ilvl="1" w:tplc="B1A80DEE">
      <w:start w:val="1"/>
      <w:numFmt w:val="lowerRoman"/>
      <w:lvlText w:val="%2)"/>
      <w:lvlJc w:val="left"/>
      <w:pPr>
        <w:ind w:left="1091" w:hanging="720"/>
      </w:pPr>
      <w:rPr>
        <w:rFonts w:hint="default"/>
      </w:rPr>
    </w:lvl>
    <w:lvl w:ilvl="2" w:tplc="580A001B" w:tentative="1">
      <w:start w:val="1"/>
      <w:numFmt w:val="lowerRoman"/>
      <w:lvlText w:val="%3."/>
      <w:lvlJc w:val="right"/>
      <w:pPr>
        <w:ind w:left="1451" w:hanging="180"/>
      </w:pPr>
    </w:lvl>
    <w:lvl w:ilvl="3" w:tplc="580A000F" w:tentative="1">
      <w:start w:val="1"/>
      <w:numFmt w:val="decimal"/>
      <w:lvlText w:val="%4."/>
      <w:lvlJc w:val="left"/>
      <w:pPr>
        <w:ind w:left="2171" w:hanging="360"/>
      </w:pPr>
    </w:lvl>
    <w:lvl w:ilvl="4" w:tplc="580A0019" w:tentative="1">
      <w:start w:val="1"/>
      <w:numFmt w:val="lowerLetter"/>
      <w:lvlText w:val="%5."/>
      <w:lvlJc w:val="left"/>
      <w:pPr>
        <w:ind w:left="2891" w:hanging="360"/>
      </w:pPr>
    </w:lvl>
    <w:lvl w:ilvl="5" w:tplc="580A001B" w:tentative="1">
      <w:start w:val="1"/>
      <w:numFmt w:val="lowerRoman"/>
      <w:lvlText w:val="%6."/>
      <w:lvlJc w:val="right"/>
      <w:pPr>
        <w:ind w:left="3611" w:hanging="180"/>
      </w:pPr>
    </w:lvl>
    <w:lvl w:ilvl="6" w:tplc="580A000F" w:tentative="1">
      <w:start w:val="1"/>
      <w:numFmt w:val="decimal"/>
      <w:lvlText w:val="%7."/>
      <w:lvlJc w:val="left"/>
      <w:pPr>
        <w:ind w:left="4331" w:hanging="360"/>
      </w:pPr>
    </w:lvl>
    <w:lvl w:ilvl="7" w:tplc="580A0019" w:tentative="1">
      <w:start w:val="1"/>
      <w:numFmt w:val="lowerLetter"/>
      <w:lvlText w:val="%8."/>
      <w:lvlJc w:val="left"/>
      <w:pPr>
        <w:ind w:left="5051" w:hanging="360"/>
      </w:pPr>
    </w:lvl>
    <w:lvl w:ilvl="8" w:tplc="580A001B" w:tentative="1">
      <w:start w:val="1"/>
      <w:numFmt w:val="lowerRoman"/>
      <w:lvlText w:val="%9."/>
      <w:lvlJc w:val="right"/>
      <w:pPr>
        <w:ind w:left="5771" w:hanging="180"/>
      </w:pPr>
    </w:lvl>
  </w:abstractNum>
  <w:abstractNum w:abstractNumId="17" w15:restartNumberingAfterBreak="0">
    <w:nsid w:val="37433B69"/>
    <w:multiLevelType w:val="hybridMultilevel"/>
    <w:tmpl w:val="787A6544"/>
    <w:lvl w:ilvl="0" w:tplc="710A17F2">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1B236D"/>
    <w:multiLevelType w:val="hybridMultilevel"/>
    <w:tmpl w:val="75302C1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3C280579"/>
    <w:multiLevelType w:val="hybridMultilevel"/>
    <w:tmpl w:val="28BCF7E4"/>
    <w:lvl w:ilvl="0" w:tplc="27600926">
      <w:start w:val="2"/>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F45953"/>
    <w:multiLevelType w:val="hybridMultilevel"/>
    <w:tmpl w:val="711CC902"/>
    <w:lvl w:ilvl="0" w:tplc="07B286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06C2C0B"/>
    <w:multiLevelType w:val="hybridMultilevel"/>
    <w:tmpl w:val="B5340D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21B4B67"/>
    <w:multiLevelType w:val="hybridMultilevel"/>
    <w:tmpl w:val="F3489206"/>
    <w:lvl w:ilvl="0" w:tplc="01E88D7A">
      <w:start w:val="16"/>
      <w:numFmt w:val="bullet"/>
      <w:lvlText w:val="-"/>
      <w:lvlJc w:val="left"/>
      <w:pPr>
        <w:ind w:left="720" w:hanging="360"/>
      </w:pPr>
      <w:rPr>
        <w:rFonts w:ascii="Century Gothic" w:eastAsia="Times New Roman" w:hAnsi="Century Gothic"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BF653EB"/>
    <w:multiLevelType w:val="hybridMultilevel"/>
    <w:tmpl w:val="B7C8F2D0"/>
    <w:lvl w:ilvl="0" w:tplc="CBF2A7DA">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E265CEA"/>
    <w:multiLevelType w:val="hybridMultilevel"/>
    <w:tmpl w:val="B24447C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50895230"/>
    <w:multiLevelType w:val="hybridMultilevel"/>
    <w:tmpl w:val="94EC8A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0E07687"/>
    <w:multiLevelType w:val="hybridMultilevel"/>
    <w:tmpl w:val="B090F6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57D5EC2"/>
    <w:multiLevelType w:val="hybridMultilevel"/>
    <w:tmpl w:val="8F60037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D596D81"/>
    <w:multiLevelType w:val="hybridMultilevel"/>
    <w:tmpl w:val="917E34CA"/>
    <w:lvl w:ilvl="0" w:tplc="D4B473D0">
      <w:start w:val="1"/>
      <w:numFmt w:val="decimal"/>
      <w:lvlText w:val="(%1)"/>
      <w:lvlJc w:val="left"/>
      <w:pPr>
        <w:ind w:left="0" w:firstLine="0"/>
      </w:pPr>
      <w:rPr>
        <w:rFonts w:ascii="Arial" w:hAnsi="Arial" w:hint="default"/>
        <w:b w:val="0"/>
        <w:bCs w:val="0"/>
        <w:color w:val="auto"/>
        <w:sz w:val="18"/>
      </w:rPr>
    </w:lvl>
    <w:lvl w:ilvl="1" w:tplc="080A000B">
      <w:start w:val="1"/>
      <w:numFmt w:val="bullet"/>
      <w:lvlText w:val=""/>
      <w:lvlJc w:val="left"/>
      <w:pPr>
        <w:ind w:left="1440" w:hanging="360"/>
      </w:pPr>
      <w:rPr>
        <w:rFonts w:ascii="Wingdings" w:hAnsi="Wingding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FCF565B"/>
    <w:multiLevelType w:val="hybridMultilevel"/>
    <w:tmpl w:val="49BE60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3E0421B"/>
    <w:multiLevelType w:val="hybridMultilevel"/>
    <w:tmpl w:val="B5AACDF8"/>
    <w:lvl w:ilvl="0" w:tplc="FFFFFFFF">
      <w:start w:val="1"/>
      <w:numFmt w:val="decimal"/>
      <w:lvlText w:val="(%1)"/>
      <w:lvlJc w:val="left"/>
      <w:pPr>
        <w:ind w:left="11" w:hanging="360"/>
      </w:pPr>
      <w:rPr>
        <w:rFonts w:ascii="Arial" w:hAnsi="Arial" w:hint="default"/>
        <w:b w:val="0"/>
        <w:bCs w:val="0"/>
        <w:sz w:val="16"/>
        <w:lang w:val="es-419"/>
      </w:rPr>
    </w:lvl>
    <w:lvl w:ilvl="1" w:tplc="FFFFFFFF">
      <w:start w:val="1"/>
      <w:numFmt w:val="lowerRoman"/>
      <w:lvlText w:val="%2)"/>
      <w:lvlJc w:val="left"/>
      <w:pPr>
        <w:ind w:left="1091" w:hanging="720"/>
      </w:pPr>
      <w:rPr>
        <w:rFonts w:hint="default"/>
      </w:rPr>
    </w:lvl>
    <w:lvl w:ilvl="2" w:tplc="FFFFFFFF" w:tentative="1">
      <w:start w:val="1"/>
      <w:numFmt w:val="lowerRoman"/>
      <w:lvlText w:val="%3."/>
      <w:lvlJc w:val="right"/>
      <w:pPr>
        <w:ind w:left="1451" w:hanging="180"/>
      </w:pPr>
    </w:lvl>
    <w:lvl w:ilvl="3" w:tplc="FFFFFFFF" w:tentative="1">
      <w:start w:val="1"/>
      <w:numFmt w:val="decimal"/>
      <w:lvlText w:val="%4."/>
      <w:lvlJc w:val="left"/>
      <w:pPr>
        <w:ind w:left="2171" w:hanging="360"/>
      </w:pPr>
    </w:lvl>
    <w:lvl w:ilvl="4" w:tplc="FFFFFFFF" w:tentative="1">
      <w:start w:val="1"/>
      <w:numFmt w:val="lowerLetter"/>
      <w:lvlText w:val="%5."/>
      <w:lvlJc w:val="left"/>
      <w:pPr>
        <w:ind w:left="2891" w:hanging="360"/>
      </w:pPr>
    </w:lvl>
    <w:lvl w:ilvl="5" w:tplc="FFFFFFFF" w:tentative="1">
      <w:start w:val="1"/>
      <w:numFmt w:val="lowerRoman"/>
      <w:lvlText w:val="%6."/>
      <w:lvlJc w:val="right"/>
      <w:pPr>
        <w:ind w:left="3611" w:hanging="180"/>
      </w:pPr>
    </w:lvl>
    <w:lvl w:ilvl="6" w:tplc="FFFFFFFF" w:tentative="1">
      <w:start w:val="1"/>
      <w:numFmt w:val="decimal"/>
      <w:lvlText w:val="%7."/>
      <w:lvlJc w:val="left"/>
      <w:pPr>
        <w:ind w:left="4331" w:hanging="360"/>
      </w:pPr>
    </w:lvl>
    <w:lvl w:ilvl="7" w:tplc="FFFFFFFF" w:tentative="1">
      <w:start w:val="1"/>
      <w:numFmt w:val="lowerLetter"/>
      <w:lvlText w:val="%8."/>
      <w:lvlJc w:val="left"/>
      <w:pPr>
        <w:ind w:left="5051" w:hanging="360"/>
      </w:pPr>
    </w:lvl>
    <w:lvl w:ilvl="8" w:tplc="FFFFFFFF" w:tentative="1">
      <w:start w:val="1"/>
      <w:numFmt w:val="lowerRoman"/>
      <w:lvlText w:val="%9."/>
      <w:lvlJc w:val="right"/>
      <w:pPr>
        <w:ind w:left="5771" w:hanging="180"/>
      </w:pPr>
    </w:lvl>
  </w:abstractNum>
  <w:abstractNum w:abstractNumId="31" w15:restartNumberingAfterBreak="0">
    <w:nsid w:val="66BE5B1F"/>
    <w:multiLevelType w:val="hybridMultilevel"/>
    <w:tmpl w:val="753E50DC"/>
    <w:lvl w:ilvl="0" w:tplc="6498AD6C">
      <w:start w:val="1"/>
      <w:numFmt w:val="lowerLetter"/>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67475EAC"/>
    <w:multiLevelType w:val="hybridMultilevel"/>
    <w:tmpl w:val="7EB67B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7ED4229"/>
    <w:multiLevelType w:val="hybridMultilevel"/>
    <w:tmpl w:val="DE94674A"/>
    <w:lvl w:ilvl="0" w:tplc="D608AE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9A238B5"/>
    <w:multiLevelType w:val="hybridMultilevel"/>
    <w:tmpl w:val="65C49B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DA64947"/>
    <w:multiLevelType w:val="hybridMultilevel"/>
    <w:tmpl w:val="24F4189A"/>
    <w:lvl w:ilvl="0" w:tplc="4B1E3A0E">
      <w:start w:val="1"/>
      <w:numFmt w:val="decimal"/>
      <w:lvlText w:val="%1."/>
      <w:lvlJc w:val="left"/>
      <w:pPr>
        <w:ind w:left="720" w:hanging="360"/>
      </w:pPr>
      <w:rPr>
        <w:b/>
        <w:bCs/>
        <w:sz w:val="24"/>
        <w:szCs w:val="24"/>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6" w15:restartNumberingAfterBreak="0">
    <w:nsid w:val="6E464962"/>
    <w:multiLevelType w:val="hybridMultilevel"/>
    <w:tmpl w:val="3EF46128"/>
    <w:lvl w:ilvl="0" w:tplc="207A51BE">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E6976FD"/>
    <w:multiLevelType w:val="hybridMultilevel"/>
    <w:tmpl w:val="8F60037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621F32"/>
    <w:multiLevelType w:val="hybridMultilevel"/>
    <w:tmpl w:val="601EE240"/>
    <w:lvl w:ilvl="0" w:tplc="DA6844F2">
      <w:start w:val="1"/>
      <w:numFmt w:val="decimal"/>
      <w:lvlText w:val="(%1)"/>
      <w:lvlJc w:val="left"/>
      <w:pPr>
        <w:ind w:left="360" w:hanging="360"/>
      </w:pPr>
      <w:rPr>
        <w:rFonts w:hint="default"/>
        <w:b w:val="0"/>
        <w:bCs w:val="0"/>
        <w:sz w:val="16"/>
        <w:szCs w:val="16"/>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9" w15:restartNumberingAfterBreak="0">
    <w:nsid w:val="7172753A"/>
    <w:multiLevelType w:val="hybridMultilevel"/>
    <w:tmpl w:val="EBACE670"/>
    <w:lvl w:ilvl="0" w:tplc="FE56CE1E">
      <w:start w:val="1"/>
      <w:numFmt w:val="decimal"/>
      <w:pStyle w:val="numerado"/>
      <w:lvlText w:val="%1."/>
      <w:lvlJc w:val="left"/>
      <w:pPr>
        <w:ind w:left="502" w:hanging="360"/>
      </w:pPr>
      <w:rPr>
        <w:rFonts w:ascii="Univers" w:hAnsi="Univers" w:hint="default"/>
        <w:b w:val="0"/>
        <w:sz w:val="28"/>
        <w:szCs w:val="28"/>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204560B"/>
    <w:multiLevelType w:val="hybridMultilevel"/>
    <w:tmpl w:val="4778520A"/>
    <w:lvl w:ilvl="0" w:tplc="72B862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32D5002"/>
    <w:multiLevelType w:val="hybridMultilevel"/>
    <w:tmpl w:val="50763714"/>
    <w:lvl w:ilvl="0" w:tplc="8CA62EFA">
      <w:start w:val="3"/>
      <w:numFmt w:val="upperLetter"/>
      <w:lvlText w:val="%1."/>
      <w:lvlJc w:val="left"/>
      <w:pPr>
        <w:ind w:left="1068" w:hanging="360"/>
      </w:pPr>
      <w:rPr>
        <w:rFonts w:hint="default"/>
        <w:b/>
        <w:bCs w: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2" w15:restartNumberingAfterBreak="0">
    <w:nsid w:val="78663182"/>
    <w:multiLevelType w:val="hybridMultilevel"/>
    <w:tmpl w:val="F5B49FE8"/>
    <w:lvl w:ilvl="0" w:tplc="2B2CA4A2">
      <w:start w:val="1"/>
      <w:numFmt w:val="upperRoman"/>
      <w:lvlText w:val="%1."/>
      <w:lvlJc w:val="right"/>
      <w:pPr>
        <w:ind w:left="720" w:hanging="360"/>
      </w:pPr>
      <w:rPr>
        <w:b/>
        <w:bCs w:val="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3" w15:restartNumberingAfterBreak="0">
    <w:nsid w:val="7AC53688"/>
    <w:multiLevelType w:val="hybridMultilevel"/>
    <w:tmpl w:val="095C9194"/>
    <w:lvl w:ilvl="0" w:tplc="A5D2EDC4">
      <w:start w:val="2"/>
      <w:numFmt w:val="bullet"/>
      <w:lvlText w:val=""/>
      <w:lvlJc w:val="left"/>
      <w:pPr>
        <w:ind w:left="720" w:hanging="360"/>
      </w:pPr>
      <w:rPr>
        <w:rFonts w:ascii="Symbol" w:eastAsia="Times New Roman" w:hAnsi="Symbol" w:cs="Poppi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DA735B6"/>
    <w:multiLevelType w:val="hybridMultilevel"/>
    <w:tmpl w:val="873C7C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60747322">
    <w:abstractNumId w:val="39"/>
  </w:num>
  <w:num w:numId="2" w16cid:durableId="1162812418">
    <w:abstractNumId w:val="9"/>
  </w:num>
  <w:num w:numId="3" w16cid:durableId="1396203800">
    <w:abstractNumId w:val="35"/>
  </w:num>
  <w:num w:numId="4" w16cid:durableId="1476605757">
    <w:abstractNumId w:val="42"/>
  </w:num>
  <w:num w:numId="5" w16cid:durableId="1670793853">
    <w:abstractNumId w:val="31"/>
  </w:num>
  <w:num w:numId="6" w16cid:durableId="121119121">
    <w:abstractNumId w:val="24"/>
  </w:num>
  <w:num w:numId="7" w16cid:durableId="1705519975">
    <w:abstractNumId w:val="15"/>
  </w:num>
  <w:num w:numId="8" w16cid:durableId="1573538750">
    <w:abstractNumId w:val="18"/>
  </w:num>
  <w:num w:numId="9" w16cid:durableId="1150054311">
    <w:abstractNumId w:val="11"/>
  </w:num>
  <w:num w:numId="10" w16cid:durableId="1215194784">
    <w:abstractNumId w:val="43"/>
  </w:num>
  <w:num w:numId="11" w16cid:durableId="41952502">
    <w:abstractNumId w:val="10"/>
  </w:num>
  <w:num w:numId="12" w16cid:durableId="1928690704">
    <w:abstractNumId w:val="2"/>
  </w:num>
  <w:num w:numId="13" w16cid:durableId="430974915">
    <w:abstractNumId w:val="23"/>
  </w:num>
  <w:num w:numId="14" w16cid:durableId="90636569">
    <w:abstractNumId w:val="27"/>
  </w:num>
  <w:num w:numId="15" w16cid:durableId="360786542">
    <w:abstractNumId w:val="37"/>
  </w:num>
  <w:num w:numId="16" w16cid:durableId="910963556">
    <w:abstractNumId w:val="19"/>
  </w:num>
  <w:num w:numId="17" w16cid:durableId="1646659740">
    <w:abstractNumId w:val="32"/>
  </w:num>
  <w:num w:numId="18" w16cid:durableId="1505587110">
    <w:abstractNumId w:val="32"/>
  </w:num>
  <w:num w:numId="19" w16cid:durableId="1458329187">
    <w:abstractNumId w:val="34"/>
  </w:num>
  <w:num w:numId="20" w16cid:durableId="1586722698">
    <w:abstractNumId w:val="21"/>
  </w:num>
  <w:num w:numId="21" w16cid:durableId="996880784">
    <w:abstractNumId w:val="6"/>
  </w:num>
  <w:num w:numId="22" w16cid:durableId="555166755">
    <w:abstractNumId w:val="1"/>
  </w:num>
  <w:num w:numId="23" w16cid:durableId="127213629">
    <w:abstractNumId w:val="44"/>
  </w:num>
  <w:num w:numId="24" w16cid:durableId="2044089312">
    <w:abstractNumId w:val="12"/>
  </w:num>
  <w:num w:numId="25" w16cid:durableId="2110807223">
    <w:abstractNumId w:val="0"/>
  </w:num>
  <w:num w:numId="26" w16cid:durableId="1244223278">
    <w:abstractNumId w:val="13"/>
  </w:num>
  <w:num w:numId="27" w16cid:durableId="131484134">
    <w:abstractNumId w:val="7"/>
  </w:num>
  <w:num w:numId="28" w16cid:durableId="1384669594">
    <w:abstractNumId w:val="8"/>
  </w:num>
  <w:num w:numId="29" w16cid:durableId="980811863">
    <w:abstractNumId w:val="40"/>
  </w:num>
  <w:num w:numId="30" w16cid:durableId="805316884">
    <w:abstractNumId w:val="5"/>
  </w:num>
  <w:num w:numId="31" w16cid:durableId="218907825">
    <w:abstractNumId w:val="36"/>
  </w:num>
  <w:num w:numId="32" w16cid:durableId="1550067928">
    <w:abstractNumId w:val="17"/>
  </w:num>
  <w:num w:numId="33" w16cid:durableId="1283223192">
    <w:abstractNumId w:val="22"/>
  </w:num>
  <w:num w:numId="34" w16cid:durableId="1673487391">
    <w:abstractNumId w:val="28"/>
  </w:num>
  <w:num w:numId="35" w16cid:durableId="1248347702">
    <w:abstractNumId w:val="25"/>
  </w:num>
  <w:num w:numId="36" w16cid:durableId="1137842666">
    <w:abstractNumId w:val="29"/>
  </w:num>
  <w:num w:numId="37" w16cid:durableId="1121336178">
    <w:abstractNumId w:val="3"/>
  </w:num>
  <w:num w:numId="38" w16cid:durableId="542520699">
    <w:abstractNumId w:val="4"/>
  </w:num>
  <w:num w:numId="39" w16cid:durableId="22288923">
    <w:abstractNumId w:val="16"/>
  </w:num>
  <w:num w:numId="40" w16cid:durableId="1291670081">
    <w:abstractNumId w:val="30"/>
  </w:num>
  <w:num w:numId="41" w16cid:durableId="1026641866">
    <w:abstractNumId w:val="26"/>
  </w:num>
  <w:num w:numId="42" w16cid:durableId="739983854">
    <w:abstractNumId w:val="14"/>
  </w:num>
  <w:num w:numId="43" w16cid:durableId="317147627">
    <w:abstractNumId w:val="20"/>
  </w:num>
  <w:num w:numId="44" w16cid:durableId="183792369">
    <w:abstractNumId w:val="33"/>
  </w:num>
  <w:num w:numId="45" w16cid:durableId="223495012">
    <w:abstractNumId w:val="41"/>
  </w:num>
  <w:num w:numId="46" w16cid:durableId="1917280712">
    <w:abstractNumId w:val="3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LC0MDA0sDAztzQzNDVX0lEKTi0uzszPAykwqgUACNzuiCwAAAA="/>
  </w:docVars>
  <w:rsids>
    <w:rsidRoot w:val="00C37BFD"/>
    <w:rsid w:val="00000145"/>
    <w:rsid w:val="000002CB"/>
    <w:rsid w:val="000003E1"/>
    <w:rsid w:val="00000800"/>
    <w:rsid w:val="000009D6"/>
    <w:rsid w:val="00000A8B"/>
    <w:rsid w:val="00000AFC"/>
    <w:rsid w:val="00000C9A"/>
    <w:rsid w:val="00001675"/>
    <w:rsid w:val="000017AA"/>
    <w:rsid w:val="00001FB2"/>
    <w:rsid w:val="00002A8C"/>
    <w:rsid w:val="00003027"/>
    <w:rsid w:val="0000312D"/>
    <w:rsid w:val="000039A2"/>
    <w:rsid w:val="00003AC6"/>
    <w:rsid w:val="00003FED"/>
    <w:rsid w:val="00004925"/>
    <w:rsid w:val="00004A03"/>
    <w:rsid w:val="00005675"/>
    <w:rsid w:val="000056EC"/>
    <w:rsid w:val="0000578B"/>
    <w:rsid w:val="00005951"/>
    <w:rsid w:val="00005DA1"/>
    <w:rsid w:val="00005EC5"/>
    <w:rsid w:val="00006314"/>
    <w:rsid w:val="000063FA"/>
    <w:rsid w:val="000064C1"/>
    <w:rsid w:val="00006590"/>
    <w:rsid w:val="00006AA5"/>
    <w:rsid w:val="00007195"/>
    <w:rsid w:val="00007245"/>
    <w:rsid w:val="00007329"/>
    <w:rsid w:val="000074D4"/>
    <w:rsid w:val="00007878"/>
    <w:rsid w:val="000079CF"/>
    <w:rsid w:val="00007DC9"/>
    <w:rsid w:val="00007F24"/>
    <w:rsid w:val="00007F63"/>
    <w:rsid w:val="00010093"/>
    <w:rsid w:val="00010664"/>
    <w:rsid w:val="00010799"/>
    <w:rsid w:val="000108FA"/>
    <w:rsid w:val="0001097B"/>
    <w:rsid w:val="00010A9A"/>
    <w:rsid w:val="00010CF9"/>
    <w:rsid w:val="0001196C"/>
    <w:rsid w:val="00011C33"/>
    <w:rsid w:val="00012535"/>
    <w:rsid w:val="00012BF9"/>
    <w:rsid w:val="00012D4B"/>
    <w:rsid w:val="00012F54"/>
    <w:rsid w:val="00013214"/>
    <w:rsid w:val="0001327A"/>
    <w:rsid w:val="000137E2"/>
    <w:rsid w:val="000140FB"/>
    <w:rsid w:val="0001452D"/>
    <w:rsid w:val="00014531"/>
    <w:rsid w:val="00014C69"/>
    <w:rsid w:val="00014ED0"/>
    <w:rsid w:val="0001537A"/>
    <w:rsid w:val="000154A1"/>
    <w:rsid w:val="000159A7"/>
    <w:rsid w:val="00015A5F"/>
    <w:rsid w:val="00015B71"/>
    <w:rsid w:val="00015FC3"/>
    <w:rsid w:val="0001619C"/>
    <w:rsid w:val="00016438"/>
    <w:rsid w:val="000165C6"/>
    <w:rsid w:val="00016E02"/>
    <w:rsid w:val="00016E28"/>
    <w:rsid w:val="000204EA"/>
    <w:rsid w:val="0002067F"/>
    <w:rsid w:val="0002077F"/>
    <w:rsid w:val="00020859"/>
    <w:rsid w:val="00020A72"/>
    <w:rsid w:val="00020B37"/>
    <w:rsid w:val="00020DFF"/>
    <w:rsid w:val="00020F57"/>
    <w:rsid w:val="000213CD"/>
    <w:rsid w:val="00021508"/>
    <w:rsid w:val="000218CE"/>
    <w:rsid w:val="00021C8D"/>
    <w:rsid w:val="000220B6"/>
    <w:rsid w:val="0002213C"/>
    <w:rsid w:val="00022680"/>
    <w:rsid w:val="00022698"/>
    <w:rsid w:val="00022E7F"/>
    <w:rsid w:val="000230B7"/>
    <w:rsid w:val="000237B5"/>
    <w:rsid w:val="000239F8"/>
    <w:rsid w:val="00023E17"/>
    <w:rsid w:val="000243FE"/>
    <w:rsid w:val="0002443A"/>
    <w:rsid w:val="000245E9"/>
    <w:rsid w:val="00024616"/>
    <w:rsid w:val="00024A0B"/>
    <w:rsid w:val="00024AEB"/>
    <w:rsid w:val="00024EDD"/>
    <w:rsid w:val="000250F6"/>
    <w:rsid w:val="000252E3"/>
    <w:rsid w:val="00025823"/>
    <w:rsid w:val="00025A60"/>
    <w:rsid w:val="00026040"/>
    <w:rsid w:val="00026113"/>
    <w:rsid w:val="0002614E"/>
    <w:rsid w:val="00026716"/>
    <w:rsid w:val="000268B2"/>
    <w:rsid w:val="00026A28"/>
    <w:rsid w:val="00026D14"/>
    <w:rsid w:val="00026F28"/>
    <w:rsid w:val="00027453"/>
    <w:rsid w:val="00027821"/>
    <w:rsid w:val="00027955"/>
    <w:rsid w:val="00027E2D"/>
    <w:rsid w:val="00027F6A"/>
    <w:rsid w:val="000304DB"/>
    <w:rsid w:val="0003161D"/>
    <w:rsid w:val="00031667"/>
    <w:rsid w:val="00031C38"/>
    <w:rsid w:val="00031F0A"/>
    <w:rsid w:val="0003254C"/>
    <w:rsid w:val="00032D8A"/>
    <w:rsid w:val="0003302F"/>
    <w:rsid w:val="0003339B"/>
    <w:rsid w:val="00033F6E"/>
    <w:rsid w:val="00034785"/>
    <w:rsid w:val="00034986"/>
    <w:rsid w:val="00035317"/>
    <w:rsid w:val="00035486"/>
    <w:rsid w:val="000356D2"/>
    <w:rsid w:val="00035BB8"/>
    <w:rsid w:val="0003636E"/>
    <w:rsid w:val="000364BE"/>
    <w:rsid w:val="0003650B"/>
    <w:rsid w:val="000365FB"/>
    <w:rsid w:val="00036604"/>
    <w:rsid w:val="00036BAF"/>
    <w:rsid w:val="00036E06"/>
    <w:rsid w:val="00036ED8"/>
    <w:rsid w:val="00036F0E"/>
    <w:rsid w:val="00036F73"/>
    <w:rsid w:val="00037082"/>
    <w:rsid w:val="000370B9"/>
    <w:rsid w:val="00037167"/>
    <w:rsid w:val="000376D5"/>
    <w:rsid w:val="00037A3B"/>
    <w:rsid w:val="00037CB1"/>
    <w:rsid w:val="00037E55"/>
    <w:rsid w:val="0004073D"/>
    <w:rsid w:val="00040748"/>
    <w:rsid w:val="00040F2C"/>
    <w:rsid w:val="0004191F"/>
    <w:rsid w:val="000429D5"/>
    <w:rsid w:val="000430EC"/>
    <w:rsid w:val="00043127"/>
    <w:rsid w:val="000434E4"/>
    <w:rsid w:val="0004400A"/>
    <w:rsid w:val="000444A8"/>
    <w:rsid w:val="00044A10"/>
    <w:rsid w:val="00044D76"/>
    <w:rsid w:val="00044F67"/>
    <w:rsid w:val="000451B0"/>
    <w:rsid w:val="00045719"/>
    <w:rsid w:val="00045725"/>
    <w:rsid w:val="000457AF"/>
    <w:rsid w:val="000459D2"/>
    <w:rsid w:val="00045ED2"/>
    <w:rsid w:val="000461F2"/>
    <w:rsid w:val="000462D5"/>
    <w:rsid w:val="000465C3"/>
    <w:rsid w:val="0004689B"/>
    <w:rsid w:val="00046B1B"/>
    <w:rsid w:val="00046BB9"/>
    <w:rsid w:val="00046E2C"/>
    <w:rsid w:val="00047123"/>
    <w:rsid w:val="00047372"/>
    <w:rsid w:val="00047669"/>
    <w:rsid w:val="000476B6"/>
    <w:rsid w:val="00047FEA"/>
    <w:rsid w:val="000500FB"/>
    <w:rsid w:val="00050175"/>
    <w:rsid w:val="00050348"/>
    <w:rsid w:val="0005068E"/>
    <w:rsid w:val="000509D0"/>
    <w:rsid w:val="00050B6F"/>
    <w:rsid w:val="00051040"/>
    <w:rsid w:val="0005110C"/>
    <w:rsid w:val="000518CA"/>
    <w:rsid w:val="00051D26"/>
    <w:rsid w:val="0005226D"/>
    <w:rsid w:val="000525D1"/>
    <w:rsid w:val="000527B9"/>
    <w:rsid w:val="00052972"/>
    <w:rsid w:val="00052B36"/>
    <w:rsid w:val="00053204"/>
    <w:rsid w:val="000534EB"/>
    <w:rsid w:val="0005397D"/>
    <w:rsid w:val="00053A7B"/>
    <w:rsid w:val="00053C49"/>
    <w:rsid w:val="00053DCD"/>
    <w:rsid w:val="000540B8"/>
    <w:rsid w:val="0005418A"/>
    <w:rsid w:val="0005427E"/>
    <w:rsid w:val="0005429A"/>
    <w:rsid w:val="000546EF"/>
    <w:rsid w:val="000549AF"/>
    <w:rsid w:val="00054A40"/>
    <w:rsid w:val="00054A43"/>
    <w:rsid w:val="00054BA2"/>
    <w:rsid w:val="00054EF9"/>
    <w:rsid w:val="00054F23"/>
    <w:rsid w:val="000552A3"/>
    <w:rsid w:val="000553DB"/>
    <w:rsid w:val="000554D4"/>
    <w:rsid w:val="0005555F"/>
    <w:rsid w:val="00055AA1"/>
    <w:rsid w:val="00055B42"/>
    <w:rsid w:val="00055BA3"/>
    <w:rsid w:val="00055D13"/>
    <w:rsid w:val="00055D44"/>
    <w:rsid w:val="00055DA0"/>
    <w:rsid w:val="00055EE8"/>
    <w:rsid w:val="00055F29"/>
    <w:rsid w:val="0005673A"/>
    <w:rsid w:val="00056B0D"/>
    <w:rsid w:val="00056E20"/>
    <w:rsid w:val="000571E1"/>
    <w:rsid w:val="0005735C"/>
    <w:rsid w:val="0005785A"/>
    <w:rsid w:val="000601BE"/>
    <w:rsid w:val="0006087F"/>
    <w:rsid w:val="0006090F"/>
    <w:rsid w:val="00060BDE"/>
    <w:rsid w:val="00060D66"/>
    <w:rsid w:val="00061077"/>
    <w:rsid w:val="00061BAB"/>
    <w:rsid w:val="00061E78"/>
    <w:rsid w:val="0006200D"/>
    <w:rsid w:val="000622D3"/>
    <w:rsid w:val="000622E4"/>
    <w:rsid w:val="0006234A"/>
    <w:rsid w:val="0006261D"/>
    <w:rsid w:val="000626DC"/>
    <w:rsid w:val="00062AFF"/>
    <w:rsid w:val="00062FB3"/>
    <w:rsid w:val="000631D1"/>
    <w:rsid w:val="00063880"/>
    <w:rsid w:val="000638C9"/>
    <w:rsid w:val="000639A5"/>
    <w:rsid w:val="00063BB7"/>
    <w:rsid w:val="00064431"/>
    <w:rsid w:val="0006475F"/>
    <w:rsid w:val="00064794"/>
    <w:rsid w:val="0006494A"/>
    <w:rsid w:val="00064F15"/>
    <w:rsid w:val="00064F6C"/>
    <w:rsid w:val="00065121"/>
    <w:rsid w:val="000656DA"/>
    <w:rsid w:val="000661AE"/>
    <w:rsid w:val="000661B5"/>
    <w:rsid w:val="00066546"/>
    <w:rsid w:val="00066811"/>
    <w:rsid w:val="00066A58"/>
    <w:rsid w:val="000673C9"/>
    <w:rsid w:val="0006758F"/>
    <w:rsid w:val="0006778E"/>
    <w:rsid w:val="0006793F"/>
    <w:rsid w:val="00067ACF"/>
    <w:rsid w:val="00067C2A"/>
    <w:rsid w:val="00067C87"/>
    <w:rsid w:val="00067DAF"/>
    <w:rsid w:val="000700D8"/>
    <w:rsid w:val="000704F7"/>
    <w:rsid w:val="00070C9D"/>
    <w:rsid w:val="00071638"/>
    <w:rsid w:val="00071BA4"/>
    <w:rsid w:val="00071E39"/>
    <w:rsid w:val="000724AF"/>
    <w:rsid w:val="0007291F"/>
    <w:rsid w:val="000729FF"/>
    <w:rsid w:val="00072A21"/>
    <w:rsid w:val="00072B75"/>
    <w:rsid w:val="00072BC7"/>
    <w:rsid w:val="00072CD3"/>
    <w:rsid w:val="00072CE4"/>
    <w:rsid w:val="00073204"/>
    <w:rsid w:val="000735F4"/>
    <w:rsid w:val="00073A41"/>
    <w:rsid w:val="00073D8B"/>
    <w:rsid w:val="00073DB7"/>
    <w:rsid w:val="00074050"/>
    <w:rsid w:val="000747F6"/>
    <w:rsid w:val="000748B4"/>
    <w:rsid w:val="00074A87"/>
    <w:rsid w:val="00074B9A"/>
    <w:rsid w:val="00074C95"/>
    <w:rsid w:val="0007512D"/>
    <w:rsid w:val="00075455"/>
    <w:rsid w:val="000754CB"/>
    <w:rsid w:val="00075720"/>
    <w:rsid w:val="000759FF"/>
    <w:rsid w:val="00075AEA"/>
    <w:rsid w:val="000761EA"/>
    <w:rsid w:val="0007625C"/>
    <w:rsid w:val="000766A6"/>
    <w:rsid w:val="0007680F"/>
    <w:rsid w:val="00076849"/>
    <w:rsid w:val="00076918"/>
    <w:rsid w:val="00076C28"/>
    <w:rsid w:val="00076C98"/>
    <w:rsid w:val="00077A5E"/>
    <w:rsid w:val="00077DBE"/>
    <w:rsid w:val="00080127"/>
    <w:rsid w:val="000805B1"/>
    <w:rsid w:val="00080749"/>
    <w:rsid w:val="0008090F"/>
    <w:rsid w:val="00080B2F"/>
    <w:rsid w:val="00080DC5"/>
    <w:rsid w:val="00080EE6"/>
    <w:rsid w:val="00081052"/>
    <w:rsid w:val="00081070"/>
    <w:rsid w:val="00081189"/>
    <w:rsid w:val="000812B5"/>
    <w:rsid w:val="000812CD"/>
    <w:rsid w:val="000814E1"/>
    <w:rsid w:val="00081B31"/>
    <w:rsid w:val="00081E30"/>
    <w:rsid w:val="00081F36"/>
    <w:rsid w:val="0008237C"/>
    <w:rsid w:val="00082409"/>
    <w:rsid w:val="00082616"/>
    <w:rsid w:val="00082627"/>
    <w:rsid w:val="00082A44"/>
    <w:rsid w:val="00082D07"/>
    <w:rsid w:val="00082D3B"/>
    <w:rsid w:val="000835A6"/>
    <w:rsid w:val="00083705"/>
    <w:rsid w:val="000839E1"/>
    <w:rsid w:val="00083B2B"/>
    <w:rsid w:val="00083BE7"/>
    <w:rsid w:val="00083FE3"/>
    <w:rsid w:val="00084039"/>
    <w:rsid w:val="000848A3"/>
    <w:rsid w:val="000848F1"/>
    <w:rsid w:val="000849F5"/>
    <w:rsid w:val="00084A27"/>
    <w:rsid w:val="00084D67"/>
    <w:rsid w:val="00085395"/>
    <w:rsid w:val="000853DA"/>
    <w:rsid w:val="000856FB"/>
    <w:rsid w:val="00085706"/>
    <w:rsid w:val="0008603A"/>
    <w:rsid w:val="0008603B"/>
    <w:rsid w:val="00086304"/>
    <w:rsid w:val="0008682F"/>
    <w:rsid w:val="000868F5"/>
    <w:rsid w:val="00086AFA"/>
    <w:rsid w:val="00086BF7"/>
    <w:rsid w:val="00086C50"/>
    <w:rsid w:val="00086D39"/>
    <w:rsid w:val="00086DA2"/>
    <w:rsid w:val="00086E23"/>
    <w:rsid w:val="00086ED3"/>
    <w:rsid w:val="0008708C"/>
    <w:rsid w:val="00087443"/>
    <w:rsid w:val="00087A1A"/>
    <w:rsid w:val="00087F05"/>
    <w:rsid w:val="000904D8"/>
    <w:rsid w:val="000908D6"/>
    <w:rsid w:val="00090C17"/>
    <w:rsid w:val="00090CA2"/>
    <w:rsid w:val="00091013"/>
    <w:rsid w:val="000917D3"/>
    <w:rsid w:val="00091ACA"/>
    <w:rsid w:val="00091AFA"/>
    <w:rsid w:val="00091BDF"/>
    <w:rsid w:val="000922C1"/>
    <w:rsid w:val="00092343"/>
    <w:rsid w:val="000924BC"/>
    <w:rsid w:val="0009254A"/>
    <w:rsid w:val="00093050"/>
    <w:rsid w:val="000940C4"/>
    <w:rsid w:val="00094459"/>
    <w:rsid w:val="0009456D"/>
    <w:rsid w:val="00094820"/>
    <w:rsid w:val="00095235"/>
    <w:rsid w:val="00095879"/>
    <w:rsid w:val="00095958"/>
    <w:rsid w:val="00095DEE"/>
    <w:rsid w:val="00095ECD"/>
    <w:rsid w:val="000971CA"/>
    <w:rsid w:val="000971F6"/>
    <w:rsid w:val="0009724C"/>
    <w:rsid w:val="00097261"/>
    <w:rsid w:val="000973BC"/>
    <w:rsid w:val="00097997"/>
    <w:rsid w:val="00097E04"/>
    <w:rsid w:val="000A0007"/>
    <w:rsid w:val="000A003E"/>
    <w:rsid w:val="000A0079"/>
    <w:rsid w:val="000A0288"/>
    <w:rsid w:val="000A057E"/>
    <w:rsid w:val="000A0C40"/>
    <w:rsid w:val="000A0E07"/>
    <w:rsid w:val="000A0EA2"/>
    <w:rsid w:val="000A0F73"/>
    <w:rsid w:val="000A1135"/>
    <w:rsid w:val="000A18A7"/>
    <w:rsid w:val="000A1B19"/>
    <w:rsid w:val="000A1C9C"/>
    <w:rsid w:val="000A1CD8"/>
    <w:rsid w:val="000A1E2A"/>
    <w:rsid w:val="000A207F"/>
    <w:rsid w:val="000A254C"/>
    <w:rsid w:val="000A26AC"/>
    <w:rsid w:val="000A3345"/>
    <w:rsid w:val="000A34A4"/>
    <w:rsid w:val="000A3DAC"/>
    <w:rsid w:val="000A3F19"/>
    <w:rsid w:val="000A3F9C"/>
    <w:rsid w:val="000A4805"/>
    <w:rsid w:val="000A480B"/>
    <w:rsid w:val="000A496B"/>
    <w:rsid w:val="000A4BA5"/>
    <w:rsid w:val="000A4C0C"/>
    <w:rsid w:val="000A548F"/>
    <w:rsid w:val="000A5E5C"/>
    <w:rsid w:val="000A6585"/>
    <w:rsid w:val="000A77F3"/>
    <w:rsid w:val="000A7B41"/>
    <w:rsid w:val="000A7B87"/>
    <w:rsid w:val="000A7CB7"/>
    <w:rsid w:val="000A7ED8"/>
    <w:rsid w:val="000B003F"/>
    <w:rsid w:val="000B021E"/>
    <w:rsid w:val="000B0934"/>
    <w:rsid w:val="000B0981"/>
    <w:rsid w:val="000B0A2D"/>
    <w:rsid w:val="000B0E6E"/>
    <w:rsid w:val="000B0F2D"/>
    <w:rsid w:val="000B1305"/>
    <w:rsid w:val="000B16C1"/>
    <w:rsid w:val="000B1A12"/>
    <w:rsid w:val="000B1EFE"/>
    <w:rsid w:val="000B278E"/>
    <w:rsid w:val="000B282D"/>
    <w:rsid w:val="000B2A91"/>
    <w:rsid w:val="000B2FA6"/>
    <w:rsid w:val="000B31F3"/>
    <w:rsid w:val="000B39F8"/>
    <w:rsid w:val="000B3F9B"/>
    <w:rsid w:val="000B4594"/>
    <w:rsid w:val="000B4F55"/>
    <w:rsid w:val="000B524B"/>
    <w:rsid w:val="000B5864"/>
    <w:rsid w:val="000B58B0"/>
    <w:rsid w:val="000B5BDB"/>
    <w:rsid w:val="000B5D89"/>
    <w:rsid w:val="000B6151"/>
    <w:rsid w:val="000B620A"/>
    <w:rsid w:val="000B68FE"/>
    <w:rsid w:val="000B6910"/>
    <w:rsid w:val="000B6DE6"/>
    <w:rsid w:val="000B6ECB"/>
    <w:rsid w:val="000B70AC"/>
    <w:rsid w:val="000B7304"/>
    <w:rsid w:val="000B76D7"/>
    <w:rsid w:val="000B784E"/>
    <w:rsid w:val="000B7AC3"/>
    <w:rsid w:val="000B7C48"/>
    <w:rsid w:val="000B7DF1"/>
    <w:rsid w:val="000B7E5E"/>
    <w:rsid w:val="000B7EA3"/>
    <w:rsid w:val="000B7EBA"/>
    <w:rsid w:val="000C01AA"/>
    <w:rsid w:val="000C04C6"/>
    <w:rsid w:val="000C0DC4"/>
    <w:rsid w:val="000C1632"/>
    <w:rsid w:val="000C1C34"/>
    <w:rsid w:val="000C20D1"/>
    <w:rsid w:val="000C20D5"/>
    <w:rsid w:val="000C22D8"/>
    <w:rsid w:val="000C2395"/>
    <w:rsid w:val="000C24CB"/>
    <w:rsid w:val="000C2828"/>
    <w:rsid w:val="000C2987"/>
    <w:rsid w:val="000C2A62"/>
    <w:rsid w:val="000C2BC6"/>
    <w:rsid w:val="000C2DF0"/>
    <w:rsid w:val="000C2FB1"/>
    <w:rsid w:val="000C30C5"/>
    <w:rsid w:val="000C31F8"/>
    <w:rsid w:val="000C36F6"/>
    <w:rsid w:val="000C382F"/>
    <w:rsid w:val="000C3A36"/>
    <w:rsid w:val="000C3B32"/>
    <w:rsid w:val="000C3C79"/>
    <w:rsid w:val="000C3E5E"/>
    <w:rsid w:val="000C474D"/>
    <w:rsid w:val="000C4B73"/>
    <w:rsid w:val="000C5659"/>
    <w:rsid w:val="000C5823"/>
    <w:rsid w:val="000C5A89"/>
    <w:rsid w:val="000C65ED"/>
    <w:rsid w:val="000C6D01"/>
    <w:rsid w:val="000C6F6C"/>
    <w:rsid w:val="000C7E79"/>
    <w:rsid w:val="000D0004"/>
    <w:rsid w:val="000D00E1"/>
    <w:rsid w:val="000D037C"/>
    <w:rsid w:val="000D0558"/>
    <w:rsid w:val="000D153D"/>
    <w:rsid w:val="000D195C"/>
    <w:rsid w:val="000D1E1D"/>
    <w:rsid w:val="000D2060"/>
    <w:rsid w:val="000D2723"/>
    <w:rsid w:val="000D2B18"/>
    <w:rsid w:val="000D2B58"/>
    <w:rsid w:val="000D31CF"/>
    <w:rsid w:val="000D3CB9"/>
    <w:rsid w:val="000D3DEB"/>
    <w:rsid w:val="000D4469"/>
    <w:rsid w:val="000D469F"/>
    <w:rsid w:val="000D4E02"/>
    <w:rsid w:val="000D50EE"/>
    <w:rsid w:val="000D52F3"/>
    <w:rsid w:val="000D5644"/>
    <w:rsid w:val="000D568F"/>
    <w:rsid w:val="000D5A7E"/>
    <w:rsid w:val="000D5AEB"/>
    <w:rsid w:val="000D659E"/>
    <w:rsid w:val="000D6A33"/>
    <w:rsid w:val="000D6F86"/>
    <w:rsid w:val="000D6FBB"/>
    <w:rsid w:val="000D7718"/>
    <w:rsid w:val="000D7810"/>
    <w:rsid w:val="000E0177"/>
    <w:rsid w:val="000E0290"/>
    <w:rsid w:val="000E03BA"/>
    <w:rsid w:val="000E0831"/>
    <w:rsid w:val="000E08EA"/>
    <w:rsid w:val="000E09FE"/>
    <w:rsid w:val="000E1028"/>
    <w:rsid w:val="000E1215"/>
    <w:rsid w:val="000E156D"/>
    <w:rsid w:val="000E2007"/>
    <w:rsid w:val="000E2102"/>
    <w:rsid w:val="000E2292"/>
    <w:rsid w:val="000E273C"/>
    <w:rsid w:val="000E2C23"/>
    <w:rsid w:val="000E2F9B"/>
    <w:rsid w:val="000E362B"/>
    <w:rsid w:val="000E36BE"/>
    <w:rsid w:val="000E3FF7"/>
    <w:rsid w:val="000E41D3"/>
    <w:rsid w:val="000E4B96"/>
    <w:rsid w:val="000E4BB7"/>
    <w:rsid w:val="000E4E13"/>
    <w:rsid w:val="000E4E81"/>
    <w:rsid w:val="000E4F4E"/>
    <w:rsid w:val="000E51FC"/>
    <w:rsid w:val="000E5717"/>
    <w:rsid w:val="000E591C"/>
    <w:rsid w:val="000E5DD8"/>
    <w:rsid w:val="000E5EAA"/>
    <w:rsid w:val="000E5FD8"/>
    <w:rsid w:val="000E659F"/>
    <w:rsid w:val="000E673F"/>
    <w:rsid w:val="000E6B67"/>
    <w:rsid w:val="000F017F"/>
    <w:rsid w:val="000F0287"/>
    <w:rsid w:val="000F05A2"/>
    <w:rsid w:val="000F085D"/>
    <w:rsid w:val="000F0DA1"/>
    <w:rsid w:val="000F1126"/>
    <w:rsid w:val="000F1224"/>
    <w:rsid w:val="000F1589"/>
    <w:rsid w:val="000F1806"/>
    <w:rsid w:val="000F1B26"/>
    <w:rsid w:val="000F1BE0"/>
    <w:rsid w:val="000F1E4E"/>
    <w:rsid w:val="000F2703"/>
    <w:rsid w:val="000F2A06"/>
    <w:rsid w:val="000F2AF5"/>
    <w:rsid w:val="000F2E0F"/>
    <w:rsid w:val="000F3037"/>
    <w:rsid w:val="000F3335"/>
    <w:rsid w:val="000F3366"/>
    <w:rsid w:val="000F33AE"/>
    <w:rsid w:val="000F34CF"/>
    <w:rsid w:val="000F35AC"/>
    <w:rsid w:val="000F3A2A"/>
    <w:rsid w:val="000F3AD5"/>
    <w:rsid w:val="000F3EC8"/>
    <w:rsid w:val="000F424A"/>
    <w:rsid w:val="000F4606"/>
    <w:rsid w:val="000F4F66"/>
    <w:rsid w:val="000F5463"/>
    <w:rsid w:val="000F6031"/>
    <w:rsid w:val="000F60BE"/>
    <w:rsid w:val="000F658F"/>
    <w:rsid w:val="000F6B38"/>
    <w:rsid w:val="000F6E33"/>
    <w:rsid w:val="000F7000"/>
    <w:rsid w:val="000F737C"/>
    <w:rsid w:val="000F756E"/>
    <w:rsid w:val="000F788F"/>
    <w:rsid w:val="000F7D84"/>
    <w:rsid w:val="000F7EE0"/>
    <w:rsid w:val="00100590"/>
    <w:rsid w:val="00100831"/>
    <w:rsid w:val="00100BFB"/>
    <w:rsid w:val="00100DAD"/>
    <w:rsid w:val="00100DFD"/>
    <w:rsid w:val="0010134C"/>
    <w:rsid w:val="001014A8"/>
    <w:rsid w:val="00102BBB"/>
    <w:rsid w:val="00102E0F"/>
    <w:rsid w:val="00102EC1"/>
    <w:rsid w:val="00103586"/>
    <w:rsid w:val="0010383E"/>
    <w:rsid w:val="00103848"/>
    <w:rsid w:val="00103960"/>
    <w:rsid w:val="00103B4C"/>
    <w:rsid w:val="00103FE0"/>
    <w:rsid w:val="0010492A"/>
    <w:rsid w:val="00104BD4"/>
    <w:rsid w:val="00104CBB"/>
    <w:rsid w:val="00104D0D"/>
    <w:rsid w:val="00104D1E"/>
    <w:rsid w:val="00104D74"/>
    <w:rsid w:val="001051A9"/>
    <w:rsid w:val="001052FA"/>
    <w:rsid w:val="00105459"/>
    <w:rsid w:val="001058E4"/>
    <w:rsid w:val="00105B1D"/>
    <w:rsid w:val="00106037"/>
    <w:rsid w:val="00106289"/>
    <w:rsid w:val="001062E0"/>
    <w:rsid w:val="00106653"/>
    <w:rsid w:val="00106E1B"/>
    <w:rsid w:val="00107275"/>
    <w:rsid w:val="00107412"/>
    <w:rsid w:val="001076B2"/>
    <w:rsid w:val="001078BA"/>
    <w:rsid w:val="00107960"/>
    <w:rsid w:val="00107B1E"/>
    <w:rsid w:val="0011062B"/>
    <w:rsid w:val="00110685"/>
    <w:rsid w:val="001107C9"/>
    <w:rsid w:val="00110968"/>
    <w:rsid w:val="00110A9F"/>
    <w:rsid w:val="00110BD7"/>
    <w:rsid w:val="00110CDA"/>
    <w:rsid w:val="00110FC0"/>
    <w:rsid w:val="00111398"/>
    <w:rsid w:val="001115FF"/>
    <w:rsid w:val="001116A0"/>
    <w:rsid w:val="00111DB7"/>
    <w:rsid w:val="001122C2"/>
    <w:rsid w:val="0011268C"/>
    <w:rsid w:val="0011274E"/>
    <w:rsid w:val="00113274"/>
    <w:rsid w:val="0011338F"/>
    <w:rsid w:val="00113F14"/>
    <w:rsid w:val="001140D5"/>
    <w:rsid w:val="0011432C"/>
    <w:rsid w:val="00114657"/>
    <w:rsid w:val="001158D7"/>
    <w:rsid w:val="001158F3"/>
    <w:rsid w:val="00115C23"/>
    <w:rsid w:val="00115C93"/>
    <w:rsid w:val="00116076"/>
    <w:rsid w:val="00116182"/>
    <w:rsid w:val="001162A9"/>
    <w:rsid w:val="00116487"/>
    <w:rsid w:val="001164A3"/>
    <w:rsid w:val="001169BD"/>
    <w:rsid w:val="00117029"/>
    <w:rsid w:val="001206EA"/>
    <w:rsid w:val="00120C52"/>
    <w:rsid w:val="00120D10"/>
    <w:rsid w:val="001213E5"/>
    <w:rsid w:val="00121611"/>
    <w:rsid w:val="00121A4E"/>
    <w:rsid w:val="00121CF2"/>
    <w:rsid w:val="00121F90"/>
    <w:rsid w:val="00122369"/>
    <w:rsid w:val="00122570"/>
    <w:rsid w:val="0012270D"/>
    <w:rsid w:val="00122A99"/>
    <w:rsid w:val="00122BF5"/>
    <w:rsid w:val="00122BFC"/>
    <w:rsid w:val="00122D0A"/>
    <w:rsid w:val="00122F0D"/>
    <w:rsid w:val="0012318B"/>
    <w:rsid w:val="0012323D"/>
    <w:rsid w:val="0012328A"/>
    <w:rsid w:val="00123713"/>
    <w:rsid w:val="00123A43"/>
    <w:rsid w:val="00123DE1"/>
    <w:rsid w:val="00123E63"/>
    <w:rsid w:val="001241A6"/>
    <w:rsid w:val="001245FE"/>
    <w:rsid w:val="00124E31"/>
    <w:rsid w:val="00125140"/>
    <w:rsid w:val="0012560B"/>
    <w:rsid w:val="001256FD"/>
    <w:rsid w:val="00125C41"/>
    <w:rsid w:val="00125D0F"/>
    <w:rsid w:val="00125F64"/>
    <w:rsid w:val="0012621A"/>
    <w:rsid w:val="00126524"/>
    <w:rsid w:val="00126E1C"/>
    <w:rsid w:val="0012721A"/>
    <w:rsid w:val="001273E3"/>
    <w:rsid w:val="00127987"/>
    <w:rsid w:val="00127C44"/>
    <w:rsid w:val="00127E66"/>
    <w:rsid w:val="00127FF2"/>
    <w:rsid w:val="00127FF5"/>
    <w:rsid w:val="00130234"/>
    <w:rsid w:val="001303F3"/>
    <w:rsid w:val="00130521"/>
    <w:rsid w:val="00130B87"/>
    <w:rsid w:val="00130CD4"/>
    <w:rsid w:val="00131048"/>
    <w:rsid w:val="001313C7"/>
    <w:rsid w:val="001314BB"/>
    <w:rsid w:val="001314C0"/>
    <w:rsid w:val="001315E3"/>
    <w:rsid w:val="00131B9B"/>
    <w:rsid w:val="001324B8"/>
    <w:rsid w:val="0013256A"/>
    <w:rsid w:val="001325C9"/>
    <w:rsid w:val="00132D1F"/>
    <w:rsid w:val="00132D57"/>
    <w:rsid w:val="0013320D"/>
    <w:rsid w:val="001337DA"/>
    <w:rsid w:val="0013395B"/>
    <w:rsid w:val="00133A4D"/>
    <w:rsid w:val="00133B48"/>
    <w:rsid w:val="00133DB5"/>
    <w:rsid w:val="00133F41"/>
    <w:rsid w:val="0013420C"/>
    <w:rsid w:val="0013458C"/>
    <w:rsid w:val="001347C7"/>
    <w:rsid w:val="00134A4F"/>
    <w:rsid w:val="00134F8A"/>
    <w:rsid w:val="00135133"/>
    <w:rsid w:val="001351DF"/>
    <w:rsid w:val="001356F4"/>
    <w:rsid w:val="001358E2"/>
    <w:rsid w:val="00136000"/>
    <w:rsid w:val="001364FD"/>
    <w:rsid w:val="001365B2"/>
    <w:rsid w:val="001368F9"/>
    <w:rsid w:val="00136929"/>
    <w:rsid w:val="00136A6D"/>
    <w:rsid w:val="00136BB7"/>
    <w:rsid w:val="00136E0F"/>
    <w:rsid w:val="001370F4"/>
    <w:rsid w:val="001374C2"/>
    <w:rsid w:val="00137991"/>
    <w:rsid w:val="00137DC4"/>
    <w:rsid w:val="00137DE2"/>
    <w:rsid w:val="00140551"/>
    <w:rsid w:val="00140B30"/>
    <w:rsid w:val="00140E0C"/>
    <w:rsid w:val="00141B47"/>
    <w:rsid w:val="00141C8D"/>
    <w:rsid w:val="00141DC7"/>
    <w:rsid w:val="001423DB"/>
    <w:rsid w:val="00142DFC"/>
    <w:rsid w:val="00142E38"/>
    <w:rsid w:val="001433A9"/>
    <w:rsid w:val="001435CE"/>
    <w:rsid w:val="0014375C"/>
    <w:rsid w:val="0014385F"/>
    <w:rsid w:val="00143C90"/>
    <w:rsid w:val="00143CE8"/>
    <w:rsid w:val="00144168"/>
    <w:rsid w:val="00144465"/>
    <w:rsid w:val="00144B4A"/>
    <w:rsid w:val="00144C4D"/>
    <w:rsid w:val="00145835"/>
    <w:rsid w:val="0014599C"/>
    <w:rsid w:val="00145A44"/>
    <w:rsid w:val="00145C95"/>
    <w:rsid w:val="00145EE1"/>
    <w:rsid w:val="001473F5"/>
    <w:rsid w:val="001477AE"/>
    <w:rsid w:val="00147A3A"/>
    <w:rsid w:val="00147B59"/>
    <w:rsid w:val="00147B7E"/>
    <w:rsid w:val="00147BBD"/>
    <w:rsid w:val="00147C96"/>
    <w:rsid w:val="00147FA3"/>
    <w:rsid w:val="0015042B"/>
    <w:rsid w:val="001506E7"/>
    <w:rsid w:val="00150EA8"/>
    <w:rsid w:val="00151E76"/>
    <w:rsid w:val="001524C0"/>
    <w:rsid w:val="0015276E"/>
    <w:rsid w:val="00152A08"/>
    <w:rsid w:val="00152A4A"/>
    <w:rsid w:val="00152BEB"/>
    <w:rsid w:val="00152C62"/>
    <w:rsid w:val="00152D5C"/>
    <w:rsid w:val="00152E2F"/>
    <w:rsid w:val="00153264"/>
    <w:rsid w:val="00153334"/>
    <w:rsid w:val="001535FE"/>
    <w:rsid w:val="001547A5"/>
    <w:rsid w:val="0015494A"/>
    <w:rsid w:val="00154983"/>
    <w:rsid w:val="00154B02"/>
    <w:rsid w:val="00154B76"/>
    <w:rsid w:val="00154B8B"/>
    <w:rsid w:val="00154D74"/>
    <w:rsid w:val="00154EC3"/>
    <w:rsid w:val="0015557E"/>
    <w:rsid w:val="00155A87"/>
    <w:rsid w:val="00155DF4"/>
    <w:rsid w:val="00155EF6"/>
    <w:rsid w:val="001561A5"/>
    <w:rsid w:val="00156287"/>
    <w:rsid w:val="00156487"/>
    <w:rsid w:val="00156669"/>
    <w:rsid w:val="00156952"/>
    <w:rsid w:val="00156958"/>
    <w:rsid w:val="00156FA5"/>
    <w:rsid w:val="0015729F"/>
    <w:rsid w:val="001572CD"/>
    <w:rsid w:val="001573D4"/>
    <w:rsid w:val="00157428"/>
    <w:rsid w:val="00157429"/>
    <w:rsid w:val="00157632"/>
    <w:rsid w:val="00157901"/>
    <w:rsid w:val="00157A5B"/>
    <w:rsid w:val="00157AA8"/>
    <w:rsid w:val="00157CC1"/>
    <w:rsid w:val="00160070"/>
    <w:rsid w:val="001600B0"/>
    <w:rsid w:val="00160211"/>
    <w:rsid w:val="001602A7"/>
    <w:rsid w:val="001603A4"/>
    <w:rsid w:val="0016058B"/>
    <w:rsid w:val="00160926"/>
    <w:rsid w:val="0016095B"/>
    <w:rsid w:val="00160A5E"/>
    <w:rsid w:val="00160AA9"/>
    <w:rsid w:val="00160B21"/>
    <w:rsid w:val="00160FEA"/>
    <w:rsid w:val="00161FA3"/>
    <w:rsid w:val="00162035"/>
    <w:rsid w:val="001621D3"/>
    <w:rsid w:val="001623DC"/>
    <w:rsid w:val="00162A8C"/>
    <w:rsid w:val="00162B82"/>
    <w:rsid w:val="00163219"/>
    <w:rsid w:val="001634C1"/>
    <w:rsid w:val="00163AB7"/>
    <w:rsid w:val="0016440D"/>
    <w:rsid w:val="00164476"/>
    <w:rsid w:val="00164929"/>
    <w:rsid w:val="00164FDE"/>
    <w:rsid w:val="0016511C"/>
    <w:rsid w:val="001656F2"/>
    <w:rsid w:val="00165826"/>
    <w:rsid w:val="0016610C"/>
    <w:rsid w:val="00166482"/>
    <w:rsid w:val="00166A66"/>
    <w:rsid w:val="00166B5E"/>
    <w:rsid w:val="00166FC5"/>
    <w:rsid w:val="00166FEB"/>
    <w:rsid w:val="00167039"/>
    <w:rsid w:val="001671DA"/>
    <w:rsid w:val="001672F8"/>
    <w:rsid w:val="001674C2"/>
    <w:rsid w:val="001675B8"/>
    <w:rsid w:val="00167F46"/>
    <w:rsid w:val="001708D5"/>
    <w:rsid w:val="00170DE3"/>
    <w:rsid w:val="00171296"/>
    <w:rsid w:val="001712E1"/>
    <w:rsid w:val="00171511"/>
    <w:rsid w:val="0017157D"/>
    <w:rsid w:val="001716D1"/>
    <w:rsid w:val="00171874"/>
    <w:rsid w:val="0017236C"/>
    <w:rsid w:val="001723CB"/>
    <w:rsid w:val="001729F8"/>
    <w:rsid w:val="00172BD5"/>
    <w:rsid w:val="001731D1"/>
    <w:rsid w:val="0017333D"/>
    <w:rsid w:val="00173490"/>
    <w:rsid w:val="0017353D"/>
    <w:rsid w:val="00173740"/>
    <w:rsid w:val="00173C47"/>
    <w:rsid w:val="00173F56"/>
    <w:rsid w:val="0017406C"/>
    <w:rsid w:val="0017420D"/>
    <w:rsid w:val="00174B2F"/>
    <w:rsid w:val="00174C67"/>
    <w:rsid w:val="00174D99"/>
    <w:rsid w:val="00174ED0"/>
    <w:rsid w:val="00174F36"/>
    <w:rsid w:val="001751D1"/>
    <w:rsid w:val="0017550C"/>
    <w:rsid w:val="00175885"/>
    <w:rsid w:val="001758FF"/>
    <w:rsid w:val="001759C1"/>
    <w:rsid w:val="00175C40"/>
    <w:rsid w:val="00175EF0"/>
    <w:rsid w:val="00176598"/>
    <w:rsid w:val="001766FB"/>
    <w:rsid w:val="00176827"/>
    <w:rsid w:val="00176D0A"/>
    <w:rsid w:val="00177196"/>
    <w:rsid w:val="001771FA"/>
    <w:rsid w:val="001775B0"/>
    <w:rsid w:val="001778C3"/>
    <w:rsid w:val="00180370"/>
    <w:rsid w:val="00180AC9"/>
    <w:rsid w:val="00180E2B"/>
    <w:rsid w:val="00180FFA"/>
    <w:rsid w:val="0018184E"/>
    <w:rsid w:val="00181B83"/>
    <w:rsid w:val="00181DCC"/>
    <w:rsid w:val="00182C4C"/>
    <w:rsid w:val="00182CC9"/>
    <w:rsid w:val="00182CD9"/>
    <w:rsid w:val="00183453"/>
    <w:rsid w:val="001835D7"/>
    <w:rsid w:val="001839B2"/>
    <w:rsid w:val="00183C3D"/>
    <w:rsid w:val="00184387"/>
    <w:rsid w:val="00184468"/>
    <w:rsid w:val="00184606"/>
    <w:rsid w:val="00184983"/>
    <w:rsid w:val="00184A59"/>
    <w:rsid w:val="00184E19"/>
    <w:rsid w:val="0018507F"/>
    <w:rsid w:val="0018513C"/>
    <w:rsid w:val="0018531D"/>
    <w:rsid w:val="0018573B"/>
    <w:rsid w:val="001858CD"/>
    <w:rsid w:val="00186220"/>
    <w:rsid w:val="001862F1"/>
    <w:rsid w:val="001863B5"/>
    <w:rsid w:val="001865EB"/>
    <w:rsid w:val="00186732"/>
    <w:rsid w:val="0019003B"/>
    <w:rsid w:val="0019024A"/>
    <w:rsid w:val="001904E2"/>
    <w:rsid w:val="001904E6"/>
    <w:rsid w:val="00190CEF"/>
    <w:rsid w:val="001910D4"/>
    <w:rsid w:val="00191445"/>
    <w:rsid w:val="00191F14"/>
    <w:rsid w:val="00191FCC"/>
    <w:rsid w:val="00192269"/>
    <w:rsid w:val="00192578"/>
    <w:rsid w:val="001925D9"/>
    <w:rsid w:val="00192622"/>
    <w:rsid w:val="001932A6"/>
    <w:rsid w:val="00193E76"/>
    <w:rsid w:val="0019407A"/>
    <w:rsid w:val="0019447E"/>
    <w:rsid w:val="001944B3"/>
    <w:rsid w:val="00194BC7"/>
    <w:rsid w:val="00195014"/>
    <w:rsid w:val="0019519D"/>
    <w:rsid w:val="00195439"/>
    <w:rsid w:val="00195747"/>
    <w:rsid w:val="00195800"/>
    <w:rsid w:val="00195C52"/>
    <w:rsid w:val="00195CBD"/>
    <w:rsid w:val="00195D98"/>
    <w:rsid w:val="0019673D"/>
    <w:rsid w:val="00196F9F"/>
    <w:rsid w:val="0019706F"/>
    <w:rsid w:val="00197117"/>
    <w:rsid w:val="001971DD"/>
    <w:rsid w:val="00197717"/>
    <w:rsid w:val="00197D6A"/>
    <w:rsid w:val="001A0150"/>
    <w:rsid w:val="001A02CD"/>
    <w:rsid w:val="001A0427"/>
    <w:rsid w:val="001A0636"/>
    <w:rsid w:val="001A06CC"/>
    <w:rsid w:val="001A0868"/>
    <w:rsid w:val="001A0B0E"/>
    <w:rsid w:val="001A0D04"/>
    <w:rsid w:val="001A0E4D"/>
    <w:rsid w:val="001A12D9"/>
    <w:rsid w:val="001A14D2"/>
    <w:rsid w:val="001A159E"/>
    <w:rsid w:val="001A1B95"/>
    <w:rsid w:val="001A214A"/>
    <w:rsid w:val="001A25D0"/>
    <w:rsid w:val="001A263B"/>
    <w:rsid w:val="001A2887"/>
    <w:rsid w:val="001A2E1E"/>
    <w:rsid w:val="001A2F82"/>
    <w:rsid w:val="001A3437"/>
    <w:rsid w:val="001A3786"/>
    <w:rsid w:val="001A396A"/>
    <w:rsid w:val="001A4753"/>
    <w:rsid w:val="001A4A93"/>
    <w:rsid w:val="001A4EC9"/>
    <w:rsid w:val="001A4EE8"/>
    <w:rsid w:val="001A56DD"/>
    <w:rsid w:val="001A5D56"/>
    <w:rsid w:val="001A6039"/>
    <w:rsid w:val="001A6A52"/>
    <w:rsid w:val="001A6D59"/>
    <w:rsid w:val="001A77FA"/>
    <w:rsid w:val="001A78E1"/>
    <w:rsid w:val="001A7BC2"/>
    <w:rsid w:val="001A7BE7"/>
    <w:rsid w:val="001A7EAD"/>
    <w:rsid w:val="001B079A"/>
    <w:rsid w:val="001B0B08"/>
    <w:rsid w:val="001B0BC7"/>
    <w:rsid w:val="001B0C75"/>
    <w:rsid w:val="001B11D8"/>
    <w:rsid w:val="001B1201"/>
    <w:rsid w:val="001B1313"/>
    <w:rsid w:val="001B13CE"/>
    <w:rsid w:val="001B14A4"/>
    <w:rsid w:val="001B177E"/>
    <w:rsid w:val="001B1A43"/>
    <w:rsid w:val="001B2072"/>
    <w:rsid w:val="001B20D5"/>
    <w:rsid w:val="001B35C0"/>
    <w:rsid w:val="001B3FCC"/>
    <w:rsid w:val="001B4B72"/>
    <w:rsid w:val="001B4FE7"/>
    <w:rsid w:val="001B52B7"/>
    <w:rsid w:val="001B5734"/>
    <w:rsid w:val="001B57A3"/>
    <w:rsid w:val="001B5CB0"/>
    <w:rsid w:val="001B6050"/>
    <w:rsid w:val="001B67D1"/>
    <w:rsid w:val="001B6A7D"/>
    <w:rsid w:val="001B6CED"/>
    <w:rsid w:val="001B6DC4"/>
    <w:rsid w:val="001B70FB"/>
    <w:rsid w:val="001B7147"/>
    <w:rsid w:val="001B77BD"/>
    <w:rsid w:val="001B7F76"/>
    <w:rsid w:val="001B7FC8"/>
    <w:rsid w:val="001C017E"/>
    <w:rsid w:val="001C0332"/>
    <w:rsid w:val="001C07A3"/>
    <w:rsid w:val="001C098D"/>
    <w:rsid w:val="001C0D51"/>
    <w:rsid w:val="001C1823"/>
    <w:rsid w:val="001C1881"/>
    <w:rsid w:val="001C1BED"/>
    <w:rsid w:val="001C22F6"/>
    <w:rsid w:val="001C2650"/>
    <w:rsid w:val="001C2B09"/>
    <w:rsid w:val="001C2C4B"/>
    <w:rsid w:val="001C32B7"/>
    <w:rsid w:val="001C34B7"/>
    <w:rsid w:val="001C3D70"/>
    <w:rsid w:val="001C4048"/>
    <w:rsid w:val="001C4145"/>
    <w:rsid w:val="001C41C5"/>
    <w:rsid w:val="001C4270"/>
    <w:rsid w:val="001C42E9"/>
    <w:rsid w:val="001C44A5"/>
    <w:rsid w:val="001C452C"/>
    <w:rsid w:val="001C460C"/>
    <w:rsid w:val="001C481F"/>
    <w:rsid w:val="001C4C12"/>
    <w:rsid w:val="001C5017"/>
    <w:rsid w:val="001C5294"/>
    <w:rsid w:val="001C551A"/>
    <w:rsid w:val="001C5F5A"/>
    <w:rsid w:val="001C6084"/>
    <w:rsid w:val="001C63D5"/>
    <w:rsid w:val="001C6D30"/>
    <w:rsid w:val="001C7001"/>
    <w:rsid w:val="001C72E3"/>
    <w:rsid w:val="001C737C"/>
    <w:rsid w:val="001C7AA2"/>
    <w:rsid w:val="001C7E11"/>
    <w:rsid w:val="001C7EB7"/>
    <w:rsid w:val="001D0391"/>
    <w:rsid w:val="001D047F"/>
    <w:rsid w:val="001D1123"/>
    <w:rsid w:val="001D1427"/>
    <w:rsid w:val="001D14B4"/>
    <w:rsid w:val="001D1E03"/>
    <w:rsid w:val="001D2261"/>
    <w:rsid w:val="001D22A7"/>
    <w:rsid w:val="001D24C5"/>
    <w:rsid w:val="001D2636"/>
    <w:rsid w:val="001D26DF"/>
    <w:rsid w:val="001D2D5B"/>
    <w:rsid w:val="001D2F06"/>
    <w:rsid w:val="001D30C2"/>
    <w:rsid w:val="001D3541"/>
    <w:rsid w:val="001D3BF4"/>
    <w:rsid w:val="001D3CCE"/>
    <w:rsid w:val="001D3E5C"/>
    <w:rsid w:val="001D40D0"/>
    <w:rsid w:val="001D41DC"/>
    <w:rsid w:val="001D431E"/>
    <w:rsid w:val="001D4658"/>
    <w:rsid w:val="001D4B81"/>
    <w:rsid w:val="001D53CA"/>
    <w:rsid w:val="001D55C8"/>
    <w:rsid w:val="001D58E3"/>
    <w:rsid w:val="001D5A07"/>
    <w:rsid w:val="001D5C31"/>
    <w:rsid w:val="001D62E5"/>
    <w:rsid w:val="001D6766"/>
    <w:rsid w:val="001D6806"/>
    <w:rsid w:val="001D695E"/>
    <w:rsid w:val="001D74AF"/>
    <w:rsid w:val="001D7F8E"/>
    <w:rsid w:val="001E0A56"/>
    <w:rsid w:val="001E0EE4"/>
    <w:rsid w:val="001E1269"/>
    <w:rsid w:val="001E12A2"/>
    <w:rsid w:val="001E1460"/>
    <w:rsid w:val="001E1722"/>
    <w:rsid w:val="001E17DA"/>
    <w:rsid w:val="001E1A05"/>
    <w:rsid w:val="001E1B2F"/>
    <w:rsid w:val="001E1ECF"/>
    <w:rsid w:val="001E237D"/>
    <w:rsid w:val="001E25A6"/>
    <w:rsid w:val="001E2A09"/>
    <w:rsid w:val="001E3596"/>
    <w:rsid w:val="001E3DD8"/>
    <w:rsid w:val="001E4099"/>
    <w:rsid w:val="001E4747"/>
    <w:rsid w:val="001E4966"/>
    <w:rsid w:val="001E4B9F"/>
    <w:rsid w:val="001E4BE1"/>
    <w:rsid w:val="001E4E2D"/>
    <w:rsid w:val="001E51E9"/>
    <w:rsid w:val="001E57B6"/>
    <w:rsid w:val="001E5B29"/>
    <w:rsid w:val="001E67FC"/>
    <w:rsid w:val="001E6ADD"/>
    <w:rsid w:val="001E70B6"/>
    <w:rsid w:val="001E72C3"/>
    <w:rsid w:val="001E7380"/>
    <w:rsid w:val="001E78BD"/>
    <w:rsid w:val="001E7CFF"/>
    <w:rsid w:val="001E7D9E"/>
    <w:rsid w:val="001F0453"/>
    <w:rsid w:val="001F1166"/>
    <w:rsid w:val="001F139D"/>
    <w:rsid w:val="001F1F7F"/>
    <w:rsid w:val="001F1FBB"/>
    <w:rsid w:val="001F216F"/>
    <w:rsid w:val="001F222D"/>
    <w:rsid w:val="001F2A29"/>
    <w:rsid w:val="001F3624"/>
    <w:rsid w:val="001F38A7"/>
    <w:rsid w:val="001F3C53"/>
    <w:rsid w:val="001F3F6D"/>
    <w:rsid w:val="001F3FAD"/>
    <w:rsid w:val="001F4262"/>
    <w:rsid w:val="001F4A37"/>
    <w:rsid w:val="001F4D92"/>
    <w:rsid w:val="001F4E4C"/>
    <w:rsid w:val="001F501B"/>
    <w:rsid w:val="001F548C"/>
    <w:rsid w:val="001F59AC"/>
    <w:rsid w:val="001F5AF6"/>
    <w:rsid w:val="001F6499"/>
    <w:rsid w:val="001F6797"/>
    <w:rsid w:val="001F6A3A"/>
    <w:rsid w:val="001F75DE"/>
    <w:rsid w:val="001F7D71"/>
    <w:rsid w:val="002002D0"/>
    <w:rsid w:val="00200728"/>
    <w:rsid w:val="002007F7"/>
    <w:rsid w:val="002008AF"/>
    <w:rsid w:val="0020097A"/>
    <w:rsid w:val="00200B1E"/>
    <w:rsid w:val="0020159E"/>
    <w:rsid w:val="00201A21"/>
    <w:rsid w:val="00201A98"/>
    <w:rsid w:val="00201B86"/>
    <w:rsid w:val="002021B8"/>
    <w:rsid w:val="00202B76"/>
    <w:rsid w:val="00202B77"/>
    <w:rsid w:val="00202EA7"/>
    <w:rsid w:val="0020328A"/>
    <w:rsid w:val="00203418"/>
    <w:rsid w:val="0020366A"/>
    <w:rsid w:val="002038B4"/>
    <w:rsid w:val="00203ADB"/>
    <w:rsid w:val="00203F4E"/>
    <w:rsid w:val="00204099"/>
    <w:rsid w:val="0020451E"/>
    <w:rsid w:val="0020469A"/>
    <w:rsid w:val="00204AA9"/>
    <w:rsid w:val="00204D07"/>
    <w:rsid w:val="00204D65"/>
    <w:rsid w:val="00204F04"/>
    <w:rsid w:val="00205129"/>
    <w:rsid w:val="0020547B"/>
    <w:rsid w:val="0020572E"/>
    <w:rsid w:val="0020583D"/>
    <w:rsid w:val="00205B51"/>
    <w:rsid w:val="00205C04"/>
    <w:rsid w:val="00205C65"/>
    <w:rsid w:val="00205E4C"/>
    <w:rsid w:val="00205F52"/>
    <w:rsid w:val="002063DF"/>
    <w:rsid w:val="0020671D"/>
    <w:rsid w:val="00206B8F"/>
    <w:rsid w:val="00206F77"/>
    <w:rsid w:val="00207210"/>
    <w:rsid w:val="00207219"/>
    <w:rsid w:val="00207355"/>
    <w:rsid w:val="0020748D"/>
    <w:rsid w:val="002079E3"/>
    <w:rsid w:val="00207BB2"/>
    <w:rsid w:val="00210200"/>
    <w:rsid w:val="002109EC"/>
    <w:rsid w:val="00210B53"/>
    <w:rsid w:val="00210C0C"/>
    <w:rsid w:val="00211365"/>
    <w:rsid w:val="002114AF"/>
    <w:rsid w:val="002114E5"/>
    <w:rsid w:val="00211C49"/>
    <w:rsid w:val="00211D76"/>
    <w:rsid w:val="0021202A"/>
    <w:rsid w:val="002121E7"/>
    <w:rsid w:val="002124B8"/>
    <w:rsid w:val="002127B1"/>
    <w:rsid w:val="00212AB9"/>
    <w:rsid w:val="00213010"/>
    <w:rsid w:val="002136F7"/>
    <w:rsid w:val="002138C4"/>
    <w:rsid w:val="00214370"/>
    <w:rsid w:val="00214D50"/>
    <w:rsid w:val="00214EDC"/>
    <w:rsid w:val="00214F4A"/>
    <w:rsid w:val="002156F3"/>
    <w:rsid w:val="00215755"/>
    <w:rsid w:val="002160A8"/>
    <w:rsid w:val="00216642"/>
    <w:rsid w:val="00216752"/>
    <w:rsid w:val="002167DE"/>
    <w:rsid w:val="002169A5"/>
    <w:rsid w:val="00216A4E"/>
    <w:rsid w:val="00216D2E"/>
    <w:rsid w:val="002170D8"/>
    <w:rsid w:val="00217794"/>
    <w:rsid w:val="00217C16"/>
    <w:rsid w:val="00217F4D"/>
    <w:rsid w:val="00220D49"/>
    <w:rsid w:val="00220D9F"/>
    <w:rsid w:val="00220EC6"/>
    <w:rsid w:val="002217F5"/>
    <w:rsid w:val="00221E3C"/>
    <w:rsid w:val="00222292"/>
    <w:rsid w:val="0022240C"/>
    <w:rsid w:val="00222D69"/>
    <w:rsid w:val="00222FA4"/>
    <w:rsid w:val="00223219"/>
    <w:rsid w:val="002235A0"/>
    <w:rsid w:val="00224667"/>
    <w:rsid w:val="0022477A"/>
    <w:rsid w:val="00224987"/>
    <w:rsid w:val="00224A48"/>
    <w:rsid w:val="00224B44"/>
    <w:rsid w:val="00224E3D"/>
    <w:rsid w:val="00224FAB"/>
    <w:rsid w:val="0022527C"/>
    <w:rsid w:val="00225B88"/>
    <w:rsid w:val="00225E14"/>
    <w:rsid w:val="002260BD"/>
    <w:rsid w:val="00226B4B"/>
    <w:rsid w:val="00226F8D"/>
    <w:rsid w:val="00227122"/>
    <w:rsid w:val="0022719A"/>
    <w:rsid w:val="0022766F"/>
    <w:rsid w:val="00227790"/>
    <w:rsid w:val="00227ABE"/>
    <w:rsid w:val="00227ACE"/>
    <w:rsid w:val="00227F89"/>
    <w:rsid w:val="002300FD"/>
    <w:rsid w:val="0023026B"/>
    <w:rsid w:val="002302C5"/>
    <w:rsid w:val="002302E1"/>
    <w:rsid w:val="00230643"/>
    <w:rsid w:val="002307D5"/>
    <w:rsid w:val="002308C3"/>
    <w:rsid w:val="00230CD1"/>
    <w:rsid w:val="00230F24"/>
    <w:rsid w:val="0023163B"/>
    <w:rsid w:val="00231703"/>
    <w:rsid w:val="002317D1"/>
    <w:rsid w:val="00231AA4"/>
    <w:rsid w:val="00231C68"/>
    <w:rsid w:val="00231E96"/>
    <w:rsid w:val="002329A9"/>
    <w:rsid w:val="00232A7B"/>
    <w:rsid w:val="00232DAD"/>
    <w:rsid w:val="00232EA1"/>
    <w:rsid w:val="00233131"/>
    <w:rsid w:val="002335C0"/>
    <w:rsid w:val="00233845"/>
    <w:rsid w:val="00233E88"/>
    <w:rsid w:val="0023408A"/>
    <w:rsid w:val="00234312"/>
    <w:rsid w:val="0023470A"/>
    <w:rsid w:val="002353E1"/>
    <w:rsid w:val="002355AF"/>
    <w:rsid w:val="00235B4E"/>
    <w:rsid w:val="00235BB3"/>
    <w:rsid w:val="0023618F"/>
    <w:rsid w:val="00236307"/>
    <w:rsid w:val="00236602"/>
    <w:rsid w:val="00236B98"/>
    <w:rsid w:val="0023713E"/>
    <w:rsid w:val="00237308"/>
    <w:rsid w:val="002376A6"/>
    <w:rsid w:val="002402F0"/>
    <w:rsid w:val="00241147"/>
    <w:rsid w:val="0024115E"/>
    <w:rsid w:val="0024131B"/>
    <w:rsid w:val="00241370"/>
    <w:rsid w:val="0024139F"/>
    <w:rsid w:val="002421A4"/>
    <w:rsid w:val="002427C0"/>
    <w:rsid w:val="00242A13"/>
    <w:rsid w:val="00242E42"/>
    <w:rsid w:val="00243D40"/>
    <w:rsid w:val="00244422"/>
    <w:rsid w:val="00244753"/>
    <w:rsid w:val="0024491F"/>
    <w:rsid w:val="00244FA6"/>
    <w:rsid w:val="002451C8"/>
    <w:rsid w:val="002454D0"/>
    <w:rsid w:val="00245614"/>
    <w:rsid w:val="00245749"/>
    <w:rsid w:val="00245771"/>
    <w:rsid w:val="00245A4A"/>
    <w:rsid w:val="0024611D"/>
    <w:rsid w:val="0024696B"/>
    <w:rsid w:val="00246E3F"/>
    <w:rsid w:val="00247090"/>
    <w:rsid w:val="0024724B"/>
    <w:rsid w:val="00247357"/>
    <w:rsid w:val="002474FD"/>
    <w:rsid w:val="00247AC4"/>
    <w:rsid w:val="00247BCB"/>
    <w:rsid w:val="00250A19"/>
    <w:rsid w:val="00250A1C"/>
    <w:rsid w:val="00250E3F"/>
    <w:rsid w:val="002516EB"/>
    <w:rsid w:val="00251867"/>
    <w:rsid w:val="00251D06"/>
    <w:rsid w:val="00252019"/>
    <w:rsid w:val="00252344"/>
    <w:rsid w:val="00253121"/>
    <w:rsid w:val="0025341F"/>
    <w:rsid w:val="00253464"/>
    <w:rsid w:val="0025371A"/>
    <w:rsid w:val="002537FC"/>
    <w:rsid w:val="00254686"/>
    <w:rsid w:val="002547EC"/>
    <w:rsid w:val="002552F9"/>
    <w:rsid w:val="0025571F"/>
    <w:rsid w:val="00255AC1"/>
    <w:rsid w:val="00255C57"/>
    <w:rsid w:val="002561F8"/>
    <w:rsid w:val="002565C9"/>
    <w:rsid w:val="00256D83"/>
    <w:rsid w:val="00256D91"/>
    <w:rsid w:val="002570CC"/>
    <w:rsid w:val="002571CE"/>
    <w:rsid w:val="002572EA"/>
    <w:rsid w:val="0025747D"/>
    <w:rsid w:val="002575A7"/>
    <w:rsid w:val="002575BE"/>
    <w:rsid w:val="00257C91"/>
    <w:rsid w:val="00257D68"/>
    <w:rsid w:val="002605C3"/>
    <w:rsid w:val="00260660"/>
    <w:rsid w:val="00260785"/>
    <w:rsid w:val="00260DD8"/>
    <w:rsid w:val="002618F7"/>
    <w:rsid w:val="00261B62"/>
    <w:rsid w:val="00261E3C"/>
    <w:rsid w:val="00261EBE"/>
    <w:rsid w:val="00261EFE"/>
    <w:rsid w:val="00262045"/>
    <w:rsid w:val="002620EB"/>
    <w:rsid w:val="002624D0"/>
    <w:rsid w:val="00262693"/>
    <w:rsid w:val="002627C7"/>
    <w:rsid w:val="00262A47"/>
    <w:rsid w:val="00262F8E"/>
    <w:rsid w:val="002631E5"/>
    <w:rsid w:val="002637D7"/>
    <w:rsid w:val="002644E0"/>
    <w:rsid w:val="002646B2"/>
    <w:rsid w:val="00264776"/>
    <w:rsid w:val="002649E5"/>
    <w:rsid w:val="00264AD0"/>
    <w:rsid w:val="00264C3C"/>
    <w:rsid w:val="00264F79"/>
    <w:rsid w:val="0026515A"/>
    <w:rsid w:val="002652CE"/>
    <w:rsid w:val="0026578F"/>
    <w:rsid w:val="00265DDA"/>
    <w:rsid w:val="00266156"/>
    <w:rsid w:val="002663C2"/>
    <w:rsid w:val="0026642E"/>
    <w:rsid w:val="00266978"/>
    <w:rsid w:val="002669FE"/>
    <w:rsid w:val="00266AF6"/>
    <w:rsid w:val="00266E3C"/>
    <w:rsid w:val="00266E8F"/>
    <w:rsid w:val="002674D6"/>
    <w:rsid w:val="002674D9"/>
    <w:rsid w:val="002678D4"/>
    <w:rsid w:val="00267BF8"/>
    <w:rsid w:val="00267FDD"/>
    <w:rsid w:val="002700CD"/>
    <w:rsid w:val="00270173"/>
    <w:rsid w:val="00270EC8"/>
    <w:rsid w:val="00270ED9"/>
    <w:rsid w:val="002710F2"/>
    <w:rsid w:val="00271160"/>
    <w:rsid w:val="002711DC"/>
    <w:rsid w:val="00271558"/>
    <w:rsid w:val="0027181F"/>
    <w:rsid w:val="00271F1B"/>
    <w:rsid w:val="00272606"/>
    <w:rsid w:val="0027292A"/>
    <w:rsid w:val="00272F31"/>
    <w:rsid w:val="00273799"/>
    <w:rsid w:val="00273A8F"/>
    <w:rsid w:val="00273ACB"/>
    <w:rsid w:val="00273BE0"/>
    <w:rsid w:val="002745EE"/>
    <w:rsid w:val="00274846"/>
    <w:rsid w:val="00274EB1"/>
    <w:rsid w:val="00274EC3"/>
    <w:rsid w:val="00275B13"/>
    <w:rsid w:val="00275E26"/>
    <w:rsid w:val="00275FCA"/>
    <w:rsid w:val="00276274"/>
    <w:rsid w:val="00277039"/>
    <w:rsid w:val="00277520"/>
    <w:rsid w:val="0027771A"/>
    <w:rsid w:val="00277981"/>
    <w:rsid w:val="00277A64"/>
    <w:rsid w:val="00277A86"/>
    <w:rsid w:val="00277E9F"/>
    <w:rsid w:val="00277F28"/>
    <w:rsid w:val="0028040E"/>
    <w:rsid w:val="00280C6B"/>
    <w:rsid w:val="00280D1C"/>
    <w:rsid w:val="00280D29"/>
    <w:rsid w:val="00280E28"/>
    <w:rsid w:val="00280E96"/>
    <w:rsid w:val="0028126D"/>
    <w:rsid w:val="0028130D"/>
    <w:rsid w:val="00281499"/>
    <w:rsid w:val="00281809"/>
    <w:rsid w:val="00281896"/>
    <w:rsid w:val="00281AFE"/>
    <w:rsid w:val="00282025"/>
    <w:rsid w:val="0028234C"/>
    <w:rsid w:val="0028247B"/>
    <w:rsid w:val="00282C3F"/>
    <w:rsid w:val="0028320F"/>
    <w:rsid w:val="00283394"/>
    <w:rsid w:val="00283666"/>
    <w:rsid w:val="002838A3"/>
    <w:rsid w:val="00283A94"/>
    <w:rsid w:val="00284AF4"/>
    <w:rsid w:val="00284C49"/>
    <w:rsid w:val="00284C8F"/>
    <w:rsid w:val="00285636"/>
    <w:rsid w:val="00285A2F"/>
    <w:rsid w:val="00285B94"/>
    <w:rsid w:val="00285CCA"/>
    <w:rsid w:val="002863DB"/>
    <w:rsid w:val="00286926"/>
    <w:rsid w:val="00286B89"/>
    <w:rsid w:val="002872E9"/>
    <w:rsid w:val="00287619"/>
    <w:rsid w:val="002876F4"/>
    <w:rsid w:val="00287A87"/>
    <w:rsid w:val="00287B75"/>
    <w:rsid w:val="00287C96"/>
    <w:rsid w:val="00287F56"/>
    <w:rsid w:val="0029034D"/>
    <w:rsid w:val="00290415"/>
    <w:rsid w:val="00290449"/>
    <w:rsid w:val="002908F9"/>
    <w:rsid w:val="0029162F"/>
    <w:rsid w:val="00291870"/>
    <w:rsid w:val="00291A91"/>
    <w:rsid w:val="00291D0B"/>
    <w:rsid w:val="00291DBD"/>
    <w:rsid w:val="002920B2"/>
    <w:rsid w:val="002920E0"/>
    <w:rsid w:val="002921CD"/>
    <w:rsid w:val="002922BE"/>
    <w:rsid w:val="00292392"/>
    <w:rsid w:val="0029253C"/>
    <w:rsid w:val="002926EB"/>
    <w:rsid w:val="002928C0"/>
    <w:rsid w:val="00292C9A"/>
    <w:rsid w:val="00292EDA"/>
    <w:rsid w:val="00293962"/>
    <w:rsid w:val="00293B0B"/>
    <w:rsid w:val="00293F9C"/>
    <w:rsid w:val="00294403"/>
    <w:rsid w:val="0029493A"/>
    <w:rsid w:val="002949D1"/>
    <w:rsid w:val="00294DA1"/>
    <w:rsid w:val="00295151"/>
    <w:rsid w:val="0029519E"/>
    <w:rsid w:val="0029588F"/>
    <w:rsid w:val="002958CD"/>
    <w:rsid w:val="00295C55"/>
    <w:rsid w:val="00296781"/>
    <w:rsid w:val="002967D9"/>
    <w:rsid w:val="00297E86"/>
    <w:rsid w:val="002A03EC"/>
    <w:rsid w:val="002A06FF"/>
    <w:rsid w:val="002A0735"/>
    <w:rsid w:val="002A075E"/>
    <w:rsid w:val="002A0C59"/>
    <w:rsid w:val="002A1031"/>
    <w:rsid w:val="002A147A"/>
    <w:rsid w:val="002A1AE1"/>
    <w:rsid w:val="002A1B30"/>
    <w:rsid w:val="002A1E35"/>
    <w:rsid w:val="002A1EF8"/>
    <w:rsid w:val="002A22BF"/>
    <w:rsid w:val="002A2524"/>
    <w:rsid w:val="002A2589"/>
    <w:rsid w:val="002A288E"/>
    <w:rsid w:val="002A2A77"/>
    <w:rsid w:val="002A2B07"/>
    <w:rsid w:val="002A2B2D"/>
    <w:rsid w:val="002A2B6B"/>
    <w:rsid w:val="002A2BDA"/>
    <w:rsid w:val="002A30EB"/>
    <w:rsid w:val="002A34BC"/>
    <w:rsid w:val="002A34E4"/>
    <w:rsid w:val="002A4355"/>
    <w:rsid w:val="002A4534"/>
    <w:rsid w:val="002A4566"/>
    <w:rsid w:val="002A45A7"/>
    <w:rsid w:val="002A4814"/>
    <w:rsid w:val="002A4898"/>
    <w:rsid w:val="002A52FF"/>
    <w:rsid w:val="002A560D"/>
    <w:rsid w:val="002A59D3"/>
    <w:rsid w:val="002A611C"/>
    <w:rsid w:val="002A6576"/>
    <w:rsid w:val="002A65BB"/>
    <w:rsid w:val="002A6C60"/>
    <w:rsid w:val="002A6CFA"/>
    <w:rsid w:val="002A6E2F"/>
    <w:rsid w:val="002A73C7"/>
    <w:rsid w:val="002A7672"/>
    <w:rsid w:val="002A76A5"/>
    <w:rsid w:val="002A7B4D"/>
    <w:rsid w:val="002A7B72"/>
    <w:rsid w:val="002A7C3C"/>
    <w:rsid w:val="002A7E00"/>
    <w:rsid w:val="002B010A"/>
    <w:rsid w:val="002B033C"/>
    <w:rsid w:val="002B04DF"/>
    <w:rsid w:val="002B11E3"/>
    <w:rsid w:val="002B1B24"/>
    <w:rsid w:val="002B2340"/>
    <w:rsid w:val="002B25AF"/>
    <w:rsid w:val="002B2EC1"/>
    <w:rsid w:val="002B2F5B"/>
    <w:rsid w:val="002B3056"/>
    <w:rsid w:val="002B3282"/>
    <w:rsid w:val="002B3317"/>
    <w:rsid w:val="002B3B4B"/>
    <w:rsid w:val="002B3D67"/>
    <w:rsid w:val="002B4173"/>
    <w:rsid w:val="002B41C4"/>
    <w:rsid w:val="002B45C1"/>
    <w:rsid w:val="002B48BB"/>
    <w:rsid w:val="002B5152"/>
    <w:rsid w:val="002B582D"/>
    <w:rsid w:val="002B5FCD"/>
    <w:rsid w:val="002B6045"/>
    <w:rsid w:val="002B61C7"/>
    <w:rsid w:val="002B6505"/>
    <w:rsid w:val="002B722A"/>
    <w:rsid w:val="002B7498"/>
    <w:rsid w:val="002B7691"/>
    <w:rsid w:val="002B7807"/>
    <w:rsid w:val="002C00E4"/>
    <w:rsid w:val="002C02B0"/>
    <w:rsid w:val="002C06CA"/>
    <w:rsid w:val="002C06DF"/>
    <w:rsid w:val="002C0989"/>
    <w:rsid w:val="002C0ACB"/>
    <w:rsid w:val="002C0BF3"/>
    <w:rsid w:val="002C0EAA"/>
    <w:rsid w:val="002C12FC"/>
    <w:rsid w:val="002C14F6"/>
    <w:rsid w:val="002C15E7"/>
    <w:rsid w:val="002C18F9"/>
    <w:rsid w:val="002C21C3"/>
    <w:rsid w:val="002C233B"/>
    <w:rsid w:val="002C23D2"/>
    <w:rsid w:val="002C281C"/>
    <w:rsid w:val="002C2A75"/>
    <w:rsid w:val="002C2B22"/>
    <w:rsid w:val="002C32A6"/>
    <w:rsid w:val="002C339C"/>
    <w:rsid w:val="002C3784"/>
    <w:rsid w:val="002C37B9"/>
    <w:rsid w:val="002C3AEA"/>
    <w:rsid w:val="002C3D56"/>
    <w:rsid w:val="002C3DEC"/>
    <w:rsid w:val="002C3DFD"/>
    <w:rsid w:val="002C4273"/>
    <w:rsid w:val="002C44E5"/>
    <w:rsid w:val="002C46DE"/>
    <w:rsid w:val="002C4804"/>
    <w:rsid w:val="002C4ADE"/>
    <w:rsid w:val="002C4CBF"/>
    <w:rsid w:val="002C4EE6"/>
    <w:rsid w:val="002C51FA"/>
    <w:rsid w:val="002C52A7"/>
    <w:rsid w:val="002C5514"/>
    <w:rsid w:val="002C5852"/>
    <w:rsid w:val="002C59EF"/>
    <w:rsid w:val="002C5E0B"/>
    <w:rsid w:val="002C608F"/>
    <w:rsid w:val="002C6101"/>
    <w:rsid w:val="002C62CE"/>
    <w:rsid w:val="002C6594"/>
    <w:rsid w:val="002C659D"/>
    <w:rsid w:val="002C67CF"/>
    <w:rsid w:val="002C6B32"/>
    <w:rsid w:val="002C6C09"/>
    <w:rsid w:val="002C6FDB"/>
    <w:rsid w:val="002C734C"/>
    <w:rsid w:val="002C741D"/>
    <w:rsid w:val="002C75A1"/>
    <w:rsid w:val="002C788B"/>
    <w:rsid w:val="002D04DE"/>
    <w:rsid w:val="002D0714"/>
    <w:rsid w:val="002D0902"/>
    <w:rsid w:val="002D092A"/>
    <w:rsid w:val="002D0E1B"/>
    <w:rsid w:val="002D1466"/>
    <w:rsid w:val="002D17C5"/>
    <w:rsid w:val="002D18D5"/>
    <w:rsid w:val="002D21BF"/>
    <w:rsid w:val="002D27B7"/>
    <w:rsid w:val="002D2858"/>
    <w:rsid w:val="002D29EA"/>
    <w:rsid w:val="002D351D"/>
    <w:rsid w:val="002D38B1"/>
    <w:rsid w:val="002D3A9F"/>
    <w:rsid w:val="002D3FD3"/>
    <w:rsid w:val="002D48B8"/>
    <w:rsid w:val="002D4924"/>
    <w:rsid w:val="002D5449"/>
    <w:rsid w:val="002D56FE"/>
    <w:rsid w:val="002D576F"/>
    <w:rsid w:val="002D652A"/>
    <w:rsid w:val="002D678B"/>
    <w:rsid w:val="002D6891"/>
    <w:rsid w:val="002D6B1C"/>
    <w:rsid w:val="002D7090"/>
    <w:rsid w:val="002D725D"/>
    <w:rsid w:val="002D7300"/>
    <w:rsid w:val="002D7A69"/>
    <w:rsid w:val="002D7A79"/>
    <w:rsid w:val="002D7D0E"/>
    <w:rsid w:val="002E0A6F"/>
    <w:rsid w:val="002E0B8F"/>
    <w:rsid w:val="002E0D80"/>
    <w:rsid w:val="002E1362"/>
    <w:rsid w:val="002E159F"/>
    <w:rsid w:val="002E1ACF"/>
    <w:rsid w:val="002E1D71"/>
    <w:rsid w:val="002E203E"/>
    <w:rsid w:val="002E21E9"/>
    <w:rsid w:val="002E224B"/>
    <w:rsid w:val="002E2474"/>
    <w:rsid w:val="002E2B27"/>
    <w:rsid w:val="002E2CF1"/>
    <w:rsid w:val="002E2D12"/>
    <w:rsid w:val="002E34A5"/>
    <w:rsid w:val="002E3A27"/>
    <w:rsid w:val="002E3BCA"/>
    <w:rsid w:val="002E3F76"/>
    <w:rsid w:val="002E3F84"/>
    <w:rsid w:val="002E40EF"/>
    <w:rsid w:val="002E434E"/>
    <w:rsid w:val="002E4369"/>
    <w:rsid w:val="002E4451"/>
    <w:rsid w:val="002E455E"/>
    <w:rsid w:val="002E53CA"/>
    <w:rsid w:val="002E5606"/>
    <w:rsid w:val="002E5BC5"/>
    <w:rsid w:val="002E5D08"/>
    <w:rsid w:val="002E5EA3"/>
    <w:rsid w:val="002E6374"/>
    <w:rsid w:val="002E6784"/>
    <w:rsid w:val="002E6785"/>
    <w:rsid w:val="002E693C"/>
    <w:rsid w:val="002E6998"/>
    <w:rsid w:val="002E6A78"/>
    <w:rsid w:val="002E6F77"/>
    <w:rsid w:val="002E7069"/>
    <w:rsid w:val="002E73AC"/>
    <w:rsid w:val="002E74F9"/>
    <w:rsid w:val="002E79A4"/>
    <w:rsid w:val="002E7BA1"/>
    <w:rsid w:val="002E7D03"/>
    <w:rsid w:val="002E7F2E"/>
    <w:rsid w:val="002F019E"/>
    <w:rsid w:val="002F027B"/>
    <w:rsid w:val="002F076A"/>
    <w:rsid w:val="002F08B2"/>
    <w:rsid w:val="002F0A39"/>
    <w:rsid w:val="002F0B5E"/>
    <w:rsid w:val="002F0F5D"/>
    <w:rsid w:val="002F1786"/>
    <w:rsid w:val="002F191E"/>
    <w:rsid w:val="002F1B37"/>
    <w:rsid w:val="002F1BF6"/>
    <w:rsid w:val="002F22D8"/>
    <w:rsid w:val="002F2327"/>
    <w:rsid w:val="002F23CF"/>
    <w:rsid w:val="002F26A5"/>
    <w:rsid w:val="002F26B8"/>
    <w:rsid w:val="002F27F3"/>
    <w:rsid w:val="002F2A68"/>
    <w:rsid w:val="002F2E60"/>
    <w:rsid w:val="002F2F79"/>
    <w:rsid w:val="002F3255"/>
    <w:rsid w:val="002F339C"/>
    <w:rsid w:val="002F4158"/>
    <w:rsid w:val="002F447F"/>
    <w:rsid w:val="002F4C58"/>
    <w:rsid w:val="002F4CF8"/>
    <w:rsid w:val="002F4DFC"/>
    <w:rsid w:val="002F59F8"/>
    <w:rsid w:val="002F5D71"/>
    <w:rsid w:val="002F5E68"/>
    <w:rsid w:val="002F5E73"/>
    <w:rsid w:val="002F5E9B"/>
    <w:rsid w:val="002F5EF7"/>
    <w:rsid w:val="002F6274"/>
    <w:rsid w:val="002F6364"/>
    <w:rsid w:val="002F68F2"/>
    <w:rsid w:val="002F6FF8"/>
    <w:rsid w:val="002F774E"/>
    <w:rsid w:val="002F77D3"/>
    <w:rsid w:val="002F7C6C"/>
    <w:rsid w:val="002F7EEA"/>
    <w:rsid w:val="002F7F22"/>
    <w:rsid w:val="002F7F36"/>
    <w:rsid w:val="0030078A"/>
    <w:rsid w:val="00300D27"/>
    <w:rsid w:val="00300D6D"/>
    <w:rsid w:val="003015CB"/>
    <w:rsid w:val="00301669"/>
    <w:rsid w:val="00301907"/>
    <w:rsid w:val="00301916"/>
    <w:rsid w:val="00301FE4"/>
    <w:rsid w:val="00302163"/>
    <w:rsid w:val="00302453"/>
    <w:rsid w:val="003025A3"/>
    <w:rsid w:val="00302A00"/>
    <w:rsid w:val="00302C74"/>
    <w:rsid w:val="00302CEC"/>
    <w:rsid w:val="00302E84"/>
    <w:rsid w:val="00302EAD"/>
    <w:rsid w:val="003032E2"/>
    <w:rsid w:val="00303813"/>
    <w:rsid w:val="003038B1"/>
    <w:rsid w:val="00303B46"/>
    <w:rsid w:val="0030428E"/>
    <w:rsid w:val="003048E9"/>
    <w:rsid w:val="00304A9E"/>
    <w:rsid w:val="003051E4"/>
    <w:rsid w:val="003051E8"/>
    <w:rsid w:val="00305281"/>
    <w:rsid w:val="003059FA"/>
    <w:rsid w:val="00305B8A"/>
    <w:rsid w:val="00305D1F"/>
    <w:rsid w:val="00305EA2"/>
    <w:rsid w:val="003060DB"/>
    <w:rsid w:val="00306230"/>
    <w:rsid w:val="003066F6"/>
    <w:rsid w:val="00306715"/>
    <w:rsid w:val="00306851"/>
    <w:rsid w:val="00306C8A"/>
    <w:rsid w:val="003070AD"/>
    <w:rsid w:val="003077B4"/>
    <w:rsid w:val="00310163"/>
    <w:rsid w:val="00310741"/>
    <w:rsid w:val="0031082F"/>
    <w:rsid w:val="0031107B"/>
    <w:rsid w:val="003110A5"/>
    <w:rsid w:val="003110EF"/>
    <w:rsid w:val="003113EB"/>
    <w:rsid w:val="00311968"/>
    <w:rsid w:val="00311A77"/>
    <w:rsid w:val="00312431"/>
    <w:rsid w:val="00312658"/>
    <w:rsid w:val="003129E8"/>
    <w:rsid w:val="00312B2C"/>
    <w:rsid w:val="00313003"/>
    <w:rsid w:val="0031346E"/>
    <w:rsid w:val="003137A1"/>
    <w:rsid w:val="003139C3"/>
    <w:rsid w:val="00313A6A"/>
    <w:rsid w:val="00313B2F"/>
    <w:rsid w:val="00313B4E"/>
    <w:rsid w:val="00313BFC"/>
    <w:rsid w:val="00313DDE"/>
    <w:rsid w:val="0031403E"/>
    <w:rsid w:val="003140F8"/>
    <w:rsid w:val="003144A1"/>
    <w:rsid w:val="003146DC"/>
    <w:rsid w:val="003147F5"/>
    <w:rsid w:val="00314B06"/>
    <w:rsid w:val="00314B31"/>
    <w:rsid w:val="003150A9"/>
    <w:rsid w:val="0031511E"/>
    <w:rsid w:val="00315432"/>
    <w:rsid w:val="0031543A"/>
    <w:rsid w:val="003154F1"/>
    <w:rsid w:val="0031578D"/>
    <w:rsid w:val="003157D4"/>
    <w:rsid w:val="00315B2B"/>
    <w:rsid w:val="00315CF5"/>
    <w:rsid w:val="00315DC8"/>
    <w:rsid w:val="00315EFD"/>
    <w:rsid w:val="00316DDE"/>
    <w:rsid w:val="00316E49"/>
    <w:rsid w:val="003177A6"/>
    <w:rsid w:val="00317C63"/>
    <w:rsid w:val="00320108"/>
    <w:rsid w:val="00320608"/>
    <w:rsid w:val="00320986"/>
    <w:rsid w:val="00320B7F"/>
    <w:rsid w:val="0032148B"/>
    <w:rsid w:val="003217CE"/>
    <w:rsid w:val="00321910"/>
    <w:rsid w:val="00321967"/>
    <w:rsid w:val="00321AAC"/>
    <w:rsid w:val="00321D42"/>
    <w:rsid w:val="00322080"/>
    <w:rsid w:val="003223ED"/>
    <w:rsid w:val="00322652"/>
    <w:rsid w:val="00322F0E"/>
    <w:rsid w:val="003238BB"/>
    <w:rsid w:val="00323A39"/>
    <w:rsid w:val="00323B04"/>
    <w:rsid w:val="00323B72"/>
    <w:rsid w:val="00323BF4"/>
    <w:rsid w:val="00323C12"/>
    <w:rsid w:val="0032429D"/>
    <w:rsid w:val="003246F3"/>
    <w:rsid w:val="00324907"/>
    <w:rsid w:val="00324D91"/>
    <w:rsid w:val="00324F75"/>
    <w:rsid w:val="00325284"/>
    <w:rsid w:val="0032536D"/>
    <w:rsid w:val="0032555E"/>
    <w:rsid w:val="00325834"/>
    <w:rsid w:val="003258A0"/>
    <w:rsid w:val="00325BDB"/>
    <w:rsid w:val="00325D57"/>
    <w:rsid w:val="00325D8F"/>
    <w:rsid w:val="00326115"/>
    <w:rsid w:val="00326170"/>
    <w:rsid w:val="0032650A"/>
    <w:rsid w:val="00326641"/>
    <w:rsid w:val="00326ADD"/>
    <w:rsid w:val="00326FB6"/>
    <w:rsid w:val="00326FC5"/>
    <w:rsid w:val="0033023E"/>
    <w:rsid w:val="00330354"/>
    <w:rsid w:val="0033061C"/>
    <w:rsid w:val="00330E45"/>
    <w:rsid w:val="00331AB1"/>
    <w:rsid w:val="0033218A"/>
    <w:rsid w:val="00332557"/>
    <w:rsid w:val="003325B3"/>
    <w:rsid w:val="0033275C"/>
    <w:rsid w:val="003327A8"/>
    <w:rsid w:val="00332CA4"/>
    <w:rsid w:val="00332E2C"/>
    <w:rsid w:val="00333135"/>
    <w:rsid w:val="0033319F"/>
    <w:rsid w:val="003340BC"/>
    <w:rsid w:val="003341A0"/>
    <w:rsid w:val="00334508"/>
    <w:rsid w:val="00334EC4"/>
    <w:rsid w:val="0033516D"/>
    <w:rsid w:val="0033521F"/>
    <w:rsid w:val="003359BB"/>
    <w:rsid w:val="00335C3F"/>
    <w:rsid w:val="00336151"/>
    <w:rsid w:val="00336439"/>
    <w:rsid w:val="00336534"/>
    <w:rsid w:val="0033677B"/>
    <w:rsid w:val="003368A3"/>
    <w:rsid w:val="003369C2"/>
    <w:rsid w:val="00336D33"/>
    <w:rsid w:val="00337017"/>
    <w:rsid w:val="003377BA"/>
    <w:rsid w:val="00340220"/>
    <w:rsid w:val="00340AA7"/>
    <w:rsid w:val="00340CB1"/>
    <w:rsid w:val="00340E68"/>
    <w:rsid w:val="00340E9E"/>
    <w:rsid w:val="00340EEF"/>
    <w:rsid w:val="0034113E"/>
    <w:rsid w:val="00341640"/>
    <w:rsid w:val="0034164F"/>
    <w:rsid w:val="003417C0"/>
    <w:rsid w:val="00341882"/>
    <w:rsid w:val="003418EB"/>
    <w:rsid w:val="0034211B"/>
    <w:rsid w:val="0034212E"/>
    <w:rsid w:val="00342387"/>
    <w:rsid w:val="003425CC"/>
    <w:rsid w:val="00342829"/>
    <w:rsid w:val="003431D3"/>
    <w:rsid w:val="003433B5"/>
    <w:rsid w:val="0034347B"/>
    <w:rsid w:val="003439FE"/>
    <w:rsid w:val="00343EA8"/>
    <w:rsid w:val="0034401D"/>
    <w:rsid w:val="0034435E"/>
    <w:rsid w:val="003445AD"/>
    <w:rsid w:val="00344B3A"/>
    <w:rsid w:val="00344CA5"/>
    <w:rsid w:val="00344D76"/>
    <w:rsid w:val="00345114"/>
    <w:rsid w:val="003453B3"/>
    <w:rsid w:val="003454CB"/>
    <w:rsid w:val="003457A4"/>
    <w:rsid w:val="00345A5A"/>
    <w:rsid w:val="00345B55"/>
    <w:rsid w:val="00345D69"/>
    <w:rsid w:val="003464AB"/>
    <w:rsid w:val="00346C98"/>
    <w:rsid w:val="003474FC"/>
    <w:rsid w:val="003479E5"/>
    <w:rsid w:val="00347A1E"/>
    <w:rsid w:val="00347AB6"/>
    <w:rsid w:val="00347DE8"/>
    <w:rsid w:val="00350531"/>
    <w:rsid w:val="0035098B"/>
    <w:rsid w:val="003509F2"/>
    <w:rsid w:val="00350FDD"/>
    <w:rsid w:val="00351042"/>
    <w:rsid w:val="003519CE"/>
    <w:rsid w:val="00351D83"/>
    <w:rsid w:val="00351F10"/>
    <w:rsid w:val="003525C3"/>
    <w:rsid w:val="00352BCB"/>
    <w:rsid w:val="00352DCD"/>
    <w:rsid w:val="003532E2"/>
    <w:rsid w:val="0035367B"/>
    <w:rsid w:val="00353BB6"/>
    <w:rsid w:val="00354185"/>
    <w:rsid w:val="00354705"/>
    <w:rsid w:val="00354CD8"/>
    <w:rsid w:val="00354F8A"/>
    <w:rsid w:val="0035538C"/>
    <w:rsid w:val="003554DA"/>
    <w:rsid w:val="003558AC"/>
    <w:rsid w:val="00355F8C"/>
    <w:rsid w:val="00356A0C"/>
    <w:rsid w:val="00356D01"/>
    <w:rsid w:val="00356F36"/>
    <w:rsid w:val="003577D3"/>
    <w:rsid w:val="00357E8A"/>
    <w:rsid w:val="00360014"/>
    <w:rsid w:val="00360128"/>
    <w:rsid w:val="00360573"/>
    <w:rsid w:val="003605B5"/>
    <w:rsid w:val="003606FE"/>
    <w:rsid w:val="00360E62"/>
    <w:rsid w:val="00360EA6"/>
    <w:rsid w:val="00361585"/>
    <w:rsid w:val="0036184F"/>
    <w:rsid w:val="00361C95"/>
    <w:rsid w:val="00361FA0"/>
    <w:rsid w:val="00362105"/>
    <w:rsid w:val="00362487"/>
    <w:rsid w:val="00362606"/>
    <w:rsid w:val="0036287C"/>
    <w:rsid w:val="00362F39"/>
    <w:rsid w:val="00363030"/>
    <w:rsid w:val="0036344F"/>
    <w:rsid w:val="003634C6"/>
    <w:rsid w:val="003634CE"/>
    <w:rsid w:val="003638E7"/>
    <w:rsid w:val="00363C4F"/>
    <w:rsid w:val="0036430A"/>
    <w:rsid w:val="00364405"/>
    <w:rsid w:val="003648BF"/>
    <w:rsid w:val="00365583"/>
    <w:rsid w:val="00365785"/>
    <w:rsid w:val="003657CD"/>
    <w:rsid w:val="003658EA"/>
    <w:rsid w:val="00365B96"/>
    <w:rsid w:val="00365E8F"/>
    <w:rsid w:val="003663B3"/>
    <w:rsid w:val="00366644"/>
    <w:rsid w:val="0036667E"/>
    <w:rsid w:val="003666F9"/>
    <w:rsid w:val="00366841"/>
    <w:rsid w:val="00366A0C"/>
    <w:rsid w:val="00366B2F"/>
    <w:rsid w:val="00366EF1"/>
    <w:rsid w:val="0036736A"/>
    <w:rsid w:val="003677B1"/>
    <w:rsid w:val="00367AAE"/>
    <w:rsid w:val="00367B96"/>
    <w:rsid w:val="00367C4E"/>
    <w:rsid w:val="00367E91"/>
    <w:rsid w:val="00370091"/>
    <w:rsid w:val="00370160"/>
    <w:rsid w:val="003701EC"/>
    <w:rsid w:val="00370692"/>
    <w:rsid w:val="00370749"/>
    <w:rsid w:val="00370B20"/>
    <w:rsid w:val="00370EC7"/>
    <w:rsid w:val="00371038"/>
    <w:rsid w:val="003717DA"/>
    <w:rsid w:val="0037186D"/>
    <w:rsid w:val="00371969"/>
    <w:rsid w:val="00371A0D"/>
    <w:rsid w:val="00371CFB"/>
    <w:rsid w:val="00371E3F"/>
    <w:rsid w:val="00372C02"/>
    <w:rsid w:val="00373B63"/>
    <w:rsid w:val="00373C91"/>
    <w:rsid w:val="00374281"/>
    <w:rsid w:val="00374334"/>
    <w:rsid w:val="00374596"/>
    <w:rsid w:val="00374C33"/>
    <w:rsid w:val="00374E5B"/>
    <w:rsid w:val="00375178"/>
    <w:rsid w:val="003752BC"/>
    <w:rsid w:val="00375310"/>
    <w:rsid w:val="0037553C"/>
    <w:rsid w:val="0037571A"/>
    <w:rsid w:val="003759EE"/>
    <w:rsid w:val="00375BC4"/>
    <w:rsid w:val="00375D85"/>
    <w:rsid w:val="003761ED"/>
    <w:rsid w:val="00376B59"/>
    <w:rsid w:val="003774B2"/>
    <w:rsid w:val="0037763F"/>
    <w:rsid w:val="00377C33"/>
    <w:rsid w:val="0038000E"/>
    <w:rsid w:val="003801C8"/>
    <w:rsid w:val="0038075C"/>
    <w:rsid w:val="00380AD6"/>
    <w:rsid w:val="00380ADE"/>
    <w:rsid w:val="00380D30"/>
    <w:rsid w:val="00380F9C"/>
    <w:rsid w:val="00381028"/>
    <w:rsid w:val="00381183"/>
    <w:rsid w:val="0038120C"/>
    <w:rsid w:val="003818F1"/>
    <w:rsid w:val="00382109"/>
    <w:rsid w:val="0038224B"/>
    <w:rsid w:val="00382587"/>
    <w:rsid w:val="0038267D"/>
    <w:rsid w:val="00382C46"/>
    <w:rsid w:val="00383018"/>
    <w:rsid w:val="00383553"/>
    <w:rsid w:val="003839C9"/>
    <w:rsid w:val="00383ACE"/>
    <w:rsid w:val="00383BC6"/>
    <w:rsid w:val="0038430A"/>
    <w:rsid w:val="0038443C"/>
    <w:rsid w:val="003845E4"/>
    <w:rsid w:val="0038539D"/>
    <w:rsid w:val="00386419"/>
    <w:rsid w:val="00386717"/>
    <w:rsid w:val="00386A05"/>
    <w:rsid w:val="00386AA5"/>
    <w:rsid w:val="00386ACD"/>
    <w:rsid w:val="00386B54"/>
    <w:rsid w:val="00386BDE"/>
    <w:rsid w:val="00386C3B"/>
    <w:rsid w:val="00386CC3"/>
    <w:rsid w:val="00386CC5"/>
    <w:rsid w:val="00386EB3"/>
    <w:rsid w:val="00387387"/>
    <w:rsid w:val="003874C8"/>
    <w:rsid w:val="00387584"/>
    <w:rsid w:val="0038787A"/>
    <w:rsid w:val="00387DB0"/>
    <w:rsid w:val="003903B4"/>
    <w:rsid w:val="003903BA"/>
    <w:rsid w:val="00390DD4"/>
    <w:rsid w:val="00390F03"/>
    <w:rsid w:val="00390FC4"/>
    <w:rsid w:val="00391336"/>
    <w:rsid w:val="00391B25"/>
    <w:rsid w:val="003926F2"/>
    <w:rsid w:val="003929EB"/>
    <w:rsid w:val="00392D69"/>
    <w:rsid w:val="00392EC0"/>
    <w:rsid w:val="003933E5"/>
    <w:rsid w:val="00393D65"/>
    <w:rsid w:val="00393F93"/>
    <w:rsid w:val="00394318"/>
    <w:rsid w:val="003943DE"/>
    <w:rsid w:val="00394528"/>
    <w:rsid w:val="0039459A"/>
    <w:rsid w:val="00395572"/>
    <w:rsid w:val="003959E3"/>
    <w:rsid w:val="00395CF6"/>
    <w:rsid w:val="00395DA3"/>
    <w:rsid w:val="0039660E"/>
    <w:rsid w:val="00396638"/>
    <w:rsid w:val="00396AE4"/>
    <w:rsid w:val="00396EA9"/>
    <w:rsid w:val="00396F10"/>
    <w:rsid w:val="003978EC"/>
    <w:rsid w:val="003979AE"/>
    <w:rsid w:val="00397E3B"/>
    <w:rsid w:val="00397F27"/>
    <w:rsid w:val="00397F7B"/>
    <w:rsid w:val="003A02E3"/>
    <w:rsid w:val="003A0369"/>
    <w:rsid w:val="003A07B9"/>
    <w:rsid w:val="003A0A26"/>
    <w:rsid w:val="003A0D47"/>
    <w:rsid w:val="003A117D"/>
    <w:rsid w:val="003A14A2"/>
    <w:rsid w:val="003A1511"/>
    <w:rsid w:val="003A16E3"/>
    <w:rsid w:val="003A1B22"/>
    <w:rsid w:val="003A205D"/>
    <w:rsid w:val="003A24CF"/>
    <w:rsid w:val="003A2757"/>
    <w:rsid w:val="003A277E"/>
    <w:rsid w:val="003A2822"/>
    <w:rsid w:val="003A2AE1"/>
    <w:rsid w:val="003A2CC8"/>
    <w:rsid w:val="003A2FD9"/>
    <w:rsid w:val="003A300E"/>
    <w:rsid w:val="003A3130"/>
    <w:rsid w:val="003A33E3"/>
    <w:rsid w:val="003A348D"/>
    <w:rsid w:val="003A371A"/>
    <w:rsid w:val="003A3A4F"/>
    <w:rsid w:val="003A3D23"/>
    <w:rsid w:val="003A41E6"/>
    <w:rsid w:val="003A41EB"/>
    <w:rsid w:val="003A42DD"/>
    <w:rsid w:val="003A44DB"/>
    <w:rsid w:val="003A49D3"/>
    <w:rsid w:val="003A4F6C"/>
    <w:rsid w:val="003A521B"/>
    <w:rsid w:val="003A5260"/>
    <w:rsid w:val="003A5898"/>
    <w:rsid w:val="003A5999"/>
    <w:rsid w:val="003A6871"/>
    <w:rsid w:val="003A6882"/>
    <w:rsid w:val="003A6DD5"/>
    <w:rsid w:val="003A7091"/>
    <w:rsid w:val="003A709C"/>
    <w:rsid w:val="003A77FD"/>
    <w:rsid w:val="003A7E6F"/>
    <w:rsid w:val="003A7E7E"/>
    <w:rsid w:val="003A7FE2"/>
    <w:rsid w:val="003B022B"/>
    <w:rsid w:val="003B0372"/>
    <w:rsid w:val="003B0545"/>
    <w:rsid w:val="003B056E"/>
    <w:rsid w:val="003B0996"/>
    <w:rsid w:val="003B0B8D"/>
    <w:rsid w:val="003B128A"/>
    <w:rsid w:val="003B14E7"/>
    <w:rsid w:val="003B1568"/>
    <w:rsid w:val="003B1931"/>
    <w:rsid w:val="003B19D2"/>
    <w:rsid w:val="003B1A3F"/>
    <w:rsid w:val="003B1D52"/>
    <w:rsid w:val="003B2671"/>
    <w:rsid w:val="003B3022"/>
    <w:rsid w:val="003B33A2"/>
    <w:rsid w:val="003B350E"/>
    <w:rsid w:val="003B4363"/>
    <w:rsid w:val="003B4394"/>
    <w:rsid w:val="003B45E3"/>
    <w:rsid w:val="003B493C"/>
    <w:rsid w:val="003B4C5C"/>
    <w:rsid w:val="003B4DF6"/>
    <w:rsid w:val="003B511C"/>
    <w:rsid w:val="003B57DE"/>
    <w:rsid w:val="003B5889"/>
    <w:rsid w:val="003B588E"/>
    <w:rsid w:val="003B5A63"/>
    <w:rsid w:val="003B5AED"/>
    <w:rsid w:val="003B5F5E"/>
    <w:rsid w:val="003B60D6"/>
    <w:rsid w:val="003B67C1"/>
    <w:rsid w:val="003B69E1"/>
    <w:rsid w:val="003B6A08"/>
    <w:rsid w:val="003B6E07"/>
    <w:rsid w:val="003B703A"/>
    <w:rsid w:val="003B77D4"/>
    <w:rsid w:val="003B7CEB"/>
    <w:rsid w:val="003B7E9C"/>
    <w:rsid w:val="003B7F62"/>
    <w:rsid w:val="003C0233"/>
    <w:rsid w:val="003C026B"/>
    <w:rsid w:val="003C056F"/>
    <w:rsid w:val="003C064D"/>
    <w:rsid w:val="003C0CC7"/>
    <w:rsid w:val="003C0D0A"/>
    <w:rsid w:val="003C117C"/>
    <w:rsid w:val="003C11E2"/>
    <w:rsid w:val="003C1661"/>
    <w:rsid w:val="003C1B00"/>
    <w:rsid w:val="003C1C95"/>
    <w:rsid w:val="003C2033"/>
    <w:rsid w:val="003C258F"/>
    <w:rsid w:val="003C2861"/>
    <w:rsid w:val="003C292F"/>
    <w:rsid w:val="003C29D5"/>
    <w:rsid w:val="003C2A29"/>
    <w:rsid w:val="003C2EC8"/>
    <w:rsid w:val="003C2F5E"/>
    <w:rsid w:val="003C2FA6"/>
    <w:rsid w:val="003C2FE1"/>
    <w:rsid w:val="003C32E8"/>
    <w:rsid w:val="003C3757"/>
    <w:rsid w:val="003C3945"/>
    <w:rsid w:val="003C3BAD"/>
    <w:rsid w:val="003C3D06"/>
    <w:rsid w:val="003C3F21"/>
    <w:rsid w:val="003C415D"/>
    <w:rsid w:val="003C41A0"/>
    <w:rsid w:val="003C42F1"/>
    <w:rsid w:val="003C48E8"/>
    <w:rsid w:val="003C4BE6"/>
    <w:rsid w:val="003C4F2F"/>
    <w:rsid w:val="003C50A7"/>
    <w:rsid w:val="003C521D"/>
    <w:rsid w:val="003C54E8"/>
    <w:rsid w:val="003C572D"/>
    <w:rsid w:val="003C5ABE"/>
    <w:rsid w:val="003C5B50"/>
    <w:rsid w:val="003C5E04"/>
    <w:rsid w:val="003C5F6A"/>
    <w:rsid w:val="003C6298"/>
    <w:rsid w:val="003C66D6"/>
    <w:rsid w:val="003C6A79"/>
    <w:rsid w:val="003C6DF4"/>
    <w:rsid w:val="003C71BF"/>
    <w:rsid w:val="003C74F3"/>
    <w:rsid w:val="003C78F0"/>
    <w:rsid w:val="003C7A4D"/>
    <w:rsid w:val="003C7CDF"/>
    <w:rsid w:val="003C7D3F"/>
    <w:rsid w:val="003D04FF"/>
    <w:rsid w:val="003D062E"/>
    <w:rsid w:val="003D084E"/>
    <w:rsid w:val="003D08F4"/>
    <w:rsid w:val="003D0B48"/>
    <w:rsid w:val="003D0BDC"/>
    <w:rsid w:val="003D111A"/>
    <w:rsid w:val="003D183E"/>
    <w:rsid w:val="003D18E1"/>
    <w:rsid w:val="003D197A"/>
    <w:rsid w:val="003D1D5F"/>
    <w:rsid w:val="003D24D2"/>
    <w:rsid w:val="003D2B55"/>
    <w:rsid w:val="003D2B65"/>
    <w:rsid w:val="003D2BBD"/>
    <w:rsid w:val="003D2C1F"/>
    <w:rsid w:val="003D2C51"/>
    <w:rsid w:val="003D2F8C"/>
    <w:rsid w:val="003D2FAD"/>
    <w:rsid w:val="003D33A8"/>
    <w:rsid w:val="003D36D2"/>
    <w:rsid w:val="003D388E"/>
    <w:rsid w:val="003D38EA"/>
    <w:rsid w:val="003D3956"/>
    <w:rsid w:val="003D3A7F"/>
    <w:rsid w:val="003D42A4"/>
    <w:rsid w:val="003D4523"/>
    <w:rsid w:val="003D4641"/>
    <w:rsid w:val="003D4A2F"/>
    <w:rsid w:val="003D4DE6"/>
    <w:rsid w:val="003D4EEC"/>
    <w:rsid w:val="003D5215"/>
    <w:rsid w:val="003D595D"/>
    <w:rsid w:val="003D5A96"/>
    <w:rsid w:val="003D5FCA"/>
    <w:rsid w:val="003D601C"/>
    <w:rsid w:val="003D62EF"/>
    <w:rsid w:val="003D6387"/>
    <w:rsid w:val="003D63D6"/>
    <w:rsid w:val="003D6AED"/>
    <w:rsid w:val="003D6D69"/>
    <w:rsid w:val="003D6E7D"/>
    <w:rsid w:val="003D7295"/>
    <w:rsid w:val="003D75FB"/>
    <w:rsid w:val="003D7F84"/>
    <w:rsid w:val="003E0191"/>
    <w:rsid w:val="003E0229"/>
    <w:rsid w:val="003E0844"/>
    <w:rsid w:val="003E0B72"/>
    <w:rsid w:val="003E169E"/>
    <w:rsid w:val="003E222E"/>
    <w:rsid w:val="003E22DC"/>
    <w:rsid w:val="003E266A"/>
    <w:rsid w:val="003E26E8"/>
    <w:rsid w:val="003E2C1A"/>
    <w:rsid w:val="003E31E9"/>
    <w:rsid w:val="003E341B"/>
    <w:rsid w:val="003E3714"/>
    <w:rsid w:val="003E39C3"/>
    <w:rsid w:val="003E3C04"/>
    <w:rsid w:val="003E3C06"/>
    <w:rsid w:val="003E3C07"/>
    <w:rsid w:val="003E43CB"/>
    <w:rsid w:val="003E4404"/>
    <w:rsid w:val="003E4748"/>
    <w:rsid w:val="003E47E9"/>
    <w:rsid w:val="003E49ED"/>
    <w:rsid w:val="003E4A33"/>
    <w:rsid w:val="003E5063"/>
    <w:rsid w:val="003E507C"/>
    <w:rsid w:val="003E53F1"/>
    <w:rsid w:val="003E5CD8"/>
    <w:rsid w:val="003E5D0E"/>
    <w:rsid w:val="003E6529"/>
    <w:rsid w:val="003E67E6"/>
    <w:rsid w:val="003E6B3D"/>
    <w:rsid w:val="003E6DB3"/>
    <w:rsid w:val="003E6FEF"/>
    <w:rsid w:val="003E704D"/>
    <w:rsid w:val="003E749C"/>
    <w:rsid w:val="003E7CBF"/>
    <w:rsid w:val="003F015A"/>
    <w:rsid w:val="003F01BC"/>
    <w:rsid w:val="003F0938"/>
    <w:rsid w:val="003F0998"/>
    <w:rsid w:val="003F0B14"/>
    <w:rsid w:val="003F0F3E"/>
    <w:rsid w:val="003F1863"/>
    <w:rsid w:val="003F1A5C"/>
    <w:rsid w:val="003F1C48"/>
    <w:rsid w:val="003F1DAF"/>
    <w:rsid w:val="003F1F0D"/>
    <w:rsid w:val="003F2137"/>
    <w:rsid w:val="003F21DE"/>
    <w:rsid w:val="003F33E3"/>
    <w:rsid w:val="003F3464"/>
    <w:rsid w:val="003F3DAB"/>
    <w:rsid w:val="003F3E35"/>
    <w:rsid w:val="003F4245"/>
    <w:rsid w:val="003F4386"/>
    <w:rsid w:val="003F4EAB"/>
    <w:rsid w:val="003F527A"/>
    <w:rsid w:val="003F5361"/>
    <w:rsid w:val="003F53CE"/>
    <w:rsid w:val="003F585A"/>
    <w:rsid w:val="003F5B2B"/>
    <w:rsid w:val="003F5DD5"/>
    <w:rsid w:val="003F688C"/>
    <w:rsid w:val="003F6BF7"/>
    <w:rsid w:val="003F70EE"/>
    <w:rsid w:val="003F7A70"/>
    <w:rsid w:val="003F7E49"/>
    <w:rsid w:val="00400092"/>
    <w:rsid w:val="004002C7"/>
    <w:rsid w:val="00400A8A"/>
    <w:rsid w:val="0040141D"/>
    <w:rsid w:val="0040143D"/>
    <w:rsid w:val="004017E9"/>
    <w:rsid w:val="0040182B"/>
    <w:rsid w:val="00401940"/>
    <w:rsid w:val="00401A2D"/>
    <w:rsid w:val="00402065"/>
    <w:rsid w:val="004020E2"/>
    <w:rsid w:val="004022AB"/>
    <w:rsid w:val="004025BA"/>
    <w:rsid w:val="004028CF"/>
    <w:rsid w:val="00402E3B"/>
    <w:rsid w:val="00402E44"/>
    <w:rsid w:val="004036D8"/>
    <w:rsid w:val="00403B52"/>
    <w:rsid w:val="00403E19"/>
    <w:rsid w:val="0040448B"/>
    <w:rsid w:val="004046C1"/>
    <w:rsid w:val="0040506C"/>
    <w:rsid w:val="00405657"/>
    <w:rsid w:val="00405A27"/>
    <w:rsid w:val="00406225"/>
    <w:rsid w:val="00406324"/>
    <w:rsid w:val="00406344"/>
    <w:rsid w:val="004064AE"/>
    <w:rsid w:val="004064B7"/>
    <w:rsid w:val="0040666A"/>
    <w:rsid w:val="00406DBE"/>
    <w:rsid w:val="00406EE8"/>
    <w:rsid w:val="00406F07"/>
    <w:rsid w:val="00407285"/>
    <w:rsid w:val="004072E2"/>
    <w:rsid w:val="0040767A"/>
    <w:rsid w:val="00407BC0"/>
    <w:rsid w:val="0041025F"/>
    <w:rsid w:val="004104CB"/>
    <w:rsid w:val="004104E5"/>
    <w:rsid w:val="00410769"/>
    <w:rsid w:val="00410D65"/>
    <w:rsid w:val="004111C2"/>
    <w:rsid w:val="0041160C"/>
    <w:rsid w:val="00411AB3"/>
    <w:rsid w:val="00412432"/>
    <w:rsid w:val="00412462"/>
    <w:rsid w:val="00412475"/>
    <w:rsid w:val="00412488"/>
    <w:rsid w:val="004125AD"/>
    <w:rsid w:val="0041290C"/>
    <w:rsid w:val="00412BD8"/>
    <w:rsid w:val="004130E1"/>
    <w:rsid w:val="0041323F"/>
    <w:rsid w:val="00413732"/>
    <w:rsid w:val="00413EDE"/>
    <w:rsid w:val="0041401D"/>
    <w:rsid w:val="00414115"/>
    <w:rsid w:val="004141E3"/>
    <w:rsid w:val="0041447C"/>
    <w:rsid w:val="00414536"/>
    <w:rsid w:val="00414B00"/>
    <w:rsid w:val="00414DEA"/>
    <w:rsid w:val="00414E38"/>
    <w:rsid w:val="00415304"/>
    <w:rsid w:val="00415F89"/>
    <w:rsid w:val="00415FA6"/>
    <w:rsid w:val="0041632F"/>
    <w:rsid w:val="00416487"/>
    <w:rsid w:val="004166C8"/>
    <w:rsid w:val="004166E9"/>
    <w:rsid w:val="004166FE"/>
    <w:rsid w:val="004167BB"/>
    <w:rsid w:val="00416B99"/>
    <w:rsid w:val="00416CF9"/>
    <w:rsid w:val="00416FB6"/>
    <w:rsid w:val="004171CB"/>
    <w:rsid w:val="00417212"/>
    <w:rsid w:val="00417259"/>
    <w:rsid w:val="004175E0"/>
    <w:rsid w:val="004176E0"/>
    <w:rsid w:val="00417973"/>
    <w:rsid w:val="0041799E"/>
    <w:rsid w:val="00417A16"/>
    <w:rsid w:val="00420000"/>
    <w:rsid w:val="00420A15"/>
    <w:rsid w:val="00420AC6"/>
    <w:rsid w:val="00420DFE"/>
    <w:rsid w:val="00421244"/>
    <w:rsid w:val="004219CE"/>
    <w:rsid w:val="00421AD7"/>
    <w:rsid w:val="00421F7B"/>
    <w:rsid w:val="004220FF"/>
    <w:rsid w:val="00422345"/>
    <w:rsid w:val="004225CA"/>
    <w:rsid w:val="00422663"/>
    <w:rsid w:val="00422694"/>
    <w:rsid w:val="004227A4"/>
    <w:rsid w:val="00422A87"/>
    <w:rsid w:val="00422BB3"/>
    <w:rsid w:val="00423106"/>
    <w:rsid w:val="004231BA"/>
    <w:rsid w:val="00423254"/>
    <w:rsid w:val="0042329B"/>
    <w:rsid w:val="00423BEB"/>
    <w:rsid w:val="004241C9"/>
    <w:rsid w:val="004244B8"/>
    <w:rsid w:val="004245C4"/>
    <w:rsid w:val="00424653"/>
    <w:rsid w:val="0042471D"/>
    <w:rsid w:val="004247B5"/>
    <w:rsid w:val="00424806"/>
    <w:rsid w:val="00424A34"/>
    <w:rsid w:val="00424DB2"/>
    <w:rsid w:val="0042502A"/>
    <w:rsid w:val="004250BE"/>
    <w:rsid w:val="00425CA3"/>
    <w:rsid w:val="00426450"/>
    <w:rsid w:val="0042646F"/>
    <w:rsid w:val="00426678"/>
    <w:rsid w:val="004269F2"/>
    <w:rsid w:val="00426B1E"/>
    <w:rsid w:val="00426D3E"/>
    <w:rsid w:val="00427523"/>
    <w:rsid w:val="004275FA"/>
    <w:rsid w:val="004276B5"/>
    <w:rsid w:val="00427B88"/>
    <w:rsid w:val="00427E2A"/>
    <w:rsid w:val="00427FCF"/>
    <w:rsid w:val="004304CF"/>
    <w:rsid w:val="00430554"/>
    <w:rsid w:val="004305CB"/>
    <w:rsid w:val="004306F2"/>
    <w:rsid w:val="0043086E"/>
    <w:rsid w:val="00430ACF"/>
    <w:rsid w:val="00430E5A"/>
    <w:rsid w:val="00431061"/>
    <w:rsid w:val="004311FA"/>
    <w:rsid w:val="0043130A"/>
    <w:rsid w:val="0043146A"/>
    <w:rsid w:val="00431D1E"/>
    <w:rsid w:val="00431D87"/>
    <w:rsid w:val="00432B48"/>
    <w:rsid w:val="00432D0A"/>
    <w:rsid w:val="00432D2F"/>
    <w:rsid w:val="00432EC6"/>
    <w:rsid w:val="00432FC5"/>
    <w:rsid w:val="00433581"/>
    <w:rsid w:val="00433592"/>
    <w:rsid w:val="00433826"/>
    <w:rsid w:val="00433A45"/>
    <w:rsid w:val="00433CC6"/>
    <w:rsid w:val="00433D64"/>
    <w:rsid w:val="0043424B"/>
    <w:rsid w:val="00434536"/>
    <w:rsid w:val="00434A8A"/>
    <w:rsid w:val="00434C14"/>
    <w:rsid w:val="00434CE2"/>
    <w:rsid w:val="00434F46"/>
    <w:rsid w:val="00435452"/>
    <w:rsid w:val="00435680"/>
    <w:rsid w:val="00435698"/>
    <w:rsid w:val="00435DAF"/>
    <w:rsid w:val="00436032"/>
    <w:rsid w:val="00436156"/>
    <w:rsid w:val="0043615D"/>
    <w:rsid w:val="00436176"/>
    <w:rsid w:val="00436593"/>
    <w:rsid w:val="00436595"/>
    <w:rsid w:val="004365FD"/>
    <w:rsid w:val="004366D3"/>
    <w:rsid w:val="004367C4"/>
    <w:rsid w:val="004369C0"/>
    <w:rsid w:val="00436AEA"/>
    <w:rsid w:val="00436C6D"/>
    <w:rsid w:val="00436E15"/>
    <w:rsid w:val="004376ED"/>
    <w:rsid w:val="004377D2"/>
    <w:rsid w:val="00437A74"/>
    <w:rsid w:val="00437AAF"/>
    <w:rsid w:val="00437CBD"/>
    <w:rsid w:val="004400E3"/>
    <w:rsid w:val="004402BA"/>
    <w:rsid w:val="004404D2"/>
    <w:rsid w:val="00440930"/>
    <w:rsid w:val="00440CA0"/>
    <w:rsid w:val="00440D51"/>
    <w:rsid w:val="00440E66"/>
    <w:rsid w:val="00441D12"/>
    <w:rsid w:val="004420C7"/>
    <w:rsid w:val="004422D0"/>
    <w:rsid w:val="00442BCD"/>
    <w:rsid w:val="00442E88"/>
    <w:rsid w:val="00442F22"/>
    <w:rsid w:val="00443020"/>
    <w:rsid w:val="0044306E"/>
    <w:rsid w:val="004430F0"/>
    <w:rsid w:val="00443419"/>
    <w:rsid w:val="00443643"/>
    <w:rsid w:val="0044371F"/>
    <w:rsid w:val="00443C60"/>
    <w:rsid w:val="00443D9E"/>
    <w:rsid w:val="00443E5E"/>
    <w:rsid w:val="00444091"/>
    <w:rsid w:val="0044447B"/>
    <w:rsid w:val="004445C8"/>
    <w:rsid w:val="00444E68"/>
    <w:rsid w:val="004458A2"/>
    <w:rsid w:val="004458D1"/>
    <w:rsid w:val="00445B8D"/>
    <w:rsid w:val="00445B99"/>
    <w:rsid w:val="00445DD1"/>
    <w:rsid w:val="00445FFB"/>
    <w:rsid w:val="004462EC"/>
    <w:rsid w:val="00446655"/>
    <w:rsid w:val="004467EE"/>
    <w:rsid w:val="00446AE0"/>
    <w:rsid w:val="00446E64"/>
    <w:rsid w:val="00446FB8"/>
    <w:rsid w:val="0044702B"/>
    <w:rsid w:val="004471DA"/>
    <w:rsid w:val="0044722C"/>
    <w:rsid w:val="00447444"/>
    <w:rsid w:val="004500A2"/>
    <w:rsid w:val="004500CD"/>
    <w:rsid w:val="00450666"/>
    <w:rsid w:val="004508D2"/>
    <w:rsid w:val="00450D32"/>
    <w:rsid w:val="00450FD9"/>
    <w:rsid w:val="00451075"/>
    <w:rsid w:val="0045142B"/>
    <w:rsid w:val="0045165E"/>
    <w:rsid w:val="004517E1"/>
    <w:rsid w:val="00451982"/>
    <w:rsid w:val="00451C73"/>
    <w:rsid w:val="00451E82"/>
    <w:rsid w:val="0045209D"/>
    <w:rsid w:val="004521E3"/>
    <w:rsid w:val="004524CA"/>
    <w:rsid w:val="00452523"/>
    <w:rsid w:val="00452BF8"/>
    <w:rsid w:val="00452FAA"/>
    <w:rsid w:val="00453093"/>
    <w:rsid w:val="004532F3"/>
    <w:rsid w:val="00453E22"/>
    <w:rsid w:val="00454593"/>
    <w:rsid w:val="0045483A"/>
    <w:rsid w:val="0045491C"/>
    <w:rsid w:val="00454A62"/>
    <w:rsid w:val="00454A72"/>
    <w:rsid w:val="00454A84"/>
    <w:rsid w:val="00454C91"/>
    <w:rsid w:val="00455013"/>
    <w:rsid w:val="00455566"/>
    <w:rsid w:val="004557D4"/>
    <w:rsid w:val="0045596C"/>
    <w:rsid w:val="004559A1"/>
    <w:rsid w:val="00456051"/>
    <w:rsid w:val="004560AB"/>
    <w:rsid w:val="00456353"/>
    <w:rsid w:val="004563B1"/>
    <w:rsid w:val="00456599"/>
    <w:rsid w:val="00456DDE"/>
    <w:rsid w:val="00457313"/>
    <w:rsid w:val="004574F8"/>
    <w:rsid w:val="0045753A"/>
    <w:rsid w:val="004575E0"/>
    <w:rsid w:val="00457E82"/>
    <w:rsid w:val="00457EBA"/>
    <w:rsid w:val="004601BF"/>
    <w:rsid w:val="004606F0"/>
    <w:rsid w:val="00460961"/>
    <w:rsid w:val="00460A73"/>
    <w:rsid w:val="00460C2C"/>
    <w:rsid w:val="00460F2B"/>
    <w:rsid w:val="00461046"/>
    <w:rsid w:val="00461627"/>
    <w:rsid w:val="004619A3"/>
    <w:rsid w:val="00461B54"/>
    <w:rsid w:val="004620F0"/>
    <w:rsid w:val="00462317"/>
    <w:rsid w:val="00462332"/>
    <w:rsid w:val="004623A8"/>
    <w:rsid w:val="00462FCC"/>
    <w:rsid w:val="004633E3"/>
    <w:rsid w:val="00463546"/>
    <w:rsid w:val="00463605"/>
    <w:rsid w:val="0046361C"/>
    <w:rsid w:val="004636D7"/>
    <w:rsid w:val="00463867"/>
    <w:rsid w:val="00463920"/>
    <w:rsid w:val="00463953"/>
    <w:rsid w:val="004639D6"/>
    <w:rsid w:val="00463ED1"/>
    <w:rsid w:val="00464124"/>
    <w:rsid w:val="004644A1"/>
    <w:rsid w:val="00464685"/>
    <w:rsid w:val="00464A58"/>
    <w:rsid w:val="00464B38"/>
    <w:rsid w:val="00465093"/>
    <w:rsid w:val="004654D4"/>
    <w:rsid w:val="00465A3C"/>
    <w:rsid w:val="00465BA4"/>
    <w:rsid w:val="00466C01"/>
    <w:rsid w:val="00466F36"/>
    <w:rsid w:val="00466F6E"/>
    <w:rsid w:val="004674AE"/>
    <w:rsid w:val="00467C83"/>
    <w:rsid w:val="0047035E"/>
    <w:rsid w:val="004703A4"/>
    <w:rsid w:val="00470510"/>
    <w:rsid w:val="004707A5"/>
    <w:rsid w:val="004708C9"/>
    <w:rsid w:val="00470D33"/>
    <w:rsid w:val="00471BAD"/>
    <w:rsid w:val="00471D05"/>
    <w:rsid w:val="00471EA5"/>
    <w:rsid w:val="004725F4"/>
    <w:rsid w:val="004727D7"/>
    <w:rsid w:val="00472EDE"/>
    <w:rsid w:val="00473127"/>
    <w:rsid w:val="0047346C"/>
    <w:rsid w:val="00473E32"/>
    <w:rsid w:val="00474080"/>
    <w:rsid w:val="004740BD"/>
    <w:rsid w:val="0047468B"/>
    <w:rsid w:val="004746A8"/>
    <w:rsid w:val="004750AE"/>
    <w:rsid w:val="004752EA"/>
    <w:rsid w:val="00475BE5"/>
    <w:rsid w:val="0047667D"/>
    <w:rsid w:val="004766F6"/>
    <w:rsid w:val="004769CD"/>
    <w:rsid w:val="00476C78"/>
    <w:rsid w:val="00476D67"/>
    <w:rsid w:val="0047716D"/>
    <w:rsid w:val="00477856"/>
    <w:rsid w:val="00477C52"/>
    <w:rsid w:val="0048017B"/>
    <w:rsid w:val="00480856"/>
    <w:rsid w:val="00481916"/>
    <w:rsid w:val="00481CFF"/>
    <w:rsid w:val="00482069"/>
    <w:rsid w:val="00482747"/>
    <w:rsid w:val="00482771"/>
    <w:rsid w:val="004827B9"/>
    <w:rsid w:val="00482A15"/>
    <w:rsid w:val="00482D89"/>
    <w:rsid w:val="00482E1C"/>
    <w:rsid w:val="00483791"/>
    <w:rsid w:val="00483843"/>
    <w:rsid w:val="00483BC4"/>
    <w:rsid w:val="0048411F"/>
    <w:rsid w:val="00484A83"/>
    <w:rsid w:val="00484DE0"/>
    <w:rsid w:val="004850ED"/>
    <w:rsid w:val="0048515D"/>
    <w:rsid w:val="00485175"/>
    <w:rsid w:val="004853C7"/>
    <w:rsid w:val="0048592C"/>
    <w:rsid w:val="00486794"/>
    <w:rsid w:val="00486D97"/>
    <w:rsid w:val="004873FA"/>
    <w:rsid w:val="00487976"/>
    <w:rsid w:val="00487ADA"/>
    <w:rsid w:val="00487B76"/>
    <w:rsid w:val="00487DDA"/>
    <w:rsid w:val="004900FA"/>
    <w:rsid w:val="0049012B"/>
    <w:rsid w:val="00490AC3"/>
    <w:rsid w:val="00491222"/>
    <w:rsid w:val="00491392"/>
    <w:rsid w:val="004913B0"/>
    <w:rsid w:val="0049141E"/>
    <w:rsid w:val="004918B7"/>
    <w:rsid w:val="00491C3D"/>
    <w:rsid w:val="00491F5D"/>
    <w:rsid w:val="00492415"/>
    <w:rsid w:val="004925D9"/>
    <w:rsid w:val="00492C69"/>
    <w:rsid w:val="00492FA5"/>
    <w:rsid w:val="004931D0"/>
    <w:rsid w:val="004934D6"/>
    <w:rsid w:val="00493911"/>
    <w:rsid w:val="00493963"/>
    <w:rsid w:val="004939B7"/>
    <w:rsid w:val="00493D70"/>
    <w:rsid w:val="00493DFA"/>
    <w:rsid w:val="00493E76"/>
    <w:rsid w:val="00493F26"/>
    <w:rsid w:val="0049453A"/>
    <w:rsid w:val="00494E84"/>
    <w:rsid w:val="004951CF"/>
    <w:rsid w:val="00495258"/>
    <w:rsid w:val="00495883"/>
    <w:rsid w:val="00495A13"/>
    <w:rsid w:val="00495AF5"/>
    <w:rsid w:val="004968AD"/>
    <w:rsid w:val="00496D6E"/>
    <w:rsid w:val="004972E4"/>
    <w:rsid w:val="004975D8"/>
    <w:rsid w:val="00497A4A"/>
    <w:rsid w:val="004A021D"/>
    <w:rsid w:val="004A0538"/>
    <w:rsid w:val="004A0755"/>
    <w:rsid w:val="004A0B02"/>
    <w:rsid w:val="004A13AD"/>
    <w:rsid w:val="004A1615"/>
    <w:rsid w:val="004A173C"/>
    <w:rsid w:val="004A18F8"/>
    <w:rsid w:val="004A1DE4"/>
    <w:rsid w:val="004A2484"/>
    <w:rsid w:val="004A2790"/>
    <w:rsid w:val="004A2978"/>
    <w:rsid w:val="004A2A0B"/>
    <w:rsid w:val="004A2C76"/>
    <w:rsid w:val="004A2C81"/>
    <w:rsid w:val="004A318E"/>
    <w:rsid w:val="004A3521"/>
    <w:rsid w:val="004A36E6"/>
    <w:rsid w:val="004A3B54"/>
    <w:rsid w:val="004A3D17"/>
    <w:rsid w:val="004A3FB3"/>
    <w:rsid w:val="004A400C"/>
    <w:rsid w:val="004A42C7"/>
    <w:rsid w:val="004A431C"/>
    <w:rsid w:val="004A4800"/>
    <w:rsid w:val="004A49F3"/>
    <w:rsid w:val="004A5623"/>
    <w:rsid w:val="004A56AE"/>
    <w:rsid w:val="004A57D9"/>
    <w:rsid w:val="004A59AC"/>
    <w:rsid w:val="004A5CE4"/>
    <w:rsid w:val="004A5EDE"/>
    <w:rsid w:val="004A619C"/>
    <w:rsid w:val="004A6370"/>
    <w:rsid w:val="004A64EA"/>
    <w:rsid w:val="004A661C"/>
    <w:rsid w:val="004A69F1"/>
    <w:rsid w:val="004A6B37"/>
    <w:rsid w:val="004A7327"/>
    <w:rsid w:val="004A77B3"/>
    <w:rsid w:val="004A7963"/>
    <w:rsid w:val="004A7A11"/>
    <w:rsid w:val="004A7BFC"/>
    <w:rsid w:val="004A7C4C"/>
    <w:rsid w:val="004A7CEB"/>
    <w:rsid w:val="004B0131"/>
    <w:rsid w:val="004B0C1A"/>
    <w:rsid w:val="004B0ED1"/>
    <w:rsid w:val="004B0F65"/>
    <w:rsid w:val="004B16E1"/>
    <w:rsid w:val="004B178E"/>
    <w:rsid w:val="004B1AC3"/>
    <w:rsid w:val="004B1E06"/>
    <w:rsid w:val="004B1FF8"/>
    <w:rsid w:val="004B239E"/>
    <w:rsid w:val="004B23CD"/>
    <w:rsid w:val="004B248E"/>
    <w:rsid w:val="004B258E"/>
    <w:rsid w:val="004B2627"/>
    <w:rsid w:val="004B26AC"/>
    <w:rsid w:val="004B28AC"/>
    <w:rsid w:val="004B28EF"/>
    <w:rsid w:val="004B327D"/>
    <w:rsid w:val="004B32BF"/>
    <w:rsid w:val="004B3565"/>
    <w:rsid w:val="004B3570"/>
    <w:rsid w:val="004B3651"/>
    <w:rsid w:val="004B3969"/>
    <w:rsid w:val="004B3D62"/>
    <w:rsid w:val="004B3F47"/>
    <w:rsid w:val="004B44C1"/>
    <w:rsid w:val="004B45C9"/>
    <w:rsid w:val="004B4664"/>
    <w:rsid w:val="004B473E"/>
    <w:rsid w:val="004B4997"/>
    <w:rsid w:val="004B4BEC"/>
    <w:rsid w:val="004B4E42"/>
    <w:rsid w:val="004B5610"/>
    <w:rsid w:val="004B565D"/>
    <w:rsid w:val="004B5CC4"/>
    <w:rsid w:val="004B681F"/>
    <w:rsid w:val="004B6864"/>
    <w:rsid w:val="004B6B3F"/>
    <w:rsid w:val="004B6D8C"/>
    <w:rsid w:val="004B6DF8"/>
    <w:rsid w:val="004B6F78"/>
    <w:rsid w:val="004B74C3"/>
    <w:rsid w:val="004B7772"/>
    <w:rsid w:val="004C03F5"/>
    <w:rsid w:val="004C0786"/>
    <w:rsid w:val="004C091B"/>
    <w:rsid w:val="004C129E"/>
    <w:rsid w:val="004C13DD"/>
    <w:rsid w:val="004C1957"/>
    <w:rsid w:val="004C1BD4"/>
    <w:rsid w:val="004C1D79"/>
    <w:rsid w:val="004C1DFC"/>
    <w:rsid w:val="004C282D"/>
    <w:rsid w:val="004C28F9"/>
    <w:rsid w:val="004C2B7F"/>
    <w:rsid w:val="004C2ED6"/>
    <w:rsid w:val="004C3110"/>
    <w:rsid w:val="004C3184"/>
    <w:rsid w:val="004C36F7"/>
    <w:rsid w:val="004C3B97"/>
    <w:rsid w:val="004C42CD"/>
    <w:rsid w:val="004C45BE"/>
    <w:rsid w:val="004C4DBB"/>
    <w:rsid w:val="004C4ED1"/>
    <w:rsid w:val="004C5133"/>
    <w:rsid w:val="004C575D"/>
    <w:rsid w:val="004C5DFD"/>
    <w:rsid w:val="004C6267"/>
    <w:rsid w:val="004C631E"/>
    <w:rsid w:val="004C6AA4"/>
    <w:rsid w:val="004C7149"/>
    <w:rsid w:val="004C741F"/>
    <w:rsid w:val="004C750E"/>
    <w:rsid w:val="004C7B7B"/>
    <w:rsid w:val="004D0110"/>
    <w:rsid w:val="004D02F5"/>
    <w:rsid w:val="004D0555"/>
    <w:rsid w:val="004D0A53"/>
    <w:rsid w:val="004D0B34"/>
    <w:rsid w:val="004D0FF0"/>
    <w:rsid w:val="004D1186"/>
    <w:rsid w:val="004D1363"/>
    <w:rsid w:val="004D141C"/>
    <w:rsid w:val="004D184F"/>
    <w:rsid w:val="004D1A5A"/>
    <w:rsid w:val="004D1C16"/>
    <w:rsid w:val="004D2454"/>
    <w:rsid w:val="004D25CA"/>
    <w:rsid w:val="004D2B0D"/>
    <w:rsid w:val="004D2E6E"/>
    <w:rsid w:val="004D3083"/>
    <w:rsid w:val="004D3323"/>
    <w:rsid w:val="004D34CE"/>
    <w:rsid w:val="004D3533"/>
    <w:rsid w:val="004D373C"/>
    <w:rsid w:val="004D3A5B"/>
    <w:rsid w:val="004D3D46"/>
    <w:rsid w:val="004D3E9C"/>
    <w:rsid w:val="004D3EBB"/>
    <w:rsid w:val="004D467C"/>
    <w:rsid w:val="004D4711"/>
    <w:rsid w:val="004D4BD0"/>
    <w:rsid w:val="004D4C55"/>
    <w:rsid w:val="004D4D5B"/>
    <w:rsid w:val="004D4DED"/>
    <w:rsid w:val="004D4FA9"/>
    <w:rsid w:val="004D58BC"/>
    <w:rsid w:val="004D5920"/>
    <w:rsid w:val="004D5922"/>
    <w:rsid w:val="004D5A83"/>
    <w:rsid w:val="004D5B88"/>
    <w:rsid w:val="004D5C1E"/>
    <w:rsid w:val="004D618D"/>
    <w:rsid w:val="004D61F1"/>
    <w:rsid w:val="004D6745"/>
    <w:rsid w:val="004D67D4"/>
    <w:rsid w:val="004D67DA"/>
    <w:rsid w:val="004D682D"/>
    <w:rsid w:val="004D6B03"/>
    <w:rsid w:val="004D6E3B"/>
    <w:rsid w:val="004D6ECD"/>
    <w:rsid w:val="004D706C"/>
    <w:rsid w:val="004D7754"/>
    <w:rsid w:val="004D7989"/>
    <w:rsid w:val="004E0372"/>
    <w:rsid w:val="004E0B08"/>
    <w:rsid w:val="004E0F8B"/>
    <w:rsid w:val="004E10A2"/>
    <w:rsid w:val="004E1601"/>
    <w:rsid w:val="004E1732"/>
    <w:rsid w:val="004E1D95"/>
    <w:rsid w:val="004E233D"/>
    <w:rsid w:val="004E294A"/>
    <w:rsid w:val="004E2B40"/>
    <w:rsid w:val="004E2C5C"/>
    <w:rsid w:val="004E30CF"/>
    <w:rsid w:val="004E30F2"/>
    <w:rsid w:val="004E34E3"/>
    <w:rsid w:val="004E3D6D"/>
    <w:rsid w:val="004E3E2C"/>
    <w:rsid w:val="004E3E7C"/>
    <w:rsid w:val="004E45F1"/>
    <w:rsid w:val="004E4887"/>
    <w:rsid w:val="004E48A4"/>
    <w:rsid w:val="004E4DFF"/>
    <w:rsid w:val="004E5FC5"/>
    <w:rsid w:val="004E61DC"/>
    <w:rsid w:val="004E62C4"/>
    <w:rsid w:val="004E671C"/>
    <w:rsid w:val="004E6E0F"/>
    <w:rsid w:val="004E70B7"/>
    <w:rsid w:val="004E7728"/>
    <w:rsid w:val="004E7FFC"/>
    <w:rsid w:val="004F08E5"/>
    <w:rsid w:val="004F0DC1"/>
    <w:rsid w:val="004F0EE4"/>
    <w:rsid w:val="004F13D1"/>
    <w:rsid w:val="004F1CA1"/>
    <w:rsid w:val="004F22D0"/>
    <w:rsid w:val="004F29A5"/>
    <w:rsid w:val="004F2A50"/>
    <w:rsid w:val="004F2A80"/>
    <w:rsid w:val="004F2C52"/>
    <w:rsid w:val="004F3489"/>
    <w:rsid w:val="004F3601"/>
    <w:rsid w:val="004F3B1E"/>
    <w:rsid w:val="004F3F6C"/>
    <w:rsid w:val="004F4993"/>
    <w:rsid w:val="004F52DF"/>
    <w:rsid w:val="004F550F"/>
    <w:rsid w:val="004F5E9B"/>
    <w:rsid w:val="004F63BD"/>
    <w:rsid w:val="004F684A"/>
    <w:rsid w:val="004F6A45"/>
    <w:rsid w:val="004F6BE7"/>
    <w:rsid w:val="004F7114"/>
    <w:rsid w:val="004F757E"/>
    <w:rsid w:val="004F76B9"/>
    <w:rsid w:val="004F7B46"/>
    <w:rsid w:val="004F7C37"/>
    <w:rsid w:val="004F7CE7"/>
    <w:rsid w:val="004F7D9A"/>
    <w:rsid w:val="004F7E82"/>
    <w:rsid w:val="004F7F5A"/>
    <w:rsid w:val="0050015B"/>
    <w:rsid w:val="00500359"/>
    <w:rsid w:val="00500F17"/>
    <w:rsid w:val="005012EB"/>
    <w:rsid w:val="00501797"/>
    <w:rsid w:val="00501B24"/>
    <w:rsid w:val="00501D28"/>
    <w:rsid w:val="00501DDC"/>
    <w:rsid w:val="00501F4D"/>
    <w:rsid w:val="00502F27"/>
    <w:rsid w:val="0050309A"/>
    <w:rsid w:val="0050371E"/>
    <w:rsid w:val="0050396A"/>
    <w:rsid w:val="00503AAA"/>
    <w:rsid w:val="00503B44"/>
    <w:rsid w:val="00504099"/>
    <w:rsid w:val="0050434F"/>
    <w:rsid w:val="005044B2"/>
    <w:rsid w:val="0050453C"/>
    <w:rsid w:val="005045C0"/>
    <w:rsid w:val="0050472D"/>
    <w:rsid w:val="00504B3B"/>
    <w:rsid w:val="00504C9C"/>
    <w:rsid w:val="00504F9E"/>
    <w:rsid w:val="005050CD"/>
    <w:rsid w:val="005054D9"/>
    <w:rsid w:val="00505640"/>
    <w:rsid w:val="005056EB"/>
    <w:rsid w:val="005056F4"/>
    <w:rsid w:val="0050622E"/>
    <w:rsid w:val="00506D6C"/>
    <w:rsid w:val="00507545"/>
    <w:rsid w:val="005077ED"/>
    <w:rsid w:val="00507B48"/>
    <w:rsid w:val="00507B97"/>
    <w:rsid w:val="00507CF5"/>
    <w:rsid w:val="00510036"/>
    <w:rsid w:val="0051027D"/>
    <w:rsid w:val="00510756"/>
    <w:rsid w:val="005107E4"/>
    <w:rsid w:val="005109F8"/>
    <w:rsid w:val="0051103B"/>
    <w:rsid w:val="005114C1"/>
    <w:rsid w:val="00511AC8"/>
    <w:rsid w:val="00511EEB"/>
    <w:rsid w:val="005120B0"/>
    <w:rsid w:val="00512502"/>
    <w:rsid w:val="005127DA"/>
    <w:rsid w:val="00513093"/>
    <w:rsid w:val="0051327A"/>
    <w:rsid w:val="00513375"/>
    <w:rsid w:val="0051361E"/>
    <w:rsid w:val="00513B00"/>
    <w:rsid w:val="00514866"/>
    <w:rsid w:val="005148F0"/>
    <w:rsid w:val="00514A87"/>
    <w:rsid w:val="00514C29"/>
    <w:rsid w:val="00515421"/>
    <w:rsid w:val="005157A8"/>
    <w:rsid w:val="00515E97"/>
    <w:rsid w:val="005166C0"/>
    <w:rsid w:val="00516B8D"/>
    <w:rsid w:val="00516FF4"/>
    <w:rsid w:val="00516FFC"/>
    <w:rsid w:val="0051700C"/>
    <w:rsid w:val="0051717E"/>
    <w:rsid w:val="00517966"/>
    <w:rsid w:val="00517A13"/>
    <w:rsid w:val="00517BC9"/>
    <w:rsid w:val="00517DC6"/>
    <w:rsid w:val="00517FFA"/>
    <w:rsid w:val="00520CC0"/>
    <w:rsid w:val="00520D6A"/>
    <w:rsid w:val="00520DBB"/>
    <w:rsid w:val="00520FBC"/>
    <w:rsid w:val="00521306"/>
    <w:rsid w:val="00521493"/>
    <w:rsid w:val="005214F3"/>
    <w:rsid w:val="00521A29"/>
    <w:rsid w:val="005220CC"/>
    <w:rsid w:val="0052268D"/>
    <w:rsid w:val="0052295B"/>
    <w:rsid w:val="00522A12"/>
    <w:rsid w:val="00522C3A"/>
    <w:rsid w:val="00523651"/>
    <w:rsid w:val="00523BBF"/>
    <w:rsid w:val="00524225"/>
    <w:rsid w:val="00524248"/>
    <w:rsid w:val="005243A6"/>
    <w:rsid w:val="00524885"/>
    <w:rsid w:val="00525076"/>
    <w:rsid w:val="00525204"/>
    <w:rsid w:val="0052596C"/>
    <w:rsid w:val="00525A0F"/>
    <w:rsid w:val="00525AD8"/>
    <w:rsid w:val="00525AF1"/>
    <w:rsid w:val="00525FEA"/>
    <w:rsid w:val="00526218"/>
    <w:rsid w:val="005262C3"/>
    <w:rsid w:val="00526546"/>
    <w:rsid w:val="005266BA"/>
    <w:rsid w:val="00526C12"/>
    <w:rsid w:val="00527058"/>
    <w:rsid w:val="0052712E"/>
    <w:rsid w:val="005274ED"/>
    <w:rsid w:val="005276F5"/>
    <w:rsid w:val="00527780"/>
    <w:rsid w:val="00527EEC"/>
    <w:rsid w:val="005302BE"/>
    <w:rsid w:val="00530531"/>
    <w:rsid w:val="00530A7B"/>
    <w:rsid w:val="00531284"/>
    <w:rsid w:val="0053141B"/>
    <w:rsid w:val="00531535"/>
    <w:rsid w:val="005319FD"/>
    <w:rsid w:val="00531BDB"/>
    <w:rsid w:val="00531EAA"/>
    <w:rsid w:val="00531F0D"/>
    <w:rsid w:val="00532937"/>
    <w:rsid w:val="00533029"/>
    <w:rsid w:val="00533469"/>
    <w:rsid w:val="00533614"/>
    <w:rsid w:val="00533709"/>
    <w:rsid w:val="005337B6"/>
    <w:rsid w:val="00534138"/>
    <w:rsid w:val="005344C6"/>
    <w:rsid w:val="0053482F"/>
    <w:rsid w:val="00534BB8"/>
    <w:rsid w:val="00534F2E"/>
    <w:rsid w:val="00534FDB"/>
    <w:rsid w:val="005354E4"/>
    <w:rsid w:val="0053586F"/>
    <w:rsid w:val="00535DE4"/>
    <w:rsid w:val="00535FAD"/>
    <w:rsid w:val="0053626C"/>
    <w:rsid w:val="00536279"/>
    <w:rsid w:val="005368C3"/>
    <w:rsid w:val="00536979"/>
    <w:rsid w:val="00536DAF"/>
    <w:rsid w:val="00537004"/>
    <w:rsid w:val="005375FF"/>
    <w:rsid w:val="00537B90"/>
    <w:rsid w:val="00537C7C"/>
    <w:rsid w:val="00537EFC"/>
    <w:rsid w:val="005400E0"/>
    <w:rsid w:val="00540104"/>
    <w:rsid w:val="00540335"/>
    <w:rsid w:val="00540E76"/>
    <w:rsid w:val="0054165D"/>
    <w:rsid w:val="00541C5E"/>
    <w:rsid w:val="00541E52"/>
    <w:rsid w:val="0054288C"/>
    <w:rsid w:val="005428D5"/>
    <w:rsid w:val="0054337D"/>
    <w:rsid w:val="00543522"/>
    <w:rsid w:val="005435F9"/>
    <w:rsid w:val="00543A0A"/>
    <w:rsid w:val="00544106"/>
    <w:rsid w:val="00544B6F"/>
    <w:rsid w:val="00544CBE"/>
    <w:rsid w:val="00545BBB"/>
    <w:rsid w:val="00545E6E"/>
    <w:rsid w:val="00545F1B"/>
    <w:rsid w:val="005466B5"/>
    <w:rsid w:val="00546F58"/>
    <w:rsid w:val="00547E28"/>
    <w:rsid w:val="00547E64"/>
    <w:rsid w:val="00547E6B"/>
    <w:rsid w:val="0055002F"/>
    <w:rsid w:val="005500A8"/>
    <w:rsid w:val="00550172"/>
    <w:rsid w:val="00550400"/>
    <w:rsid w:val="005507CE"/>
    <w:rsid w:val="00550BEB"/>
    <w:rsid w:val="00550DBE"/>
    <w:rsid w:val="005510B3"/>
    <w:rsid w:val="00551122"/>
    <w:rsid w:val="005514E7"/>
    <w:rsid w:val="00551B34"/>
    <w:rsid w:val="00551B72"/>
    <w:rsid w:val="00551D47"/>
    <w:rsid w:val="00551D4B"/>
    <w:rsid w:val="00551DF4"/>
    <w:rsid w:val="00551F0E"/>
    <w:rsid w:val="0055215D"/>
    <w:rsid w:val="005524A2"/>
    <w:rsid w:val="005526E6"/>
    <w:rsid w:val="00552B40"/>
    <w:rsid w:val="0055301E"/>
    <w:rsid w:val="005531CA"/>
    <w:rsid w:val="00553F63"/>
    <w:rsid w:val="00554065"/>
    <w:rsid w:val="00554095"/>
    <w:rsid w:val="00554455"/>
    <w:rsid w:val="0055460A"/>
    <w:rsid w:val="0055476C"/>
    <w:rsid w:val="005548DB"/>
    <w:rsid w:val="00554930"/>
    <w:rsid w:val="00554EB8"/>
    <w:rsid w:val="0055510F"/>
    <w:rsid w:val="0055517B"/>
    <w:rsid w:val="00555454"/>
    <w:rsid w:val="005556B9"/>
    <w:rsid w:val="005556FC"/>
    <w:rsid w:val="00555BCB"/>
    <w:rsid w:val="00555E8A"/>
    <w:rsid w:val="0055615C"/>
    <w:rsid w:val="005561A2"/>
    <w:rsid w:val="00556321"/>
    <w:rsid w:val="005564B2"/>
    <w:rsid w:val="0055664B"/>
    <w:rsid w:val="00556C17"/>
    <w:rsid w:val="00556F03"/>
    <w:rsid w:val="00556F4B"/>
    <w:rsid w:val="0055737B"/>
    <w:rsid w:val="005575D0"/>
    <w:rsid w:val="005575F1"/>
    <w:rsid w:val="005579A8"/>
    <w:rsid w:val="00557B27"/>
    <w:rsid w:val="00557C14"/>
    <w:rsid w:val="00557CD9"/>
    <w:rsid w:val="00557D7C"/>
    <w:rsid w:val="00560399"/>
    <w:rsid w:val="005605C2"/>
    <w:rsid w:val="00560CEE"/>
    <w:rsid w:val="00560E97"/>
    <w:rsid w:val="005611EC"/>
    <w:rsid w:val="00561438"/>
    <w:rsid w:val="00561732"/>
    <w:rsid w:val="005617A7"/>
    <w:rsid w:val="00561EA4"/>
    <w:rsid w:val="005622A5"/>
    <w:rsid w:val="00562643"/>
    <w:rsid w:val="00562DF6"/>
    <w:rsid w:val="00563018"/>
    <w:rsid w:val="00563099"/>
    <w:rsid w:val="0056318F"/>
    <w:rsid w:val="00563DBD"/>
    <w:rsid w:val="00563E4B"/>
    <w:rsid w:val="00563E5D"/>
    <w:rsid w:val="005640CF"/>
    <w:rsid w:val="00564484"/>
    <w:rsid w:val="005646CE"/>
    <w:rsid w:val="00564783"/>
    <w:rsid w:val="00564BD0"/>
    <w:rsid w:val="00564C19"/>
    <w:rsid w:val="0056528F"/>
    <w:rsid w:val="005652CF"/>
    <w:rsid w:val="00565434"/>
    <w:rsid w:val="00565717"/>
    <w:rsid w:val="005660FD"/>
    <w:rsid w:val="0056633C"/>
    <w:rsid w:val="005664A2"/>
    <w:rsid w:val="00566725"/>
    <w:rsid w:val="00566885"/>
    <w:rsid w:val="005668FB"/>
    <w:rsid w:val="005669EE"/>
    <w:rsid w:val="00566E33"/>
    <w:rsid w:val="00566EE1"/>
    <w:rsid w:val="00566F97"/>
    <w:rsid w:val="005678F6"/>
    <w:rsid w:val="00567E80"/>
    <w:rsid w:val="00567FA0"/>
    <w:rsid w:val="0057066E"/>
    <w:rsid w:val="00570827"/>
    <w:rsid w:val="00570D16"/>
    <w:rsid w:val="0057103A"/>
    <w:rsid w:val="005712F2"/>
    <w:rsid w:val="00571349"/>
    <w:rsid w:val="005714EC"/>
    <w:rsid w:val="0057195C"/>
    <w:rsid w:val="00571D97"/>
    <w:rsid w:val="00572481"/>
    <w:rsid w:val="00572BB9"/>
    <w:rsid w:val="00572C42"/>
    <w:rsid w:val="00573076"/>
    <w:rsid w:val="005736BE"/>
    <w:rsid w:val="005736EF"/>
    <w:rsid w:val="00573710"/>
    <w:rsid w:val="00573EDF"/>
    <w:rsid w:val="00573FC7"/>
    <w:rsid w:val="0057437B"/>
    <w:rsid w:val="00574AD9"/>
    <w:rsid w:val="00574C99"/>
    <w:rsid w:val="00574FCE"/>
    <w:rsid w:val="0057551C"/>
    <w:rsid w:val="00575536"/>
    <w:rsid w:val="0057555B"/>
    <w:rsid w:val="0057595B"/>
    <w:rsid w:val="00575B53"/>
    <w:rsid w:val="0057620F"/>
    <w:rsid w:val="00576210"/>
    <w:rsid w:val="005763C1"/>
    <w:rsid w:val="00576D03"/>
    <w:rsid w:val="00576F95"/>
    <w:rsid w:val="0057746C"/>
    <w:rsid w:val="005779E4"/>
    <w:rsid w:val="00580046"/>
    <w:rsid w:val="00580073"/>
    <w:rsid w:val="005804B4"/>
    <w:rsid w:val="00580567"/>
    <w:rsid w:val="0058064B"/>
    <w:rsid w:val="005808AF"/>
    <w:rsid w:val="00580902"/>
    <w:rsid w:val="00581134"/>
    <w:rsid w:val="00581545"/>
    <w:rsid w:val="005820D1"/>
    <w:rsid w:val="005823E1"/>
    <w:rsid w:val="0058298A"/>
    <w:rsid w:val="0058312B"/>
    <w:rsid w:val="0058334B"/>
    <w:rsid w:val="00583413"/>
    <w:rsid w:val="005838C6"/>
    <w:rsid w:val="0058453B"/>
    <w:rsid w:val="0058454A"/>
    <w:rsid w:val="005846D8"/>
    <w:rsid w:val="00584AF5"/>
    <w:rsid w:val="00584EFC"/>
    <w:rsid w:val="00585CFC"/>
    <w:rsid w:val="00585D11"/>
    <w:rsid w:val="00585DDD"/>
    <w:rsid w:val="00586310"/>
    <w:rsid w:val="0058661D"/>
    <w:rsid w:val="005867F1"/>
    <w:rsid w:val="00587193"/>
    <w:rsid w:val="0058733D"/>
    <w:rsid w:val="00587457"/>
    <w:rsid w:val="005877E3"/>
    <w:rsid w:val="00587853"/>
    <w:rsid w:val="00587B4B"/>
    <w:rsid w:val="00587D2B"/>
    <w:rsid w:val="005901E2"/>
    <w:rsid w:val="005903CB"/>
    <w:rsid w:val="005904D6"/>
    <w:rsid w:val="005905F5"/>
    <w:rsid w:val="005908AF"/>
    <w:rsid w:val="00590A22"/>
    <w:rsid w:val="00590E8E"/>
    <w:rsid w:val="00590EA6"/>
    <w:rsid w:val="005911BB"/>
    <w:rsid w:val="00591318"/>
    <w:rsid w:val="0059173B"/>
    <w:rsid w:val="005919D9"/>
    <w:rsid w:val="00591BD3"/>
    <w:rsid w:val="00591EA6"/>
    <w:rsid w:val="00591EA8"/>
    <w:rsid w:val="005921F2"/>
    <w:rsid w:val="0059273B"/>
    <w:rsid w:val="005927C5"/>
    <w:rsid w:val="00592AC8"/>
    <w:rsid w:val="00592F73"/>
    <w:rsid w:val="005932F8"/>
    <w:rsid w:val="00593370"/>
    <w:rsid w:val="005933CD"/>
    <w:rsid w:val="00593597"/>
    <w:rsid w:val="00593698"/>
    <w:rsid w:val="00593C9E"/>
    <w:rsid w:val="005940FA"/>
    <w:rsid w:val="00594B3E"/>
    <w:rsid w:val="00594D60"/>
    <w:rsid w:val="005951CE"/>
    <w:rsid w:val="005956D4"/>
    <w:rsid w:val="005961F4"/>
    <w:rsid w:val="00596A90"/>
    <w:rsid w:val="00596AB2"/>
    <w:rsid w:val="00596B79"/>
    <w:rsid w:val="00596BDC"/>
    <w:rsid w:val="00596CA7"/>
    <w:rsid w:val="00596EE9"/>
    <w:rsid w:val="0059719A"/>
    <w:rsid w:val="005971CE"/>
    <w:rsid w:val="0059728C"/>
    <w:rsid w:val="00597B2A"/>
    <w:rsid w:val="00597F46"/>
    <w:rsid w:val="005A0091"/>
    <w:rsid w:val="005A03AD"/>
    <w:rsid w:val="005A03D3"/>
    <w:rsid w:val="005A043A"/>
    <w:rsid w:val="005A0BAE"/>
    <w:rsid w:val="005A0BB6"/>
    <w:rsid w:val="005A0C39"/>
    <w:rsid w:val="005A1042"/>
    <w:rsid w:val="005A10AC"/>
    <w:rsid w:val="005A11E0"/>
    <w:rsid w:val="005A149C"/>
    <w:rsid w:val="005A14E0"/>
    <w:rsid w:val="005A162F"/>
    <w:rsid w:val="005A17BA"/>
    <w:rsid w:val="005A22FF"/>
    <w:rsid w:val="005A2910"/>
    <w:rsid w:val="005A29A8"/>
    <w:rsid w:val="005A3109"/>
    <w:rsid w:val="005A386D"/>
    <w:rsid w:val="005A3F2F"/>
    <w:rsid w:val="005A4236"/>
    <w:rsid w:val="005A435E"/>
    <w:rsid w:val="005A4448"/>
    <w:rsid w:val="005A47AE"/>
    <w:rsid w:val="005A4CDE"/>
    <w:rsid w:val="005A4E0B"/>
    <w:rsid w:val="005A5186"/>
    <w:rsid w:val="005A5A74"/>
    <w:rsid w:val="005A6B8F"/>
    <w:rsid w:val="005A70AF"/>
    <w:rsid w:val="005A71B1"/>
    <w:rsid w:val="005A75EA"/>
    <w:rsid w:val="005A7D20"/>
    <w:rsid w:val="005B0140"/>
    <w:rsid w:val="005B028B"/>
    <w:rsid w:val="005B029E"/>
    <w:rsid w:val="005B082D"/>
    <w:rsid w:val="005B0B29"/>
    <w:rsid w:val="005B0C7F"/>
    <w:rsid w:val="005B1CA2"/>
    <w:rsid w:val="005B1D48"/>
    <w:rsid w:val="005B1E97"/>
    <w:rsid w:val="005B2014"/>
    <w:rsid w:val="005B2154"/>
    <w:rsid w:val="005B217B"/>
    <w:rsid w:val="005B27DE"/>
    <w:rsid w:val="005B28FC"/>
    <w:rsid w:val="005B2CF6"/>
    <w:rsid w:val="005B2E13"/>
    <w:rsid w:val="005B2F58"/>
    <w:rsid w:val="005B2F72"/>
    <w:rsid w:val="005B33EA"/>
    <w:rsid w:val="005B3929"/>
    <w:rsid w:val="005B39A3"/>
    <w:rsid w:val="005B3C47"/>
    <w:rsid w:val="005B41FF"/>
    <w:rsid w:val="005B429F"/>
    <w:rsid w:val="005B4ACD"/>
    <w:rsid w:val="005B5602"/>
    <w:rsid w:val="005B5DDD"/>
    <w:rsid w:val="005B5FCB"/>
    <w:rsid w:val="005B61CB"/>
    <w:rsid w:val="005B6271"/>
    <w:rsid w:val="005B644C"/>
    <w:rsid w:val="005B65D4"/>
    <w:rsid w:val="005B65F4"/>
    <w:rsid w:val="005B67F1"/>
    <w:rsid w:val="005B7292"/>
    <w:rsid w:val="005B73C5"/>
    <w:rsid w:val="005B76A0"/>
    <w:rsid w:val="005B7A35"/>
    <w:rsid w:val="005B7B25"/>
    <w:rsid w:val="005B7E3F"/>
    <w:rsid w:val="005B7E6A"/>
    <w:rsid w:val="005C0183"/>
    <w:rsid w:val="005C09C2"/>
    <w:rsid w:val="005C0A3A"/>
    <w:rsid w:val="005C0A96"/>
    <w:rsid w:val="005C100C"/>
    <w:rsid w:val="005C1315"/>
    <w:rsid w:val="005C13FF"/>
    <w:rsid w:val="005C14D4"/>
    <w:rsid w:val="005C1761"/>
    <w:rsid w:val="005C177A"/>
    <w:rsid w:val="005C1B09"/>
    <w:rsid w:val="005C1FB2"/>
    <w:rsid w:val="005C2343"/>
    <w:rsid w:val="005C2C4E"/>
    <w:rsid w:val="005C2FAE"/>
    <w:rsid w:val="005C350C"/>
    <w:rsid w:val="005C3650"/>
    <w:rsid w:val="005C3678"/>
    <w:rsid w:val="005C36FE"/>
    <w:rsid w:val="005C3CBC"/>
    <w:rsid w:val="005C3D2D"/>
    <w:rsid w:val="005C3DF6"/>
    <w:rsid w:val="005C3EB9"/>
    <w:rsid w:val="005C3FC8"/>
    <w:rsid w:val="005C411A"/>
    <w:rsid w:val="005C4211"/>
    <w:rsid w:val="005C4489"/>
    <w:rsid w:val="005C45A0"/>
    <w:rsid w:val="005C48AA"/>
    <w:rsid w:val="005C496E"/>
    <w:rsid w:val="005C4BAF"/>
    <w:rsid w:val="005C4CB8"/>
    <w:rsid w:val="005C4D8F"/>
    <w:rsid w:val="005C4E71"/>
    <w:rsid w:val="005C5657"/>
    <w:rsid w:val="005C5C95"/>
    <w:rsid w:val="005C5F7A"/>
    <w:rsid w:val="005C65FB"/>
    <w:rsid w:val="005C66AF"/>
    <w:rsid w:val="005C68DA"/>
    <w:rsid w:val="005C6A6F"/>
    <w:rsid w:val="005C6D09"/>
    <w:rsid w:val="005C6D29"/>
    <w:rsid w:val="005C6D65"/>
    <w:rsid w:val="005C6DD6"/>
    <w:rsid w:val="005C6F6D"/>
    <w:rsid w:val="005C716E"/>
    <w:rsid w:val="005C7735"/>
    <w:rsid w:val="005C7A17"/>
    <w:rsid w:val="005C7BE2"/>
    <w:rsid w:val="005C7F44"/>
    <w:rsid w:val="005D047E"/>
    <w:rsid w:val="005D04EA"/>
    <w:rsid w:val="005D076B"/>
    <w:rsid w:val="005D0837"/>
    <w:rsid w:val="005D0ABF"/>
    <w:rsid w:val="005D0CDC"/>
    <w:rsid w:val="005D0D90"/>
    <w:rsid w:val="005D0EE2"/>
    <w:rsid w:val="005D0FB9"/>
    <w:rsid w:val="005D1AF7"/>
    <w:rsid w:val="005D1F4C"/>
    <w:rsid w:val="005D1FC7"/>
    <w:rsid w:val="005D201C"/>
    <w:rsid w:val="005D222E"/>
    <w:rsid w:val="005D246C"/>
    <w:rsid w:val="005D258C"/>
    <w:rsid w:val="005D26C6"/>
    <w:rsid w:val="005D27EA"/>
    <w:rsid w:val="005D2E17"/>
    <w:rsid w:val="005D367C"/>
    <w:rsid w:val="005D3AD5"/>
    <w:rsid w:val="005D3CA3"/>
    <w:rsid w:val="005D3D35"/>
    <w:rsid w:val="005D3ED1"/>
    <w:rsid w:val="005D46A4"/>
    <w:rsid w:val="005D4CC2"/>
    <w:rsid w:val="005D51DE"/>
    <w:rsid w:val="005D51E9"/>
    <w:rsid w:val="005D57E3"/>
    <w:rsid w:val="005D595C"/>
    <w:rsid w:val="005D6579"/>
    <w:rsid w:val="005D668B"/>
    <w:rsid w:val="005D6884"/>
    <w:rsid w:val="005D6976"/>
    <w:rsid w:val="005D6BDD"/>
    <w:rsid w:val="005D6BEE"/>
    <w:rsid w:val="005D6DE9"/>
    <w:rsid w:val="005D7042"/>
    <w:rsid w:val="005D71F9"/>
    <w:rsid w:val="005D7258"/>
    <w:rsid w:val="005D7C61"/>
    <w:rsid w:val="005D7CA8"/>
    <w:rsid w:val="005D7CAD"/>
    <w:rsid w:val="005D7CCD"/>
    <w:rsid w:val="005D7EF5"/>
    <w:rsid w:val="005E011C"/>
    <w:rsid w:val="005E0202"/>
    <w:rsid w:val="005E03F1"/>
    <w:rsid w:val="005E0DAC"/>
    <w:rsid w:val="005E1290"/>
    <w:rsid w:val="005E168E"/>
    <w:rsid w:val="005E18C3"/>
    <w:rsid w:val="005E21D8"/>
    <w:rsid w:val="005E25D6"/>
    <w:rsid w:val="005E25FA"/>
    <w:rsid w:val="005E282B"/>
    <w:rsid w:val="005E28DD"/>
    <w:rsid w:val="005E32C3"/>
    <w:rsid w:val="005E37C6"/>
    <w:rsid w:val="005E37D0"/>
    <w:rsid w:val="005E3D87"/>
    <w:rsid w:val="005E4530"/>
    <w:rsid w:val="005E4704"/>
    <w:rsid w:val="005E47C9"/>
    <w:rsid w:val="005E4D47"/>
    <w:rsid w:val="005E51C3"/>
    <w:rsid w:val="005E56C3"/>
    <w:rsid w:val="005E57A2"/>
    <w:rsid w:val="005E59A0"/>
    <w:rsid w:val="005E5F4F"/>
    <w:rsid w:val="005E632F"/>
    <w:rsid w:val="005E6879"/>
    <w:rsid w:val="005E6EA8"/>
    <w:rsid w:val="005E6FB9"/>
    <w:rsid w:val="005E7070"/>
    <w:rsid w:val="005E7243"/>
    <w:rsid w:val="005E7271"/>
    <w:rsid w:val="005E7B2C"/>
    <w:rsid w:val="005F06A0"/>
    <w:rsid w:val="005F0A88"/>
    <w:rsid w:val="005F0B65"/>
    <w:rsid w:val="005F0E9E"/>
    <w:rsid w:val="005F19FF"/>
    <w:rsid w:val="005F29BA"/>
    <w:rsid w:val="005F2BA5"/>
    <w:rsid w:val="005F2BD2"/>
    <w:rsid w:val="005F2E99"/>
    <w:rsid w:val="005F2F5D"/>
    <w:rsid w:val="005F3018"/>
    <w:rsid w:val="005F3784"/>
    <w:rsid w:val="005F37C8"/>
    <w:rsid w:val="005F3892"/>
    <w:rsid w:val="005F3D66"/>
    <w:rsid w:val="005F3DCC"/>
    <w:rsid w:val="005F3E38"/>
    <w:rsid w:val="005F43E0"/>
    <w:rsid w:val="005F443A"/>
    <w:rsid w:val="005F4772"/>
    <w:rsid w:val="005F49FC"/>
    <w:rsid w:val="005F4D88"/>
    <w:rsid w:val="005F4FAF"/>
    <w:rsid w:val="005F5161"/>
    <w:rsid w:val="005F5847"/>
    <w:rsid w:val="005F5896"/>
    <w:rsid w:val="005F5920"/>
    <w:rsid w:val="005F5EF3"/>
    <w:rsid w:val="005F5F7E"/>
    <w:rsid w:val="005F5F86"/>
    <w:rsid w:val="005F60DE"/>
    <w:rsid w:val="005F668E"/>
    <w:rsid w:val="005F66B1"/>
    <w:rsid w:val="005F6972"/>
    <w:rsid w:val="005F6C13"/>
    <w:rsid w:val="005F6EE5"/>
    <w:rsid w:val="005F749E"/>
    <w:rsid w:val="005F7823"/>
    <w:rsid w:val="005F7A43"/>
    <w:rsid w:val="005F7D8A"/>
    <w:rsid w:val="005F7F10"/>
    <w:rsid w:val="00600456"/>
    <w:rsid w:val="0060088B"/>
    <w:rsid w:val="006008DA"/>
    <w:rsid w:val="00600D1B"/>
    <w:rsid w:val="00600E11"/>
    <w:rsid w:val="00601004"/>
    <w:rsid w:val="00601343"/>
    <w:rsid w:val="006013C8"/>
    <w:rsid w:val="0060167E"/>
    <w:rsid w:val="00601A90"/>
    <w:rsid w:val="00601BDC"/>
    <w:rsid w:val="00601F48"/>
    <w:rsid w:val="00601F78"/>
    <w:rsid w:val="006023A9"/>
    <w:rsid w:val="006025FE"/>
    <w:rsid w:val="00602E44"/>
    <w:rsid w:val="00602E72"/>
    <w:rsid w:val="00603037"/>
    <w:rsid w:val="00603196"/>
    <w:rsid w:val="006032C6"/>
    <w:rsid w:val="00603917"/>
    <w:rsid w:val="00603C45"/>
    <w:rsid w:val="00603D35"/>
    <w:rsid w:val="00603DED"/>
    <w:rsid w:val="00603EB1"/>
    <w:rsid w:val="00603F36"/>
    <w:rsid w:val="00603FE6"/>
    <w:rsid w:val="00604213"/>
    <w:rsid w:val="00604524"/>
    <w:rsid w:val="00604DD5"/>
    <w:rsid w:val="00604FF5"/>
    <w:rsid w:val="006053A3"/>
    <w:rsid w:val="0060582C"/>
    <w:rsid w:val="00605857"/>
    <w:rsid w:val="0060645F"/>
    <w:rsid w:val="0060655F"/>
    <w:rsid w:val="00606988"/>
    <w:rsid w:val="00606F16"/>
    <w:rsid w:val="00606F57"/>
    <w:rsid w:val="00606FF4"/>
    <w:rsid w:val="00607399"/>
    <w:rsid w:val="00607A06"/>
    <w:rsid w:val="00607D15"/>
    <w:rsid w:val="006105F6"/>
    <w:rsid w:val="00610DF8"/>
    <w:rsid w:val="00610FCC"/>
    <w:rsid w:val="006110FA"/>
    <w:rsid w:val="00611127"/>
    <w:rsid w:val="006113DA"/>
    <w:rsid w:val="006113F0"/>
    <w:rsid w:val="006118C3"/>
    <w:rsid w:val="006119D1"/>
    <w:rsid w:val="00611AA7"/>
    <w:rsid w:val="006120F3"/>
    <w:rsid w:val="00612269"/>
    <w:rsid w:val="0061267E"/>
    <w:rsid w:val="00612D95"/>
    <w:rsid w:val="0061319C"/>
    <w:rsid w:val="006131D5"/>
    <w:rsid w:val="0061368B"/>
    <w:rsid w:val="0061375F"/>
    <w:rsid w:val="0061376B"/>
    <w:rsid w:val="00613978"/>
    <w:rsid w:val="00613B5B"/>
    <w:rsid w:val="00613ED7"/>
    <w:rsid w:val="00613FBB"/>
    <w:rsid w:val="00613FD3"/>
    <w:rsid w:val="0061436D"/>
    <w:rsid w:val="00614371"/>
    <w:rsid w:val="00614740"/>
    <w:rsid w:val="00614BAF"/>
    <w:rsid w:val="00614D09"/>
    <w:rsid w:val="00614F41"/>
    <w:rsid w:val="00615322"/>
    <w:rsid w:val="0061537C"/>
    <w:rsid w:val="00615B0D"/>
    <w:rsid w:val="00616274"/>
    <w:rsid w:val="00616318"/>
    <w:rsid w:val="00616352"/>
    <w:rsid w:val="0061641D"/>
    <w:rsid w:val="0061643E"/>
    <w:rsid w:val="006170E4"/>
    <w:rsid w:val="00617164"/>
    <w:rsid w:val="0061750D"/>
    <w:rsid w:val="0061757D"/>
    <w:rsid w:val="00617594"/>
    <w:rsid w:val="00617663"/>
    <w:rsid w:val="00617875"/>
    <w:rsid w:val="00617D6F"/>
    <w:rsid w:val="00617E0C"/>
    <w:rsid w:val="00617ED2"/>
    <w:rsid w:val="006200DA"/>
    <w:rsid w:val="00620748"/>
    <w:rsid w:val="006207FC"/>
    <w:rsid w:val="00620914"/>
    <w:rsid w:val="00620A4E"/>
    <w:rsid w:val="00620BB7"/>
    <w:rsid w:val="00620E02"/>
    <w:rsid w:val="00621197"/>
    <w:rsid w:val="006216A2"/>
    <w:rsid w:val="006217E7"/>
    <w:rsid w:val="00621D9B"/>
    <w:rsid w:val="00621DC6"/>
    <w:rsid w:val="006221D6"/>
    <w:rsid w:val="0062238D"/>
    <w:rsid w:val="0062251E"/>
    <w:rsid w:val="0062272D"/>
    <w:rsid w:val="00622CC2"/>
    <w:rsid w:val="00622F80"/>
    <w:rsid w:val="006230B3"/>
    <w:rsid w:val="0062331C"/>
    <w:rsid w:val="00623448"/>
    <w:rsid w:val="006237B6"/>
    <w:rsid w:val="006238A9"/>
    <w:rsid w:val="00623B98"/>
    <w:rsid w:val="00624210"/>
    <w:rsid w:val="006247CA"/>
    <w:rsid w:val="00624BC1"/>
    <w:rsid w:val="00624D80"/>
    <w:rsid w:val="00624E7E"/>
    <w:rsid w:val="00624EC0"/>
    <w:rsid w:val="0062515B"/>
    <w:rsid w:val="00625A0F"/>
    <w:rsid w:val="00625EB2"/>
    <w:rsid w:val="00625FEC"/>
    <w:rsid w:val="0062615B"/>
    <w:rsid w:val="006261EC"/>
    <w:rsid w:val="00626283"/>
    <w:rsid w:val="00627125"/>
    <w:rsid w:val="00627689"/>
    <w:rsid w:val="006277BF"/>
    <w:rsid w:val="0062786C"/>
    <w:rsid w:val="0062786E"/>
    <w:rsid w:val="00627A3E"/>
    <w:rsid w:val="00627EBC"/>
    <w:rsid w:val="006301B0"/>
    <w:rsid w:val="00630960"/>
    <w:rsid w:val="00630BDA"/>
    <w:rsid w:val="00630DEB"/>
    <w:rsid w:val="006311E1"/>
    <w:rsid w:val="0063153F"/>
    <w:rsid w:val="00632109"/>
    <w:rsid w:val="00632258"/>
    <w:rsid w:val="0063259D"/>
    <w:rsid w:val="006327B4"/>
    <w:rsid w:val="00632983"/>
    <w:rsid w:val="006329A1"/>
    <w:rsid w:val="00632CCB"/>
    <w:rsid w:val="00632F57"/>
    <w:rsid w:val="006333C6"/>
    <w:rsid w:val="0063358E"/>
    <w:rsid w:val="00633946"/>
    <w:rsid w:val="0063411C"/>
    <w:rsid w:val="006351BA"/>
    <w:rsid w:val="00635299"/>
    <w:rsid w:val="006355EF"/>
    <w:rsid w:val="00635901"/>
    <w:rsid w:val="00635BA1"/>
    <w:rsid w:val="0063633A"/>
    <w:rsid w:val="00636469"/>
    <w:rsid w:val="006366B0"/>
    <w:rsid w:val="00636709"/>
    <w:rsid w:val="0063683D"/>
    <w:rsid w:val="00636A27"/>
    <w:rsid w:val="00636B1F"/>
    <w:rsid w:val="00636B7C"/>
    <w:rsid w:val="00636D6D"/>
    <w:rsid w:val="00636F17"/>
    <w:rsid w:val="00637110"/>
    <w:rsid w:val="00637192"/>
    <w:rsid w:val="00637252"/>
    <w:rsid w:val="00637701"/>
    <w:rsid w:val="00637844"/>
    <w:rsid w:val="00637BB8"/>
    <w:rsid w:val="006407ED"/>
    <w:rsid w:val="00640818"/>
    <w:rsid w:val="00640A9A"/>
    <w:rsid w:val="00640E98"/>
    <w:rsid w:val="00640FF3"/>
    <w:rsid w:val="00641746"/>
    <w:rsid w:val="0064214C"/>
    <w:rsid w:val="0064223F"/>
    <w:rsid w:val="00642970"/>
    <w:rsid w:val="00642AB9"/>
    <w:rsid w:val="00642DDB"/>
    <w:rsid w:val="0064308E"/>
    <w:rsid w:val="006430C4"/>
    <w:rsid w:val="006430D7"/>
    <w:rsid w:val="006432A7"/>
    <w:rsid w:val="00643461"/>
    <w:rsid w:val="00643789"/>
    <w:rsid w:val="0064388D"/>
    <w:rsid w:val="00643997"/>
    <w:rsid w:val="006439D9"/>
    <w:rsid w:val="00643C1D"/>
    <w:rsid w:val="00643F84"/>
    <w:rsid w:val="0064412D"/>
    <w:rsid w:val="00644265"/>
    <w:rsid w:val="00644384"/>
    <w:rsid w:val="006443A7"/>
    <w:rsid w:val="00644685"/>
    <w:rsid w:val="00644E65"/>
    <w:rsid w:val="00645163"/>
    <w:rsid w:val="006453AC"/>
    <w:rsid w:val="00645E75"/>
    <w:rsid w:val="006461B0"/>
    <w:rsid w:val="00646A34"/>
    <w:rsid w:val="00646BAA"/>
    <w:rsid w:val="006472EF"/>
    <w:rsid w:val="0064740B"/>
    <w:rsid w:val="006476FB"/>
    <w:rsid w:val="00647901"/>
    <w:rsid w:val="00647A1F"/>
    <w:rsid w:val="00647BC0"/>
    <w:rsid w:val="00647C2A"/>
    <w:rsid w:val="00647CD6"/>
    <w:rsid w:val="0065006E"/>
    <w:rsid w:val="00650475"/>
    <w:rsid w:val="00650631"/>
    <w:rsid w:val="006506FA"/>
    <w:rsid w:val="00650A7F"/>
    <w:rsid w:val="00650B0A"/>
    <w:rsid w:val="00650B77"/>
    <w:rsid w:val="0065105A"/>
    <w:rsid w:val="006514EF"/>
    <w:rsid w:val="00651A12"/>
    <w:rsid w:val="00651B35"/>
    <w:rsid w:val="00651F36"/>
    <w:rsid w:val="00651FEE"/>
    <w:rsid w:val="00652056"/>
    <w:rsid w:val="00652141"/>
    <w:rsid w:val="0065297F"/>
    <w:rsid w:val="00652987"/>
    <w:rsid w:val="006529AC"/>
    <w:rsid w:val="00652F64"/>
    <w:rsid w:val="006530F1"/>
    <w:rsid w:val="006530FE"/>
    <w:rsid w:val="0065421D"/>
    <w:rsid w:val="0065481A"/>
    <w:rsid w:val="00654827"/>
    <w:rsid w:val="0065488E"/>
    <w:rsid w:val="006548B1"/>
    <w:rsid w:val="00654C3F"/>
    <w:rsid w:val="006556C1"/>
    <w:rsid w:val="00655957"/>
    <w:rsid w:val="006559B9"/>
    <w:rsid w:val="00655C56"/>
    <w:rsid w:val="00655EAA"/>
    <w:rsid w:val="006562B5"/>
    <w:rsid w:val="00656AAA"/>
    <w:rsid w:val="00656BBB"/>
    <w:rsid w:val="00657638"/>
    <w:rsid w:val="0065771E"/>
    <w:rsid w:val="00657F9D"/>
    <w:rsid w:val="006600E0"/>
    <w:rsid w:val="00660848"/>
    <w:rsid w:val="0066096C"/>
    <w:rsid w:val="006609AB"/>
    <w:rsid w:val="00660E9B"/>
    <w:rsid w:val="0066116C"/>
    <w:rsid w:val="006612D6"/>
    <w:rsid w:val="006615D0"/>
    <w:rsid w:val="00661665"/>
    <w:rsid w:val="006621AE"/>
    <w:rsid w:val="0066241C"/>
    <w:rsid w:val="00662A0C"/>
    <w:rsid w:val="00662A3C"/>
    <w:rsid w:val="00662BCB"/>
    <w:rsid w:val="0066308C"/>
    <w:rsid w:val="00663570"/>
    <w:rsid w:val="00663CEB"/>
    <w:rsid w:val="00663DA0"/>
    <w:rsid w:val="00664282"/>
    <w:rsid w:val="00664997"/>
    <w:rsid w:val="006650F4"/>
    <w:rsid w:val="00665434"/>
    <w:rsid w:val="006656BE"/>
    <w:rsid w:val="006656FF"/>
    <w:rsid w:val="00665766"/>
    <w:rsid w:val="006659F6"/>
    <w:rsid w:val="00665B85"/>
    <w:rsid w:val="00665C1C"/>
    <w:rsid w:val="00665E00"/>
    <w:rsid w:val="00665E4A"/>
    <w:rsid w:val="00665F8C"/>
    <w:rsid w:val="00666399"/>
    <w:rsid w:val="0066707D"/>
    <w:rsid w:val="006672D6"/>
    <w:rsid w:val="00667AB5"/>
    <w:rsid w:val="00667F32"/>
    <w:rsid w:val="0067000B"/>
    <w:rsid w:val="0067027B"/>
    <w:rsid w:val="00670826"/>
    <w:rsid w:val="0067082B"/>
    <w:rsid w:val="00670A93"/>
    <w:rsid w:val="00670B82"/>
    <w:rsid w:val="00671782"/>
    <w:rsid w:val="0067181F"/>
    <w:rsid w:val="00671B74"/>
    <w:rsid w:val="00671E7A"/>
    <w:rsid w:val="00671EEC"/>
    <w:rsid w:val="00672222"/>
    <w:rsid w:val="006724EF"/>
    <w:rsid w:val="00672589"/>
    <w:rsid w:val="00672EBB"/>
    <w:rsid w:val="006739A9"/>
    <w:rsid w:val="006746F4"/>
    <w:rsid w:val="0067490C"/>
    <w:rsid w:val="00675381"/>
    <w:rsid w:val="00675A76"/>
    <w:rsid w:val="00675E09"/>
    <w:rsid w:val="00675E1D"/>
    <w:rsid w:val="00675EDB"/>
    <w:rsid w:val="0067614C"/>
    <w:rsid w:val="006761E0"/>
    <w:rsid w:val="0067682A"/>
    <w:rsid w:val="006770C1"/>
    <w:rsid w:val="00677697"/>
    <w:rsid w:val="00677A1E"/>
    <w:rsid w:val="00680286"/>
    <w:rsid w:val="0068053C"/>
    <w:rsid w:val="00680A03"/>
    <w:rsid w:val="00680A4F"/>
    <w:rsid w:val="006812B1"/>
    <w:rsid w:val="00681592"/>
    <w:rsid w:val="00682037"/>
    <w:rsid w:val="006824C4"/>
    <w:rsid w:val="00682C17"/>
    <w:rsid w:val="00682C5E"/>
    <w:rsid w:val="00682E2F"/>
    <w:rsid w:val="00682E5B"/>
    <w:rsid w:val="006833AC"/>
    <w:rsid w:val="006835CD"/>
    <w:rsid w:val="00683702"/>
    <w:rsid w:val="006838B1"/>
    <w:rsid w:val="00684180"/>
    <w:rsid w:val="006841EC"/>
    <w:rsid w:val="00684252"/>
    <w:rsid w:val="006843A5"/>
    <w:rsid w:val="006845DE"/>
    <w:rsid w:val="006853FD"/>
    <w:rsid w:val="0068571C"/>
    <w:rsid w:val="0068582F"/>
    <w:rsid w:val="00685B66"/>
    <w:rsid w:val="00685FA9"/>
    <w:rsid w:val="0068646E"/>
    <w:rsid w:val="006866EC"/>
    <w:rsid w:val="0068682C"/>
    <w:rsid w:val="00686B0E"/>
    <w:rsid w:val="00686B1E"/>
    <w:rsid w:val="00686BD5"/>
    <w:rsid w:val="00686E28"/>
    <w:rsid w:val="00687080"/>
    <w:rsid w:val="00687416"/>
    <w:rsid w:val="00687666"/>
    <w:rsid w:val="006876B0"/>
    <w:rsid w:val="006878C9"/>
    <w:rsid w:val="00687B71"/>
    <w:rsid w:val="00690014"/>
    <w:rsid w:val="0069037A"/>
    <w:rsid w:val="00690990"/>
    <w:rsid w:val="006909D6"/>
    <w:rsid w:val="00690B49"/>
    <w:rsid w:val="0069130B"/>
    <w:rsid w:val="006913E6"/>
    <w:rsid w:val="006914DA"/>
    <w:rsid w:val="00691578"/>
    <w:rsid w:val="00691E31"/>
    <w:rsid w:val="006936AB"/>
    <w:rsid w:val="00693E4E"/>
    <w:rsid w:val="00693EA2"/>
    <w:rsid w:val="00694052"/>
    <w:rsid w:val="00694454"/>
    <w:rsid w:val="00694C27"/>
    <w:rsid w:val="00694FA5"/>
    <w:rsid w:val="00695131"/>
    <w:rsid w:val="00695D64"/>
    <w:rsid w:val="00696389"/>
    <w:rsid w:val="006964A5"/>
    <w:rsid w:val="00696884"/>
    <w:rsid w:val="006969C4"/>
    <w:rsid w:val="00696F32"/>
    <w:rsid w:val="00696FDF"/>
    <w:rsid w:val="0069715A"/>
    <w:rsid w:val="006972AF"/>
    <w:rsid w:val="006976B2"/>
    <w:rsid w:val="0069772A"/>
    <w:rsid w:val="0069788A"/>
    <w:rsid w:val="00697B35"/>
    <w:rsid w:val="00697CD7"/>
    <w:rsid w:val="00697E0C"/>
    <w:rsid w:val="006A0098"/>
    <w:rsid w:val="006A03AE"/>
    <w:rsid w:val="006A06A6"/>
    <w:rsid w:val="006A0760"/>
    <w:rsid w:val="006A095F"/>
    <w:rsid w:val="006A0D2C"/>
    <w:rsid w:val="006A0FBE"/>
    <w:rsid w:val="006A182C"/>
    <w:rsid w:val="006A18ED"/>
    <w:rsid w:val="006A1CF0"/>
    <w:rsid w:val="006A1D41"/>
    <w:rsid w:val="006A2164"/>
    <w:rsid w:val="006A218C"/>
    <w:rsid w:val="006A23DA"/>
    <w:rsid w:val="006A253E"/>
    <w:rsid w:val="006A26F6"/>
    <w:rsid w:val="006A275F"/>
    <w:rsid w:val="006A2E8F"/>
    <w:rsid w:val="006A3099"/>
    <w:rsid w:val="006A394E"/>
    <w:rsid w:val="006A3BDE"/>
    <w:rsid w:val="006A4890"/>
    <w:rsid w:val="006A4B4B"/>
    <w:rsid w:val="006A4D99"/>
    <w:rsid w:val="006A4FF3"/>
    <w:rsid w:val="006A53B7"/>
    <w:rsid w:val="006A553E"/>
    <w:rsid w:val="006A5948"/>
    <w:rsid w:val="006A59C7"/>
    <w:rsid w:val="006A5AD2"/>
    <w:rsid w:val="006A5BF8"/>
    <w:rsid w:val="006A5BFF"/>
    <w:rsid w:val="006A5DAC"/>
    <w:rsid w:val="006A6044"/>
    <w:rsid w:val="006A60DD"/>
    <w:rsid w:val="006A61D3"/>
    <w:rsid w:val="006A6527"/>
    <w:rsid w:val="006A6671"/>
    <w:rsid w:val="006A6B99"/>
    <w:rsid w:val="006A6C08"/>
    <w:rsid w:val="006A78A0"/>
    <w:rsid w:val="006A7B28"/>
    <w:rsid w:val="006A7BEB"/>
    <w:rsid w:val="006A7CB5"/>
    <w:rsid w:val="006A7F1E"/>
    <w:rsid w:val="006B021C"/>
    <w:rsid w:val="006B02E2"/>
    <w:rsid w:val="006B02F2"/>
    <w:rsid w:val="006B04A0"/>
    <w:rsid w:val="006B0615"/>
    <w:rsid w:val="006B073B"/>
    <w:rsid w:val="006B0D2D"/>
    <w:rsid w:val="006B0DDA"/>
    <w:rsid w:val="006B0F19"/>
    <w:rsid w:val="006B0FEE"/>
    <w:rsid w:val="006B192C"/>
    <w:rsid w:val="006B1B2A"/>
    <w:rsid w:val="006B1F74"/>
    <w:rsid w:val="006B1FCF"/>
    <w:rsid w:val="006B2083"/>
    <w:rsid w:val="006B24C7"/>
    <w:rsid w:val="006B295F"/>
    <w:rsid w:val="006B29A3"/>
    <w:rsid w:val="006B29D3"/>
    <w:rsid w:val="006B3196"/>
    <w:rsid w:val="006B361D"/>
    <w:rsid w:val="006B3B77"/>
    <w:rsid w:val="006B3C6D"/>
    <w:rsid w:val="006B414D"/>
    <w:rsid w:val="006B4730"/>
    <w:rsid w:val="006B4927"/>
    <w:rsid w:val="006B4CDC"/>
    <w:rsid w:val="006B500D"/>
    <w:rsid w:val="006B55C2"/>
    <w:rsid w:val="006B5A69"/>
    <w:rsid w:val="006B5ADE"/>
    <w:rsid w:val="006B5D37"/>
    <w:rsid w:val="006B6395"/>
    <w:rsid w:val="006B63D3"/>
    <w:rsid w:val="006B6469"/>
    <w:rsid w:val="006B6A80"/>
    <w:rsid w:val="006B6C06"/>
    <w:rsid w:val="006B75F0"/>
    <w:rsid w:val="006B767E"/>
    <w:rsid w:val="006B7A71"/>
    <w:rsid w:val="006C0010"/>
    <w:rsid w:val="006C014A"/>
    <w:rsid w:val="006C02FB"/>
    <w:rsid w:val="006C061F"/>
    <w:rsid w:val="006C067B"/>
    <w:rsid w:val="006C0B57"/>
    <w:rsid w:val="006C0EB8"/>
    <w:rsid w:val="006C0ED8"/>
    <w:rsid w:val="006C11A9"/>
    <w:rsid w:val="006C123E"/>
    <w:rsid w:val="006C14D1"/>
    <w:rsid w:val="006C2188"/>
    <w:rsid w:val="006C234D"/>
    <w:rsid w:val="006C2585"/>
    <w:rsid w:val="006C2668"/>
    <w:rsid w:val="006C2BB8"/>
    <w:rsid w:val="006C2D1A"/>
    <w:rsid w:val="006C2E89"/>
    <w:rsid w:val="006C3397"/>
    <w:rsid w:val="006C3836"/>
    <w:rsid w:val="006C38DE"/>
    <w:rsid w:val="006C3FBB"/>
    <w:rsid w:val="006C427F"/>
    <w:rsid w:val="006C458E"/>
    <w:rsid w:val="006C493B"/>
    <w:rsid w:val="006C4988"/>
    <w:rsid w:val="006C4A42"/>
    <w:rsid w:val="006C4A92"/>
    <w:rsid w:val="006C4E4A"/>
    <w:rsid w:val="006C5924"/>
    <w:rsid w:val="006C5A30"/>
    <w:rsid w:val="006C61DC"/>
    <w:rsid w:val="006C620C"/>
    <w:rsid w:val="006C661A"/>
    <w:rsid w:val="006C6671"/>
    <w:rsid w:val="006C66E2"/>
    <w:rsid w:val="006C6753"/>
    <w:rsid w:val="006C6A21"/>
    <w:rsid w:val="006C70E1"/>
    <w:rsid w:val="006C72E8"/>
    <w:rsid w:val="006C7540"/>
    <w:rsid w:val="006C787B"/>
    <w:rsid w:val="006C78B6"/>
    <w:rsid w:val="006C7DC8"/>
    <w:rsid w:val="006D033C"/>
    <w:rsid w:val="006D03C4"/>
    <w:rsid w:val="006D05BC"/>
    <w:rsid w:val="006D10F1"/>
    <w:rsid w:val="006D1253"/>
    <w:rsid w:val="006D131F"/>
    <w:rsid w:val="006D15E8"/>
    <w:rsid w:val="006D19A6"/>
    <w:rsid w:val="006D1E5A"/>
    <w:rsid w:val="006D1E82"/>
    <w:rsid w:val="006D2678"/>
    <w:rsid w:val="006D30C1"/>
    <w:rsid w:val="006D31A8"/>
    <w:rsid w:val="006D3777"/>
    <w:rsid w:val="006D3D59"/>
    <w:rsid w:val="006D45B8"/>
    <w:rsid w:val="006D49D1"/>
    <w:rsid w:val="006D4A82"/>
    <w:rsid w:val="006D4B0C"/>
    <w:rsid w:val="006D4CC6"/>
    <w:rsid w:val="006D525F"/>
    <w:rsid w:val="006D53F9"/>
    <w:rsid w:val="006D5481"/>
    <w:rsid w:val="006D5934"/>
    <w:rsid w:val="006D60E5"/>
    <w:rsid w:val="006D61B2"/>
    <w:rsid w:val="006D6556"/>
    <w:rsid w:val="006D6AC6"/>
    <w:rsid w:val="006D6C3B"/>
    <w:rsid w:val="006D7010"/>
    <w:rsid w:val="006D7ED0"/>
    <w:rsid w:val="006E037E"/>
    <w:rsid w:val="006E046B"/>
    <w:rsid w:val="006E0BEB"/>
    <w:rsid w:val="006E1074"/>
    <w:rsid w:val="006E1086"/>
    <w:rsid w:val="006E168F"/>
    <w:rsid w:val="006E18D5"/>
    <w:rsid w:val="006E193A"/>
    <w:rsid w:val="006E1986"/>
    <w:rsid w:val="006E2041"/>
    <w:rsid w:val="006E20BB"/>
    <w:rsid w:val="006E22C5"/>
    <w:rsid w:val="006E22D8"/>
    <w:rsid w:val="006E296A"/>
    <w:rsid w:val="006E2DD8"/>
    <w:rsid w:val="006E3181"/>
    <w:rsid w:val="006E324C"/>
    <w:rsid w:val="006E3775"/>
    <w:rsid w:val="006E3938"/>
    <w:rsid w:val="006E3B91"/>
    <w:rsid w:val="006E3C32"/>
    <w:rsid w:val="006E3CB2"/>
    <w:rsid w:val="006E3F18"/>
    <w:rsid w:val="006E42AD"/>
    <w:rsid w:val="006E430A"/>
    <w:rsid w:val="006E44C2"/>
    <w:rsid w:val="006E4A13"/>
    <w:rsid w:val="006E4AEB"/>
    <w:rsid w:val="006E4D6F"/>
    <w:rsid w:val="006E5017"/>
    <w:rsid w:val="006E5106"/>
    <w:rsid w:val="006E5447"/>
    <w:rsid w:val="006E54AA"/>
    <w:rsid w:val="006E5599"/>
    <w:rsid w:val="006E5DBD"/>
    <w:rsid w:val="006E61BB"/>
    <w:rsid w:val="006E6596"/>
    <w:rsid w:val="006E690D"/>
    <w:rsid w:val="006E6BFB"/>
    <w:rsid w:val="006E6FC4"/>
    <w:rsid w:val="006E7174"/>
    <w:rsid w:val="006E7325"/>
    <w:rsid w:val="006E761B"/>
    <w:rsid w:val="006E769E"/>
    <w:rsid w:val="006E7707"/>
    <w:rsid w:val="006E77E0"/>
    <w:rsid w:val="006E78C9"/>
    <w:rsid w:val="006E7904"/>
    <w:rsid w:val="006E7DF1"/>
    <w:rsid w:val="006F03BC"/>
    <w:rsid w:val="006F067F"/>
    <w:rsid w:val="006F0A0F"/>
    <w:rsid w:val="006F0B17"/>
    <w:rsid w:val="006F0B30"/>
    <w:rsid w:val="006F1272"/>
    <w:rsid w:val="006F2637"/>
    <w:rsid w:val="006F269D"/>
    <w:rsid w:val="006F283D"/>
    <w:rsid w:val="006F2986"/>
    <w:rsid w:val="006F2A99"/>
    <w:rsid w:val="006F2F4F"/>
    <w:rsid w:val="006F2F6E"/>
    <w:rsid w:val="006F320F"/>
    <w:rsid w:val="006F36F7"/>
    <w:rsid w:val="006F3AEC"/>
    <w:rsid w:val="006F3B66"/>
    <w:rsid w:val="006F3B6F"/>
    <w:rsid w:val="006F3BB7"/>
    <w:rsid w:val="006F3C0B"/>
    <w:rsid w:val="006F443C"/>
    <w:rsid w:val="006F4F87"/>
    <w:rsid w:val="006F504A"/>
    <w:rsid w:val="006F505F"/>
    <w:rsid w:val="006F53E3"/>
    <w:rsid w:val="006F5C72"/>
    <w:rsid w:val="006F6031"/>
    <w:rsid w:val="006F6525"/>
    <w:rsid w:val="006F71E7"/>
    <w:rsid w:val="006F7569"/>
    <w:rsid w:val="006F76A6"/>
    <w:rsid w:val="006F7B9D"/>
    <w:rsid w:val="006F7CA3"/>
    <w:rsid w:val="006F7DB2"/>
    <w:rsid w:val="006F7F74"/>
    <w:rsid w:val="00700041"/>
    <w:rsid w:val="007000DB"/>
    <w:rsid w:val="007000FD"/>
    <w:rsid w:val="0070088B"/>
    <w:rsid w:val="00700A37"/>
    <w:rsid w:val="00700DE8"/>
    <w:rsid w:val="00700E68"/>
    <w:rsid w:val="0070101E"/>
    <w:rsid w:val="007011C2"/>
    <w:rsid w:val="00701265"/>
    <w:rsid w:val="007014AF"/>
    <w:rsid w:val="00701621"/>
    <w:rsid w:val="00701ED4"/>
    <w:rsid w:val="00702332"/>
    <w:rsid w:val="007024B1"/>
    <w:rsid w:val="0070273C"/>
    <w:rsid w:val="007029C0"/>
    <w:rsid w:val="00702F22"/>
    <w:rsid w:val="00702F4D"/>
    <w:rsid w:val="00703498"/>
    <w:rsid w:val="0070365B"/>
    <w:rsid w:val="007037D7"/>
    <w:rsid w:val="00703874"/>
    <w:rsid w:val="00703BAB"/>
    <w:rsid w:val="0070452C"/>
    <w:rsid w:val="007046C2"/>
    <w:rsid w:val="007046FA"/>
    <w:rsid w:val="00704740"/>
    <w:rsid w:val="00704790"/>
    <w:rsid w:val="007047FA"/>
    <w:rsid w:val="00704CE2"/>
    <w:rsid w:val="00704D2B"/>
    <w:rsid w:val="00704E24"/>
    <w:rsid w:val="0070554A"/>
    <w:rsid w:val="00705628"/>
    <w:rsid w:val="00705711"/>
    <w:rsid w:val="00705AC9"/>
    <w:rsid w:val="00705BD9"/>
    <w:rsid w:val="0070619D"/>
    <w:rsid w:val="00706574"/>
    <w:rsid w:val="007069C6"/>
    <w:rsid w:val="007069D3"/>
    <w:rsid w:val="00706D49"/>
    <w:rsid w:val="00706F13"/>
    <w:rsid w:val="007071A3"/>
    <w:rsid w:val="0070748A"/>
    <w:rsid w:val="007077D3"/>
    <w:rsid w:val="00707EE0"/>
    <w:rsid w:val="00710469"/>
    <w:rsid w:val="007105A3"/>
    <w:rsid w:val="00710A70"/>
    <w:rsid w:val="007110D1"/>
    <w:rsid w:val="007118A1"/>
    <w:rsid w:val="00711B7B"/>
    <w:rsid w:val="00711E00"/>
    <w:rsid w:val="00711EA7"/>
    <w:rsid w:val="00711F64"/>
    <w:rsid w:val="00712CFD"/>
    <w:rsid w:val="00712DD6"/>
    <w:rsid w:val="00712FF7"/>
    <w:rsid w:val="0071328B"/>
    <w:rsid w:val="00713593"/>
    <w:rsid w:val="0071386F"/>
    <w:rsid w:val="007139A1"/>
    <w:rsid w:val="00713ABF"/>
    <w:rsid w:val="00713CBC"/>
    <w:rsid w:val="00714134"/>
    <w:rsid w:val="00714823"/>
    <w:rsid w:val="0071482D"/>
    <w:rsid w:val="007148E7"/>
    <w:rsid w:val="00714B95"/>
    <w:rsid w:val="00714DE8"/>
    <w:rsid w:val="00714DF7"/>
    <w:rsid w:val="00714E65"/>
    <w:rsid w:val="00714F4D"/>
    <w:rsid w:val="00714F72"/>
    <w:rsid w:val="00714FA1"/>
    <w:rsid w:val="00715FAA"/>
    <w:rsid w:val="007166EF"/>
    <w:rsid w:val="00716D40"/>
    <w:rsid w:val="00717281"/>
    <w:rsid w:val="007178D9"/>
    <w:rsid w:val="00717A28"/>
    <w:rsid w:val="00717B50"/>
    <w:rsid w:val="00720038"/>
    <w:rsid w:val="007202EA"/>
    <w:rsid w:val="00720A7C"/>
    <w:rsid w:val="00720ABB"/>
    <w:rsid w:val="00720EC4"/>
    <w:rsid w:val="00720F61"/>
    <w:rsid w:val="0072115B"/>
    <w:rsid w:val="007215F8"/>
    <w:rsid w:val="007217DA"/>
    <w:rsid w:val="00721827"/>
    <w:rsid w:val="00721F11"/>
    <w:rsid w:val="00722065"/>
    <w:rsid w:val="007224B6"/>
    <w:rsid w:val="0072261B"/>
    <w:rsid w:val="00722A8F"/>
    <w:rsid w:val="00723327"/>
    <w:rsid w:val="007241F8"/>
    <w:rsid w:val="007241F9"/>
    <w:rsid w:val="00724D3E"/>
    <w:rsid w:val="00724DED"/>
    <w:rsid w:val="00725173"/>
    <w:rsid w:val="0072545A"/>
    <w:rsid w:val="00725637"/>
    <w:rsid w:val="0072567B"/>
    <w:rsid w:val="007256F1"/>
    <w:rsid w:val="00725870"/>
    <w:rsid w:val="007259A7"/>
    <w:rsid w:val="00725ABE"/>
    <w:rsid w:val="00725D04"/>
    <w:rsid w:val="00725D27"/>
    <w:rsid w:val="00725EEF"/>
    <w:rsid w:val="00726109"/>
    <w:rsid w:val="007262EB"/>
    <w:rsid w:val="007268AE"/>
    <w:rsid w:val="00726ADD"/>
    <w:rsid w:val="0072726B"/>
    <w:rsid w:val="007272A4"/>
    <w:rsid w:val="007273CD"/>
    <w:rsid w:val="00727C5A"/>
    <w:rsid w:val="00727E96"/>
    <w:rsid w:val="0073092D"/>
    <w:rsid w:val="00730A63"/>
    <w:rsid w:val="00730CAA"/>
    <w:rsid w:val="007310C4"/>
    <w:rsid w:val="007314B7"/>
    <w:rsid w:val="0073168F"/>
    <w:rsid w:val="00731A5B"/>
    <w:rsid w:val="00731C7B"/>
    <w:rsid w:val="00731F71"/>
    <w:rsid w:val="00731F81"/>
    <w:rsid w:val="007320EE"/>
    <w:rsid w:val="007324D4"/>
    <w:rsid w:val="00732BF8"/>
    <w:rsid w:val="00732CE2"/>
    <w:rsid w:val="00732D96"/>
    <w:rsid w:val="00732E5E"/>
    <w:rsid w:val="0073336E"/>
    <w:rsid w:val="007335C6"/>
    <w:rsid w:val="0073361F"/>
    <w:rsid w:val="0073408A"/>
    <w:rsid w:val="007341D6"/>
    <w:rsid w:val="007342E7"/>
    <w:rsid w:val="00734BB6"/>
    <w:rsid w:val="00734C0D"/>
    <w:rsid w:val="00734D50"/>
    <w:rsid w:val="00734E4C"/>
    <w:rsid w:val="00734F9C"/>
    <w:rsid w:val="0073545F"/>
    <w:rsid w:val="00735587"/>
    <w:rsid w:val="00735730"/>
    <w:rsid w:val="00735F55"/>
    <w:rsid w:val="007361BF"/>
    <w:rsid w:val="0073631B"/>
    <w:rsid w:val="0073651E"/>
    <w:rsid w:val="00736B43"/>
    <w:rsid w:val="00736E57"/>
    <w:rsid w:val="0073719B"/>
    <w:rsid w:val="007372BC"/>
    <w:rsid w:val="007373B4"/>
    <w:rsid w:val="00737B23"/>
    <w:rsid w:val="00737E63"/>
    <w:rsid w:val="007401ED"/>
    <w:rsid w:val="00740504"/>
    <w:rsid w:val="007406A0"/>
    <w:rsid w:val="00740B2E"/>
    <w:rsid w:val="007416EC"/>
    <w:rsid w:val="00742020"/>
    <w:rsid w:val="007421CE"/>
    <w:rsid w:val="00742238"/>
    <w:rsid w:val="0074276A"/>
    <w:rsid w:val="00742B40"/>
    <w:rsid w:val="00742B60"/>
    <w:rsid w:val="00742C32"/>
    <w:rsid w:val="00742C7C"/>
    <w:rsid w:val="00742FAF"/>
    <w:rsid w:val="0074382D"/>
    <w:rsid w:val="007438C9"/>
    <w:rsid w:val="007439CA"/>
    <w:rsid w:val="00743A4E"/>
    <w:rsid w:val="00743B79"/>
    <w:rsid w:val="00743D20"/>
    <w:rsid w:val="00743D29"/>
    <w:rsid w:val="0074416D"/>
    <w:rsid w:val="0074447C"/>
    <w:rsid w:val="007448D4"/>
    <w:rsid w:val="007451C7"/>
    <w:rsid w:val="00745834"/>
    <w:rsid w:val="00745FA6"/>
    <w:rsid w:val="0074676A"/>
    <w:rsid w:val="0074691C"/>
    <w:rsid w:val="00746A60"/>
    <w:rsid w:val="00746C79"/>
    <w:rsid w:val="00746CC1"/>
    <w:rsid w:val="00747180"/>
    <w:rsid w:val="007473B7"/>
    <w:rsid w:val="007473C4"/>
    <w:rsid w:val="0074746A"/>
    <w:rsid w:val="00747827"/>
    <w:rsid w:val="00750061"/>
    <w:rsid w:val="0075008C"/>
    <w:rsid w:val="0075023E"/>
    <w:rsid w:val="00750839"/>
    <w:rsid w:val="007509BA"/>
    <w:rsid w:val="00750A3C"/>
    <w:rsid w:val="00750CA5"/>
    <w:rsid w:val="00750D16"/>
    <w:rsid w:val="00750DD8"/>
    <w:rsid w:val="00751127"/>
    <w:rsid w:val="0075134B"/>
    <w:rsid w:val="007518C2"/>
    <w:rsid w:val="00751B08"/>
    <w:rsid w:val="00751F76"/>
    <w:rsid w:val="007524B5"/>
    <w:rsid w:val="007529A7"/>
    <w:rsid w:val="00752CF4"/>
    <w:rsid w:val="00752E39"/>
    <w:rsid w:val="0075310B"/>
    <w:rsid w:val="00753271"/>
    <w:rsid w:val="00753303"/>
    <w:rsid w:val="00753315"/>
    <w:rsid w:val="007535D5"/>
    <w:rsid w:val="00753651"/>
    <w:rsid w:val="007536FC"/>
    <w:rsid w:val="00753B65"/>
    <w:rsid w:val="007540D9"/>
    <w:rsid w:val="00754885"/>
    <w:rsid w:val="007549B3"/>
    <w:rsid w:val="00754AE3"/>
    <w:rsid w:val="00754F44"/>
    <w:rsid w:val="00754FAA"/>
    <w:rsid w:val="00755107"/>
    <w:rsid w:val="007552D7"/>
    <w:rsid w:val="00755458"/>
    <w:rsid w:val="0075597A"/>
    <w:rsid w:val="00755B41"/>
    <w:rsid w:val="00755D17"/>
    <w:rsid w:val="00756150"/>
    <w:rsid w:val="007563F2"/>
    <w:rsid w:val="0075648E"/>
    <w:rsid w:val="007566B8"/>
    <w:rsid w:val="00756730"/>
    <w:rsid w:val="007567A9"/>
    <w:rsid w:val="00756E1E"/>
    <w:rsid w:val="00756FF9"/>
    <w:rsid w:val="007571DE"/>
    <w:rsid w:val="007573F1"/>
    <w:rsid w:val="00757495"/>
    <w:rsid w:val="00757546"/>
    <w:rsid w:val="0075764D"/>
    <w:rsid w:val="007578CC"/>
    <w:rsid w:val="00757D83"/>
    <w:rsid w:val="00760332"/>
    <w:rsid w:val="007603DB"/>
    <w:rsid w:val="007608A0"/>
    <w:rsid w:val="007608A3"/>
    <w:rsid w:val="00760CC9"/>
    <w:rsid w:val="00760CFE"/>
    <w:rsid w:val="00761219"/>
    <w:rsid w:val="007612BB"/>
    <w:rsid w:val="00761600"/>
    <w:rsid w:val="0076179F"/>
    <w:rsid w:val="00761B7B"/>
    <w:rsid w:val="00761C5E"/>
    <w:rsid w:val="00761DE2"/>
    <w:rsid w:val="00761EA1"/>
    <w:rsid w:val="00762151"/>
    <w:rsid w:val="00762589"/>
    <w:rsid w:val="00762BEF"/>
    <w:rsid w:val="00762E1D"/>
    <w:rsid w:val="00762F9F"/>
    <w:rsid w:val="007630E2"/>
    <w:rsid w:val="007637AC"/>
    <w:rsid w:val="00763C8F"/>
    <w:rsid w:val="00763DD9"/>
    <w:rsid w:val="00763F0F"/>
    <w:rsid w:val="007642A1"/>
    <w:rsid w:val="00764628"/>
    <w:rsid w:val="00764C03"/>
    <w:rsid w:val="00764C63"/>
    <w:rsid w:val="00765010"/>
    <w:rsid w:val="00765180"/>
    <w:rsid w:val="007652DF"/>
    <w:rsid w:val="007659E3"/>
    <w:rsid w:val="007659FC"/>
    <w:rsid w:val="00765A59"/>
    <w:rsid w:val="007665AB"/>
    <w:rsid w:val="0076660D"/>
    <w:rsid w:val="00766927"/>
    <w:rsid w:val="007669B5"/>
    <w:rsid w:val="00766B8B"/>
    <w:rsid w:val="007673B3"/>
    <w:rsid w:val="00767651"/>
    <w:rsid w:val="00767763"/>
    <w:rsid w:val="00767E25"/>
    <w:rsid w:val="00770442"/>
    <w:rsid w:val="007704C1"/>
    <w:rsid w:val="00770A4C"/>
    <w:rsid w:val="00770DAA"/>
    <w:rsid w:val="0077100F"/>
    <w:rsid w:val="007711D6"/>
    <w:rsid w:val="007718DE"/>
    <w:rsid w:val="00771978"/>
    <w:rsid w:val="00771D37"/>
    <w:rsid w:val="00771D70"/>
    <w:rsid w:val="00771D93"/>
    <w:rsid w:val="007722C1"/>
    <w:rsid w:val="007722FD"/>
    <w:rsid w:val="007726FB"/>
    <w:rsid w:val="00772DFA"/>
    <w:rsid w:val="00772FAC"/>
    <w:rsid w:val="0077376E"/>
    <w:rsid w:val="00773785"/>
    <w:rsid w:val="007745CE"/>
    <w:rsid w:val="0077476E"/>
    <w:rsid w:val="00774ACC"/>
    <w:rsid w:val="00774C5E"/>
    <w:rsid w:val="00775511"/>
    <w:rsid w:val="007758BE"/>
    <w:rsid w:val="00775983"/>
    <w:rsid w:val="007759A6"/>
    <w:rsid w:val="00775A69"/>
    <w:rsid w:val="00775DAD"/>
    <w:rsid w:val="00775EB2"/>
    <w:rsid w:val="007760A7"/>
    <w:rsid w:val="007764A9"/>
    <w:rsid w:val="00776972"/>
    <w:rsid w:val="00776B6D"/>
    <w:rsid w:val="007776DD"/>
    <w:rsid w:val="007776E1"/>
    <w:rsid w:val="00777878"/>
    <w:rsid w:val="007778AF"/>
    <w:rsid w:val="00777A4B"/>
    <w:rsid w:val="00777B1B"/>
    <w:rsid w:val="00777CE2"/>
    <w:rsid w:val="00777D16"/>
    <w:rsid w:val="00777E3E"/>
    <w:rsid w:val="00777E84"/>
    <w:rsid w:val="00777EB5"/>
    <w:rsid w:val="0078021C"/>
    <w:rsid w:val="00780418"/>
    <w:rsid w:val="00780602"/>
    <w:rsid w:val="00780B80"/>
    <w:rsid w:val="00780F9C"/>
    <w:rsid w:val="00780FD6"/>
    <w:rsid w:val="007815BC"/>
    <w:rsid w:val="00781860"/>
    <w:rsid w:val="007822F6"/>
    <w:rsid w:val="00782F41"/>
    <w:rsid w:val="0078309B"/>
    <w:rsid w:val="00783383"/>
    <w:rsid w:val="007833ED"/>
    <w:rsid w:val="00783527"/>
    <w:rsid w:val="00783798"/>
    <w:rsid w:val="00783A79"/>
    <w:rsid w:val="00783D1E"/>
    <w:rsid w:val="00783EF2"/>
    <w:rsid w:val="00784255"/>
    <w:rsid w:val="00784407"/>
    <w:rsid w:val="00784ADA"/>
    <w:rsid w:val="007853F4"/>
    <w:rsid w:val="0078554B"/>
    <w:rsid w:val="00785564"/>
    <w:rsid w:val="00785B03"/>
    <w:rsid w:val="00785BAC"/>
    <w:rsid w:val="00785CA5"/>
    <w:rsid w:val="00785DF7"/>
    <w:rsid w:val="007860EA"/>
    <w:rsid w:val="0078626E"/>
    <w:rsid w:val="0078638C"/>
    <w:rsid w:val="007875D4"/>
    <w:rsid w:val="007879B3"/>
    <w:rsid w:val="00787EBA"/>
    <w:rsid w:val="00787EF3"/>
    <w:rsid w:val="00790027"/>
    <w:rsid w:val="007900E7"/>
    <w:rsid w:val="0079047A"/>
    <w:rsid w:val="00790537"/>
    <w:rsid w:val="007905EA"/>
    <w:rsid w:val="00790A40"/>
    <w:rsid w:val="00790BE3"/>
    <w:rsid w:val="00790EA2"/>
    <w:rsid w:val="007914E0"/>
    <w:rsid w:val="0079167D"/>
    <w:rsid w:val="0079191F"/>
    <w:rsid w:val="00791BD0"/>
    <w:rsid w:val="00791DFE"/>
    <w:rsid w:val="00792351"/>
    <w:rsid w:val="00792681"/>
    <w:rsid w:val="007927B0"/>
    <w:rsid w:val="00793053"/>
    <w:rsid w:val="00793439"/>
    <w:rsid w:val="00793A39"/>
    <w:rsid w:val="00793ACD"/>
    <w:rsid w:val="00793CC2"/>
    <w:rsid w:val="00794777"/>
    <w:rsid w:val="00794857"/>
    <w:rsid w:val="007953CD"/>
    <w:rsid w:val="0079543D"/>
    <w:rsid w:val="00795E41"/>
    <w:rsid w:val="007966E8"/>
    <w:rsid w:val="007968DE"/>
    <w:rsid w:val="00796F79"/>
    <w:rsid w:val="00797304"/>
    <w:rsid w:val="00797574"/>
    <w:rsid w:val="007979D5"/>
    <w:rsid w:val="00797C95"/>
    <w:rsid w:val="007A0018"/>
    <w:rsid w:val="007A01D8"/>
    <w:rsid w:val="007A058B"/>
    <w:rsid w:val="007A0794"/>
    <w:rsid w:val="007A0F4C"/>
    <w:rsid w:val="007A144B"/>
    <w:rsid w:val="007A150E"/>
    <w:rsid w:val="007A17E7"/>
    <w:rsid w:val="007A2205"/>
    <w:rsid w:val="007A265C"/>
    <w:rsid w:val="007A27B3"/>
    <w:rsid w:val="007A27CE"/>
    <w:rsid w:val="007A2800"/>
    <w:rsid w:val="007A2B1F"/>
    <w:rsid w:val="007A2BB1"/>
    <w:rsid w:val="007A2DBA"/>
    <w:rsid w:val="007A2F6A"/>
    <w:rsid w:val="007A3179"/>
    <w:rsid w:val="007A38E9"/>
    <w:rsid w:val="007A3B73"/>
    <w:rsid w:val="007A4135"/>
    <w:rsid w:val="007A473E"/>
    <w:rsid w:val="007A4B05"/>
    <w:rsid w:val="007A4CDB"/>
    <w:rsid w:val="007A51A1"/>
    <w:rsid w:val="007A59DC"/>
    <w:rsid w:val="007A5BF6"/>
    <w:rsid w:val="007A5F35"/>
    <w:rsid w:val="007A629E"/>
    <w:rsid w:val="007A64E2"/>
    <w:rsid w:val="007A6BAD"/>
    <w:rsid w:val="007A6DD8"/>
    <w:rsid w:val="007A6EA3"/>
    <w:rsid w:val="007A7159"/>
    <w:rsid w:val="007A7226"/>
    <w:rsid w:val="007A7785"/>
    <w:rsid w:val="007A7D3C"/>
    <w:rsid w:val="007B09B5"/>
    <w:rsid w:val="007B0F5C"/>
    <w:rsid w:val="007B132C"/>
    <w:rsid w:val="007B15DF"/>
    <w:rsid w:val="007B16AE"/>
    <w:rsid w:val="007B1929"/>
    <w:rsid w:val="007B1EFA"/>
    <w:rsid w:val="007B208C"/>
    <w:rsid w:val="007B2103"/>
    <w:rsid w:val="007B2172"/>
    <w:rsid w:val="007B22F5"/>
    <w:rsid w:val="007B238A"/>
    <w:rsid w:val="007B2FAE"/>
    <w:rsid w:val="007B3077"/>
    <w:rsid w:val="007B3294"/>
    <w:rsid w:val="007B3394"/>
    <w:rsid w:val="007B35CD"/>
    <w:rsid w:val="007B36DB"/>
    <w:rsid w:val="007B3794"/>
    <w:rsid w:val="007B37A3"/>
    <w:rsid w:val="007B3987"/>
    <w:rsid w:val="007B3E8A"/>
    <w:rsid w:val="007B426D"/>
    <w:rsid w:val="007B432F"/>
    <w:rsid w:val="007B4E4E"/>
    <w:rsid w:val="007B4F09"/>
    <w:rsid w:val="007B51D5"/>
    <w:rsid w:val="007B52B8"/>
    <w:rsid w:val="007B56C4"/>
    <w:rsid w:val="007B5D4E"/>
    <w:rsid w:val="007B6062"/>
    <w:rsid w:val="007B6266"/>
    <w:rsid w:val="007B6279"/>
    <w:rsid w:val="007B6299"/>
    <w:rsid w:val="007B6508"/>
    <w:rsid w:val="007B673D"/>
    <w:rsid w:val="007B6DC9"/>
    <w:rsid w:val="007B70FB"/>
    <w:rsid w:val="007B7197"/>
    <w:rsid w:val="007B71BC"/>
    <w:rsid w:val="007B7278"/>
    <w:rsid w:val="007C0466"/>
    <w:rsid w:val="007C05F5"/>
    <w:rsid w:val="007C0757"/>
    <w:rsid w:val="007C0897"/>
    <w:rsid w:val="007C0CAA"/>
    <w:rsid w:val="007C0D4A"/>
    <w:rsid w:val="007C1D3C"/>
    <w:rsid w:val="007C1F9C"/>
    <w:rsid w:val="007C2431"/>
    <w:rsid w:val="007C2641"/>
    <w:rsid w:val="007C2841"/>
    <w:rsid w:val="007C29E7"/>
    <w:rsid w:val="007C2B7B"/>
    <w:rsid w:val="007C2CA7"/>
    <w:rsid w:val="007C2D4E"/>
    <w:rsid w:val="007C3070"/>
    <w:rsid w:val="007C3147"/>
    <w:rsid w:val="007C340B"/>
    <w:rsid w:val="007C39AB"/>
    <w:rsid w:val="007C3DB7"/>
    <w:rsid w:val="007C4B29"/>
    <w:rsid w:val="007C4CB7"/>
    <w:rsid w:val="007C5459"/>
    <w:rsid w:val="007C54EC"/>
    <w:rsid w:val="007C556F"/>
    <w:rsid w:val="007C55DE"/>
    <w:rsid w:val="007C5644"/>
    <w:rsid w:val="007C5867"/>
    <w:rsid w:val="007C6883"/>
    <w:rsid w:val="007C6B2B"/>
    <w:rsid w:val="007C6CFB"/>
    <w:rsid w:val="007C6EA5"/>
    <w:rsid w:val="007C70E7"/>
    <w:rsid w:val="007C7317"/>
    <w:rsid w:val="007D0385"/>
    <w:rsid w:val="007D03FF"/>
    <w:rsid w:val="007D0657"/>
    <w:rsid w:val="007D0854"/>
    <w:rsid w:val="007D0990"/>
    <w:rsid w:val="007D0A23"/>
    <w:rsid w:val="007D0F26"/>
    <w:rsid w:val="007D1C24"/>
    <w:rsid w:val="007D269B"/>
    <w:rsid w:val="007D2AD6"/>
    <w:rsid w:val="007D2E73"/>
    <w:rsid w:val="007D330D"/>
    <w:rsid w:val="007D3546"/>
    <w:rsid w:val="007D3C21"/>
    <w:rsid w:val="007D3F43"/>
    <w:rsid w:val="007D4349"/>
    <w:rsid w:val="007D44C0"/>
    <w:rsid w:val="007D45EA"/>
    <w:rsid w:val="007D49DC"/>
    <w:rsid w:val="007D4BAF"/>
    <w:rsid w:val="007D4E4A"/>
    <w:rsid w:val="007D5055"/>
    <w:rsid w:val="007D5101"/>
    <w:rsid w:val="007D60D0"/>
    <w:rsid w:val="007D61B8"/>
    <w:rsid w:val="007D624E"/>
    <w:rsid w:val="007D6843"/>
    <w:rsid w:val="007D6C67"/>
    <w:rsid w:val="007D6D68"/>
    <w:rsid w:val="007D74A4"/>
    <w:rsid w:val="007D753F"/>
    <w:rsid w:val="007D76AA"/>
    <w:rsid w:val="007D7B40"/>
    <w:rsid w:val="007D7CC9"/>
    <w:rsid w:val="007D7DB4"/>
    <w:rsid w:val="007D7ED5"/>
    <w:rsid w:val="007E02B9"/>
    <w:rsid w:val="007E0C06"/>
    <w:rsid w:val="007E0E35"/>
    <w:rsid w:val="007E1360"/>
    <w:rsid w:val="007E1CEC"/>
    <w:rsid w:val="007E22C2"/>
    <w:rsid w:val="007E22CC"/>
    <w:rsid w:val="007E2555"/>
    <w:rsid w:val="007E292D"/>
    <w:rsid w:val="007E2E2A"/>
    <w:rsid w:val="007E322D"/>
    <w:rsid w:val="007E3447"/>
    <w:rsid w:val="007E34F2"/>
    <w:rsid w:val="007E3733"/>
    <w:rsid w:val="007E373E"/>
    <w:rsid w:val="007E3B80"/>
    <w:rsid w:val="007E3BF3"/>
    <w:rsid w:val="007E4482"/>
    <w:rsid w:val="007E474A"/>
    <w:rsid w:val="007E4A4F"/>
    <w:rsid w:val="007E4D29"/>
    <w:rsid w:val="007E4E15"/>
    <w:rsid w:val="007E549C"/>
    <w:rsid w:val="007E55E1"/>
    <w:rsid w:val="007E576E"/>
    <w:rsid w:val="007E57CC"/>
    <w:rsid w:val="007E57D5"/>
    <w:rsid w:val="007E57F6"/>
    <w:rsid w:val="007E629F"/>
    <w:rsid w:val="007E6345"/>
    <w:rsid w:val="007E687E"/>
    <w:rsid w:val="007E68AA"/>
    <w:rsid w:val="007E6AB0"/>
    <w:rsid w:val="007E6E5A"/>
    <w:rsid w:val="007E6F1B"/>
    <w:rsid w:val="007E710D"/>
    <w:rsid w:val="007E7528"/>
    <w:rsid w:val="007E7685"/>
    <w:rsid w:val="007E76CA"/>
    <w:rsid w:val="007E78D8"/>
    <w:rsid w:val="007F00F4"/>
    <w:rsid w:val="007F0434"/>
    <w:rsid w:val="007F060F"/>
    <w:rsid w:val="007F11B9"/>
    <w:rsid w:val="007F134E"/>
    <w:rsid w:val="007F185C"/>
    <w:rsid w:val="007F1A3A"/>
    <w:rsid w:val="007F1C20"/>
    <w:rsid w:val="007F1E1E"/>
    <w:rsid w:val="007F209B"/>
    <w:rsid w:val="007F22B9"/>
    <w:rsid w:val="007F2771"/>
    <w:rsid w:val="007F2781"/>
    <w:rsid w:val="007F29C9"/>
    <w:rsid w:val="007F2CC4"/>
    <w:rsid w:val="007F2ED1"/>
    <w:rsid w:val="007F34AE"/>
    <w:rsid w:val="007F3534"/>
    <w:rsid w:val="007F3D37"/>
    <w:rsid w:val="007F3DCD"/>
    <w:rsid w:val="007F41B1"/>
    <w:rsid w:val="007F41D7"/>
    <w:rsid w:val="007F4910"/>
    <w:rsid w:val="007F4F25"/>
    <w:rsid w:val="007F5025"/>
    <w:rsid w:val="007F5799"/>
    <w:rsid w:val="007F5840"/>
    <w:rsid w:val="007F5850"/>
    <w:rsid w:val="007F5D00"/>
    <w:rsid w:val="007F61F8"/>
    <w:rsid w:val="007F646D"/>
    <w:rsid w:val="007F64B6"/>
    <w:rsid w:val="007F67FB"/>
    <w:rsid w:val="007F690E"/>
    <w:rsid w:val="007F6D31"/>
    <w:rsid w:val="007F74CC"/>
    <w:rsid w:val="007F7A1C"/>
    <w:rsid w:val="007F7A7C"/>
    <w:rsid w:val="007F7DFD"/>
    <w:rsid w:val="008007BD"/>
    <w:rsid w:val="00800B5D"/>
    <w:rsid w:val="008011EE"/>
    <w:rsid w:val="0080144D"/>
    <w:rsid w:val="00801915"/>
    <w:rsid w:val="00801CCE"/>
    <w:rsid w:val="00801FEC"/>
    <w:rsid w:val="0080225F"/>
    <w:rsid w:val="00802532"/>
    <w:rsid w:val="0080257B"/>
    <w:rsid w:val="008027DB"/>
    <w:rsid w:val="00803385"/>
    <w:rsid w:val="0080347A"/>
    <w:rsid w:val="0080356A"/>
    <w:rsid w:val="00803894"/>
    <w:rsid w:val="0080393C"/>
    <w:rsid w:val="00803C78"/>
    <w:rsid w:val="0080413B"/>
    <w:rsid w:val="00804220"/>
    <w:rsid w:val="00804338"/>
    <w:rsid w:val="008045CA"/>
    <w:rsid w:val="008048A8"/>
    <w:rsid w:val="00804E80"/>
    <w:rsid w:val="00805099"/>
    <w:rsid w:val="00805994"/>
    <w:rsid w:val="00805B25"/>
    <w:rsid w:val="00805CAA"/>
    <w:rsid w:val="00805CFD"/>
    <w:rsid w:val="00805DB1"/>
    <w:rsid w:val="00805E50"/>
    <w:rsid w:val="00805EA6"/>
    <w:rsid w:val="0080608D"/>
    <w:rsid w:val="008062BE"/>
    <w:rsid w:val="008064A5"/>
    <w:rsid w:val="00806A05"/>
    <w:rsid w:val="00806C91"/>
    <w:rsid w:val="0080729F"/>
    <w:rsid w:val="0080735D"/>
    <w:rsid w:val="008078E6"/>
    <w:rsid w:val="00807C7A"/>
    <w:rsid w:val="00807C99"/>
    <w:rsid w:val="008102EF"/>
    <w:rsid w:val="008107C1"/>
    <w:rsid w:val="00810DC6"/>
    <w:rsid w:val="0081143B"/>
    <w:rsid w:val="00811803"/>
    <w:rsid w:val="008120C2"/>
    <w:rsid w:val="00812735"/>
    <w:rsid w:val="008134F1"/>
    <w:rsid w:val="00813639"/>
    <w:rsid w:val="0081390C"/>
    <w:rsid w:val="00813946"/>
    <w:rsid w:val="00813A91"/>
    <w:rsid w:val="00813C60"/>
    <w:rsid w:val="00813CC7"/>
    <w:rsid w:val="00813F88"/>
    <w:rsid w:val="0081456A"/>
    <w:rsid w:val="00814908"/>
    <w:rsid w:val="00814D54"/>
    <w:rsid w:val="00815019"/>
    <w:rsid w:val="0081510F"/>
    <w:rsid w:val="0081514C"/>
    <w:rsid w:val="0081564C"/>
    <w:rsid w:val="00815943"/>
    <w:rsid w:val="008159D1"/>
    <w:rsid w:val="00816086"/>
    <w:rsid w:val="00816118"/>
    <w:rsid w:val="0081618F"/>
    <w:rsid w:val="008165B2"/>
    <w:rsid w:val="0081664A"/>
    <w:rsid w:val="00816A6D"/>
    <w:rsid w:val="00817041"/>
    <w:rsid w:val="00817548"/>
    <w:rsid w:val="00817615"/>
    <w:rsid w:val="00817839"/>
    <w:rsid w:val="00817B48"/>
    <w:rsid w:val="00817C1D"/>
    <w:rsid w:val="0082079B"/>
    <w:rsid w:val="0082083E"/>
    <w:rsid w:val="00820D02"/>
    <w:rsid w:val="008215B6"/>
    <w:rsid w:val="008216AF"/>
    <w:rsid w:val="008217E2"/>
    <w:rsid w:val="00821AB6"/>
    <w:rsid w:val="00821D32"/>
    <w:rsid w:val="00822708"/>
    <w:rsid w:val="00822B0B"/>
    <w:rsid w:val="0082309F"/>
    <w:rsid w:val="008230D5"/>
    <w:rsid w:val="008231FA"/>
    <w:rsid w:val="008232AA"/>
    <w:rsid w:val="0082372E"/>
    <w:rsid w:val="008237E6"/>
    <w:rsid w:val="00823A30"/>
    <w:rsid w:val="00824CBB"/>
    <w:rsid w:val="00824EA1"/>
    <w:rsid w:val="0082584D"/>
    <w:rsid w:val="008259D2"/>
    <w:rsid w:val="00825C02"/>
    <w:rsid w:val="00826029"/>
    <w:rsid w:val="0082614A"/>
    <w:rsid w:val="00826180"/>
    <w:rsid w:val="00826850"/>
    <w:rsid w:val="008274A1"/>
    <w:rsid w:val="00827B88"/>
    <w:rsid w:val="00827BA6"/>
    <w:rsid w:val="00827C85"/>
    <w:rsid w:val="00827E6A"/>
    <w:rsid w:val="00827E75"/>
    <w:rsid w:val="0083042D"/>
    <w:rsid w:val="0083060A"/>
    <w:rsid w:val="008307C7"/>
    <w:rsid w:val="0083083A"/>
    <w:rsid w:val="00831322"/>
    <w:rsid w:val="0083156B"/>
    <w:rsid w:val="008316EE"/>
    <w:rsid w:val="00831949"/>
    <w:rsid w:val="0083195A"/>
    <w:rsid w:val="00831BA4"/>
    <w:rsid w:val="008321F9"/>
    <w:rsid w:val="00832635"/>
    <w:rsid w:val="0083285B"/>
    <w:rsid w:val="0083346E"/>
    <w:rsid w:val="00833582"/>
    <w:rsid w:val="00833EAD"/>
    <w:rsid w:val="00833ED5"/>
    <w:rsid w:val="008342F1"/>
    <w:rsid w:val="008342FF"/>
    <w:rsid w:val="0083435E"/>
    <w:rsid w:val="00834396"/>
    <w:rsid w:val="008344E5"/>
    <w:rsid w:val="00834550"/>
    <w:rsid w:val="00834637"/>
    <w:rsid w:val="00835298"/>
    <w:rsid w:val="008358B5"/>
    <w:rsid w:val="0083644F"/>
    <w:rsid w:val="0083697D"/>
    <w:rsid w:val="00836F85"/>
    <w:rsid w:val="00837198"/>
    <w:rsid w:val="00837292"/>
    <w:rsid w:val="008373B9"/>
    <w:rsid w:val="0083779B"/>
    <w:rsid w:val="00837AA7"/>
    <w:rsid w:val="00837EB0"/>
    <w:rsid w:val="008403AD"/>
    <w:rsid w:val="0084042D"/>
    <w:rsid w:val="0084087E"/>
    <w:rsid w:val="00840A18"/>
    <w:rsid w:val="0084108B"/>
    <w:rsid w:val="00841226"/>
    <w:rsid w:val="00841347"/>
    <w:rsid w:val="0084159B"/>
    <w:rsid w:val="008416EE"/>
    <w:rsid w:val="008417D1"/>
    <w:rsid w:val="00841FFC"/>
    <w:rsid w:val="00842C92"/>
    <w:rsid w:val="00842CC4"/>
    <w:rsid w:val="00842DAA"/>
    <w:rsid w:val="00842E02"/>
    <w:rsid w:val="00842EC2"/>
    <w:rsid w:val="00843035"/>
    <w:rsid w:val="00843265"/>
    <w:rsid w:val="0084341D"/>
    <w:rsid w:val="0084354E"/>
    <w:rsid w:val="00843582"/>
    <w:rsid w:val="00843861"/>
    <w:rsid w:val="00843E11"/>
    <w:rsid w:val="00843EC8"/>
    <w:rsid w:val="00843F56"/>
    <w:rsid w:val="008444FE"/>
    <w:rsid w:val="00844AEF"/>
    <w:rsid w:val="00844CC5"/>
    <w:rsid w:val="00845052"/>
    <w:rsid w:val="0084528F"/>
    <w:rsid w:val="00845586"/>
    <w:rsid w:val="008456AF"/>
    <w:rsid w:val="0084592F"/>
    <w:rsid w:val="00845F79"/>
    <w:rsid w:val="00846104"/>
    <w:rsid w:val="008461DA"/>
    <w:rsid w:val="0084625F"/>
    <w:rsid w:val="00846C83"/>
    <w:rsid w:val="00846FF4"/>
    <w:rsid w:val="0084723F"/>
    <w:rsid w:val="00847331"/>
    <w:rsid w:val="008505B6"/>
    <w:rsid w:val="008507DD"/>
    <w:rsid w:val="00850CE0"/>
    <w:rsid w:val="00850D4F"/>
    <w:rsid w:val="008513B7"/>
    <w:rsid w:val="00851C6C"/>
    <w:rsid w:val="00851E79"/>
    <w:rsid w:val="00852177"/>
    <w:rsid w:val="00852238"/>
    <w:rsid w:val="0085262C"/>
    <w:rsid w:val="00852746"/>
    <w:rsid w:val="008527F9"/>
    <w:rsid w:val="00852A7E"/>
    <w:rsid w:val="00852ABD"/>
    <w:rsid w:val="00852BC9"/>
    <w:rsid w:val="00853114"/>
    <w:rsid w:val="0085320F"/>
    <w:rsid w:val="00853385"/>
    <w:rsid w:val="00853434"/>
    <w:rsid w:val="00853A59"/>
    <w:rsid w:val="00853E99"/>
    <w:rsid w:val="0085419C"/>
    <w:rsid w:val="008541CD"/>
    <w:rsid w:val="00854389"/>
    <w:rsid w:val="00854478"/>
    <w:rsid w:val="0085447D"/>
    <w:rsid w:val="008546A8"/>
    <w:rsid w:val="008546CA"/>
    <w:rsid w:val="008549ED"/>
    <w:rsid w:val="00854A93"/>
    <w:rsid w:val="00854F2B"/>
    <w:rsid w:val="00854F79"/>
    <w:rsid w:val="008554C6"/>
    <w:rsid w:val="008554F1"/>
    <w:rsid w:val="008557F0"/>
    <w:rsid w:val="0085627E"/>
    <w:rsid w:val="0085741D"/>
    <w:rsid w:val="00857851"/>
    <w:rsid w:val="00857D1C"/>
    <w:rsid w:val="00857F8C"/>
    <w:rsid w:val="00860243"/>
    <w:rsid w:val="008602C3"/>
    <w:rsid w:val="00860335"/>
    <w:rsid w:val="0086043A"/>
    <w:rsid w:val="0086048C"/>
    <w:rsid w:val="00860531"/>
    <w:rsid w:val="00860D7F"/>
    <w:rsid w:val="00860E38"/>
    <w:rsid w:val="00860F95"/>
    <w:rsid w:val="008610BB"/>
    <w:rsid w:val="0086118B"/>
    <w:rsid w:val="0086136E"/>
    <w:rsid w:val="00861961"/>
    <w:rsid w:val="008619E9"/>
    <w:rsid w:val="00861A3C"/>
    <w:rsid w:val="00861E29"/>
    <w:rsid w:val="00861FE1"/>
    <w:rsid w:val="00862155"/>
    <w:rsid w:val="008627B5"/>
    <w:rsid w:val="00862E17"/>
    <w:rsid w:val="0086304C"/>
    <w:rsid w:val="00863220"/>
    <w:rsid w:val="008633AA"/>
    <w:rsid w:val="00863AB5"/>
    <w:rsid w:val="00863CCA"/>
    <w:rsid w:val="00863D7F"/>
    <w:rsid w:val="008646AE"/>
    <w:rsid w:val="0086491F"/>
    <w:rsid w:val="00864B41"/>
    <w:rsid w:val="00864C90"/>
    <w:rsid w:val="008656F8"/>
    <w:rsid w:val="00865900"/>
    <w:rsid w:val="00865EEC"/>
    <w:rsid w:val="0086659C"/>
    <w:rsid w:val="008669FE"/>
    <w:rsid w:val="00867379"/>
    <w:rsid w:val="00867B2F"/>
    <w:rsid w:val="008701BE"/>
    <w:rsid w:val="00870203"/>
    <w:rsid w:val="00870368"/>
    <w:rsid w:val="00870640"/>
    <w:rsid w:val="0087089C"/>
    <w:rsid w:val="00870ABD"/>
    <w:rsid w:val="00870ADA"/>
    <w:rsid w:val="0087176A"/>
    <w:rsid w:val="00871856"/>
    <w:rsid w:val="00871B69"/>
    <w:rsid w:val="00871BBA"/>
    <w:rsid w:val="00871FD3"/>
    <w:rsid w:val="00872231"/>
    <w:rsid w:val="0087272B"/>
    <w:rsid w:val="00872FAB"/>
    <w:rsid w:val="008730FF"/>
    <w:rsid w:val="00873112"/>
    <w:rsid w:val="0087314B"/>
    <w:rsid w:val="0087399D"/>
    <w:rsid w:val="00873A6C"/>
    <w:rsid w:val="00874299"/>
    <w:rsid w:val="008743CF"/>
    <w:rsid w:val="00874E0F"/>
    <w:rsid w:val="00874EFF"/>
    <w:rsid w:val="00875708"/>
    <w:rsid w:val="00875A73"/>
    <w:rsid w:val="00875BDD"/>
    <w:rsid w:val="00875C3A"/>
    <w:rsid w:val="00875EF1"/>
    <w:rsid w:val="00876053"/>
    <w:rsid w:val="00876221"/>
    <w:rsid w:val="008762C2"/>
    <w:rsid w:val="008763F8"/>
    <w:rsid w:val="00876577"/>
    <w:rsid w:val="0087689E"/>
    <w:rsid w:val="008768D6"/>
    <w:rsid w:val="00876D6D"/>
    <w:rsid w:val="00877297"/>
    <w:rsid w:val="0087776A"/>
    <w:rsid w:val="00877EE0"/>
    <w:rsid w:val="00880439"/>
    <w:rsid w:val="0088070D"/>
    <w:rsid w:val="00880793"/>
    <w:rsid w:val="00880B7E"/>
    <w:rsid w:val="00880B81"/>
    <w:rsid w:val="00880C1B"/>
    <w:rsid w:val="00881624"/>
    <w:rsid w:val="0088162A"/>
    <w:rsid w:val="008817AE"/>
    <w:rsid w:val="00881E01"/>
    <w:rsid w:val="00882744"/>
    <w:rsid w:val="0088297F"/>
    <w:rsid w:val="00882A32"/>
    <w:rsid w:val="00882FD6"/>
    <w:rsid w:val="00883A2D"/>
    <w:rsid w:val="00883B76"/>
    <w:rsid w:val="00883C46"/>
    <w:rsid w:val="00884186"/>
    <w:rsid w:val="00884583"/>
    <w:rsid w:val="00885316"/>
    <w:rsid w:val="00885CBF"/>
    <w:rsid w:val="00885E73"/>
    <w:rsid w:val="00885F6F"/>
    <w:rsid w:val="00886150"/>
    <w:rsid w:val="00886A16"/>
    <w:rsid w:val="00886B1F"/>
    <w:rsid w:val="00886B47"/>
    <w:rsid w:val="00886BE0"/>
    <w:rsid w:val="00886C1E"/>
    <w:rsid w:val="00887242"/>
    <w:rsid w:val="00887BC9"/>
    <w:rsid w:val="0089009A"/>
    <w:rsid w:val="008908AD"/>
    <w:rsid w:val="00890EA5"/>
    <w:rsid w:val="008918CD"/>
    <w:rsid w:val="00891948"/>
    <w:rsid w:val="00891FAA"/>
    <w:rsid w:val="00892225"/>
    <w:rsid w:val="00892713"/>
    <w:rsid w:val="00892994"/>
    <w:rsid w:val="00892D15"/>
    <w:rsid w:val="00892DBA"/>
    <w:rsid w:val="008932D3"/>
    <w:rsid w:val="00893D24"/>
    <w:rsid w:val="00893DD5"/>
    <w:rsid w:val="00893EEF"/>
    <w:rsid w:val="0089436C"/>
    <w:rsid w:val="00894510"/>
    <w:rsid w:val="00894634"/>
    <w:rsid w:val="00894E41"/>
    <w:rsid w:val="00894F0E"/>
    <w:rsid w:val="0089511D"/>
    <w:rsid w:val="00895283"/>
    <w:rsid w:val="0089536C"/>
    <w:rsid w:val="00895A53"/>
    <w:rsid w:val="00895BAF"/>
    <w:rsid w:val="00895F7B"/>
    <w:rsid w:val="00895FDA"/>
    <w:rsid w:val="00895FF1"/>
    <w:rsid w:val="00896311"/>
    <w:rsid w:val="00896318"/>
    <w:rsid w:val="00896474"/>
    <w:rsid w:val="00896E44"/>
    <w:rsid w:val="00897C99"/>
    <w:rsid w:val="008A01D0"/>
    <w:rsid w:val="008A039C"/>
    <w:rsid w:val="008A0662"/>
    <w:rsid w:val="008A1377"/>
    <w:rsid w:val="008A137B"/>
    <w:rsid w:val="008A14CA"/>
    <w:rsid w:val="008A1A57"/>
    <w:rsid w:val="008A21BA"/>
    <w:rsid w:val="008A2230"/>
    <w:rsid w:val="008A226C"/>
    <w:rsid w:val="008A2FFD"/>
    <w:rsid w:val="008A3052"/>
    <w:rsid w:val="008A3389"/>
    <w:rsid w:val="008A33B9"/>
    <w:rsid w:val="008A35C3"/>
    <w:rsid w:val="008A4A2A"/>
    <w:rsid w:val="008A52D3"/>
    <w:rsid w:val="008A5444"/>
    <w:rsid w:val="008A558D"/>
    <w:rsid w:val="008A57FA"/>
    <w:rsid w:val="008A5A06"/>
    <w:rsid w:val="008A5D4F"/>
    <w:rsid w:val="008A5E01"/>
    <w:rsid w:val="008A5ECF"/>
    <w:rsid w:val="008A5F6E"/>
    <w:rsid w:val="008A640F"/>
    <w:rsid w:val="008A6A9B"/>
    <w:rsid w:val="008A74A6"/>
    <w:rsid w:val="008A74B9"/>
    <w:rsid w:val="008A76A3"/>
    <w:rsid w:val="008A76DF"/>
    <w:rsid w:val="008B0151"/>
    <w:rsid w:val="008B060F"/>
    <w:rsid w:val="008B0CA3"/>
    <w:rsid w:val="008B17C4"/>
    <w:rsid w:val="008B1A92"/>
    <w:rsid w:val="008B1DD1"/>
    <w:rsid w:val="008B1EB8"/>
    <w:rsid w:val="008B1F0E"/>
    <w:rsid w:val="008B24B3"/>
    <w:rsid w:val="008B26CF"/>
    <w:rsid w:val="008B27DC"/>
    <w:rsid w:val="008B28F8"/>
    <w:rsid w:val="008B29C9"/>
    <w:rsid w:val="008B2A66"/>
    <w:rsid w:val="008B2C87"/>
    <w:rsid w:val="008B2EE3"/>
    <w:rsid w:val="008B310B"/>
    <w:rsid w:val="008B3243"/>
    <w:rsid w:val="008B3639"/>
    <w:rsid w:val="008B38B6"/>
    <w:rsid w:val="008B3ADD"/>
    <w:rsid w:val="008B3BBD"/>
    <w:rsid w:val="008B3C19"/>
    <w:rsid w:val="008B3C87"/>
    <w:rsid w:val="008B4801"/>
    <w:rsid w:val="008B4822"/>
    <w:rsid w:val="008B5082"/>
    <w:rsid w:val="008B523C"/>
    <w:rsid w:val="008B53D7"/>
    <w:rsid w:val="008B582C"/>
    <w:rsid w:val="008B5BC4"/>
    <w:rsid w:val="008B6679"/>
    <w:rsid w:val="008B695E"/>
    <w:rsid w:val="008B6AF0"/>
    <w:rsid w:val="008B6E89"/>
    <w:rsid w:val="008B6F90"/>
    <w:rsid w:val="008B7410"/>
    <w:rsid w:val="008B75B5"/>
    <w:rsid w:val="008B7A33"/>
    <w:rsid w:val="008C00C7"/>
    <w:rsid w:val="008C02E6"/>
    <w:rsid w:val="008C0349"/>
    <w:rsid w:val="008C06E2"/>
    <w:rsid w:val="008C0983"/>
    <w:rsid w:val="008C0A5F"/>
    <w:rsid w:val="008C0D4B"/>
    <w:rsid w:val="008C104C"/>
    <w:rsid w:val="008C162D"/>
    <w:rsid w:val="008C187B"/>
    <w:rsid w:val="008C1C09"/>
    <w:rsid w:val="008C1C2A"/>
    <w:rsid w:val="008C2172"/>
    <w:rsid w:val="008C27E6"/>
    <w:rsid w:val="008C296A"/>
    <w:rsid w:val="008C2E6E"/>
    <w:rsid w:val="008C2FAC"/>
    <w:rsid w:val="008C32A7"/>
    <w:rsid w:val="008C32B2"/>
    <w:rsid w:val="008C3688"/>
    <w:rsid w:val="008C3F70"/>
    <w:rsid w:val="008C3FDC"/>
    <w:rsid w:val="008C45CF"/>
    <w:rsid w:val="008C4D01"/>
    <w:rsid w:val="008C4DBB"/>
    <w:rsid w:val="008C4F59"/>
    <w:rsid w:val="008C533C"/>
    <w:rsid w:val="008C5B75"/>
    <w:rsid w:val="008C5E54"/>
    <w:rsid w:val="008C6024"/>
    <w:rsid w:val="008C624F"/>
    <w:rsid w:val="008C63FE"/>
    <w:rsid w:val="008C67C7"/>
    <w:rsid w:val="008C6F01"/>
    <w:rsid w:val="008D015B"/>
    <w:rsid w:val="008D018E"/>
    <w:rsid w:val="008D029A"/>
    <w:rsid w:val="008D0358"/>
    <w:rsid w:val="008D0472"/>
    <w:rsid w:val="008D0B89"/>
    <w:rsid w:val="008D0DCB"/>
    <w:rsid w:val="008D0E1A"/>
    <w:rsid w:val="008D1556"/>
    <w:rsid w:val="008D15A3"/>
    <w:rsid w:val="008D1833"/>
    <w:rsid w:val="008D1C31"/>
    <w:rsid w:val="008D1E3F"/>
    <w:rsid w:val="008D212A"/>
    <w:rsid w:val="008D2261"/>
    <w:rsid w:val="008D2413"/>
    <w:rsid w:val="008D24E1"/>
    <w:rsid w:val="008D2521"/>
    <w:rsid w:val="008D2D57"/>
    <w:rsid w:val="008D3276"/>
    <w:rsid w:val="008D3456"/>
    <w:rsid w:val="008D3671"/>
    <w:rsid w:val="008D375C"/>
    <w:rsid w:val="008D398D"/>
    <w:rsid w:val="008D4091"/>
    <w:rsid w:val="008D41F3"/>
    <w:rsid w:val="008D46F6"/>
    <w:rsid w:val="008D474E"/>
    <w:rsid w:val="008D48EE"/>
    <w:rsid w:val="008D4B25"/>
    <w:rsid w:val="008D4DFD"/>
    <w:rsid w:val="008D4F4F"/>
    <w:rsid w:val="008D5208"/>
    <w:rsid w:val="008D5255"/>
    <w:rsid w:val="008D55DA"/>
    <w:rsid w:val="008D569A"/>
    <w:rsid w:val="008D5A19"/>
    <w:rsid w:val="008D5AE5"/>
    <w:rsid w:val="008D5C7E"/>
    <w:rsid w:val="008D5D05"/>
    <w:rsid w:val="008D5F4C"/>
    <w:rsid w:val="008D646C"/>
    <w:rsid w:val="008D67F7"/>
    <w:rsid w:val="008D692A"/>
    <w:rsid w:val="008D6984"/>
    <w:rsid w:val="008D73B1"/>
    <w:rsid w:val="008D7804"/>
    <w:rsid w:val="008D7B20"/>
    <w:rsid w:val="008E00C0"/>
    <w:rsid w:val="008E0301"/>
    <w:rsid w:val="008E0580"/>
    <w:rsid w:val="008E06BB"/>
    <w:rsid w:val="008E0949"/>
    <w:rsid w:val="008E0B51"/>
    <w:rsid w:val="008E0BC5"/>
    <w:rsid w:val="008E0E64"/>
    <w:rsid w:val="008E1465"/>
    <w:rsid w:val="008E18C2"/>
    <w:rsid w:val="008E199A"/>
    <w:rsid w:val="008E1B13"/>
    <w:rsid w:val="008E1DEB"/>
    <w:rsid w:val="008E20AC"/>
    <w:rsid w:val="008E2424"/>
    <w:rsid w:val="008E24C9"/>
    <w:rsid w:val="008E28F1"/>
    <w:rsid w:val="008E2A53"/>
    <w:rsid w:val="008E2B5D"/>
    <w:rsid w:val="008E2EF5"/>
    <w:rsid w:val="008E2EF8"/>
    <w:rsid w:val="008E3292"/>
    <w:rsid w:val="008E33C4"/>
    <w:rsid w:val="008E36BB"/>
    <w:rsid w:val="008E4068"/>
    <w:rsid w:val="008E4BA4"/>
    <w:rsid w:val="008E4D33"/>
    <w:rsid w:val="008E4E9E"/>
    <w:rsid w:val="008E513A"/>
    <w:rsid w:val="008E5283"/>
    <w:rsid w:val="008E5798"/>
    <w:rsid w:val="008E5A01"/>
    <w:rsid w:val="008E5A45"/>
    <w:rsid w:val="008E5CD1"/>
    <w:rsid w:val="008E65B9"/>
    <w:rsid w:val="008E66F3"/>
    <w:rsid w:val="008E6735"/>
    <w:rsid w:val="008E691A"/>
    <w:rsid w:val="008E6FEA"/>
    <w:rsid w:val="008E7153"/>
    <w:rsid w:val="008E74C5"/>
    <w:rsid w:val="008E75ED"/>
    <w:rsid w:val="008E764A"/>
    <w:rsid w:val="008E7915"/>
    <w:rsid w:val="008E7D4A"/>
    <w:rsid w:val="008E7E24"/>
    <w:rsid w:val="008E7E95"/>
    <w:rsid w:val="008E7EFE"/>
    <w:rsid w:val="008E7FCD"/>
    <w:rsid w:val="008F0015"/>
    <w:rsid w:val="008F00B2"/>
    <w:rsid w:val="008F01CD"/>
    <w:rsid w:val="008F0AC0"/>
    <w:rsid w:val="008F0EF2"/>
    <w:rsid w:val="008F10DE"/>
    <w:rsid w:val="008F1106"/>
    <w:rsid w:val="008F1635"/>
    <w:rsid w:val="008F1887"/>
    <w:rsid w:val="008F194C"/>
    <w:rsid w:val="008F1A4C"/>
    <w:rsid w:val="008F1F19"/>
    <w:rsid w:val="008F21C7"/>
    <w:rsid w:val="008F2477"/>
    <w:rsid w:val="008F2CF8"/>
    <w:rsid w:val="008F2EB6"/>
    <w:rsid w:val="008F2ECF"/>
    <w:rsid w:val="008F306A"/>
    <w:rsid w:val="008F3098"/>
    <w:rsid w:val="008F3E9F"/>
    <w:rsid w:val="008F40F0"/>
    <w:rsid w:val="008F4BC8"/>
    <w:rsid w:val="008F4EB3"/>
    <w:rsid w:val="008F554A"/>
    <w:rsid w:val="008F5647"/>
    <w:rsid w:val="008F595E"/>
    <w:rsid w:val="008F6BA6"/>
    <w:rsid w:val="008F6DEA"/>
    <w:rsid w:val="008F7A37"/>
    <w:rsid w:val="008F7A8D"/>
    <w:rsid w:val="008F7BF5"/>
    <w:rsid w:val="00900149"/>
    <w:rsid w:val="00900416"/>
    <w:rsid w:val="00900510"/>
    <w:rsid w:val="00900648"/>
    <w:rsid w:val="00900D73"/>
    <w:rsid w:val="00900E19"/>
    <w:rsid w:val="00900EEF"/>
    <w:rsid w:val="009012A5"/>
    <w:rsid w:val="009013DB"/>
    <w:rsid w:val="0090195E"/>
    <w:rsid w:val="00901E18"/>
    <w:rsid w:val="00902019"/>
    <w:rsid w:val="0090207F"/>
    <w:rsid w:val="00902258"/>
    <w:rsid w:val="0090250E"/>
    <w:rsid w:val="00902A32"/>
    <w:rsid w:val="009031D7"/>
    <w:rsid w:val="009039C1"/>
    <w:rsid w:val="00903E36"/>
    <w:rsid w:val="00903F54"/>
    <w:rsid w:val="00903F82"/>
    <w:rsid w:val="0090405A"/>
    <w:rsid w:val="00904164"/>
    <w:rsid w:val="0090464C"/>
    <w:rsid w:val="009049A1"/>
    <w:rsid w:val="00904CC6"/>
    <w:rsid w:val="00904D6F"/>
    <w:rsid w:val="00905212"/>
    <w:rsid w:val="0090555D"/>
    <w:rsid w:val="009055B5"/>
    <w:rsid w:val="00905A10"/>
    <w:rsid w:val="00905F94"/>
    <w:rsid w:val="009061C4"/>
    <w:rsid w:val="00906293"/>
    <w:rsid w:val="00906310"/>
    <w:rsid w:val="0090633C"/>
    <w:rsid w:val="00906471"/>
    <w:rsid w:val="009069ED"/>
    <w:rsid w:val="00906FAA"/>
    <w:rsid w:val="00906FE1"/>
    <w:rsid w:val="009070D0"/>
    <w:rsid w:val="00907127"/>
    <w:rsid w:val="009074E9"/>
    <w:rsid w:val="009079D8"/>
    <w:rsid w:val="00907C0A"/>
    <w:rsid w:val="00907F48"/>
    <w:rsid w:val="00910629"/>
    <w:rsid w:val="009109C8"/>
    <w:rsid w:val="00910E9C"/>
    <w:rsid w:val="00910FCB"/>
    <w:rsid w:val="00911281"/>
    <w:rsid w:val="009112DC"/>
    <w:rsid w:val="009119CC"/>
    <w:rsid w:val="00911AC5"/>
    <w:rsid w:val="00911B0F"/>
    <w:rsid w:val="00911B73"/>
    <w:rsid w:val="00911C59"/>
    <w:rsid w:val="009123C6"/>
    <w:rsid w:val="00912B9F"/>
    <w:rsid w:val="00912D0C"/>
    <w:rsid w:val="00912F36"/>
    <w:rsid w:val="00913C5C"/>
    <w:rsid w:val="00913D67"/>
    <w:rsid w:val="00913ED3"/>
    <w:rsid w:val="00913F42"/>
    <w:rsid w:val="009141D0"/>
    <w:rsid w:val="0091459D"/>
    <w:rsid w:val="0091489C"/>
    <w:rsid w:val="00914CF9"/>
    <w:rsid w:val="00914D50"/>
    <w:rsid w:val="00915C53"/>
    <w:rsid w:val="00915F36"/>
    <w:rsid w:val="0091634D"/>
    <w:rsid w:val="009163AB"/>
    <w:rsid w:val="00916E7C"/>
    <w:rsid w:val="00917237"/>
    <w:rsid w:val="0091728B"/>
    <w:rsid w:val="0091740F"/>
    <w:rsid w:val="009176A2"/>
    <w:rsid w:val="009176CA"/>
    <w:rsid w:val="0091797D"/>
    <w:rsid w:val="00917D42"/>
    <w:rsid w:val="0092046C"/>
    <w:rsid w:val="00920755"/>
    <w:rsid w:val="00920AD3"/>
    <w:rsid w:val="00921682"/>
    <w:rsid w:val="009217F5"/>
    <w:rsid w:val="00921AC6"/>
    <w:rsid w:val="00921BFE"/>
    <w:rsid w:val="00922009"/>
    <w:rsid w:val="00922022"/>
    <w:rsid w:val="00922802"/>
    <w:rsid w:val="0092299C"/>
    <w:rsid w:val="00922A4E"/>
    <w:rsid w:val="009233C0"/>
    <w:rsid w:val="00923F5B"/>
    <w:rsid w:val="00924364"/>
    <w:rsid w:val="009245CA"/>
    <w:rsid w:val="00924603"/>
    <w:rsid w:val="0092474B"/>
    <w:rsid w:val="009248FE"/>
    <w:rsid w:val="009249B0"/>
    <w:rsid w:val="00924A4C"/>
    <w:rsid w:val="009251CD"/>
    <w:rsid w:val="00925922"/>
    <w:rsid w:val="00925984"/>
    <w:rsid w:val="00925A1E"/>
    <w:rsid w:val="00925FB1"/>
    <w:rsid w:val="00926504"/>
    <w:rsid w:val="009265E1"/>
    <w:rsid w:val="00926DD2"/>
    <w:rsid w:val="00926FD9"/>
    <w:rsid w:val="00927300"/>
    <w:rsid w:val="00927434"/>
    <w:rsid w:val="00927EE8"/>
    <w:rsid w:val="00930351"/>
    <w:rsid w:val="0093043C"/>
    <w:rsid w:val="009305AE"/>
    <w:rsid w:val="0093087B"/>
    <w:rsid w:val="0093099F"/>
    <w:rsid w:val="00930B49"/>
    <w:rsid w:val="00930E6F"/>
    <w:rsid w:val="00930EC4"/>
    <w:rsid w:val="00930F07"/>
    <w:rsid w:val="00931CF3"/>
    <w:rsid w:val="009321C0"/>
    <w:rsid w:val="0093233C"/>
    <w:rsid w:val="0093238C"/>
    <w:rsid w:val="00932B9E"/>
    <w:rsid w:val="00932DE7"/>
    <w:rsid w:val="00933001"/>
    <w:rsid w:val="00933433"/>
    <w:rsid w:val="00933BEC"/>
    <w:rsid w:val="00933EFB"/>
    <w:rsid w:val="0093460A"/>
    <w:rsid w:val="00934852"/>
    <w:rsid w:val="0093497D"/>
    <w:rsid w:val="00934CD0"/>
    <w:rsid w:val="00934EB2"/>
    <w:rsid w:val="00935175"/>
    <w:rsid w:val="0093564E"/>
    <w:rsid w:val="009362EC"/>
    <w:rsid w:val="00936496"/>
    <w:rsid w:val="00936625"/>
    <w:rsid w:val="009366BF"/>
    <w:rsid w:val="0093698E"/>
    <w:rsid w:val="00936E85"/>
    <w:rsid w:val="009372C7"/>
    <w:rsid w:val="009374EB"/>
    <w:rsid w:val="00937808"/>
    <w:rsid w:val="00937C7B"/>
    <w:rsid w:val="00937E67"/>
    <w:rsid w:val="00937E69"/>
    <w:rsid w:val="00937EC9"/>
    <w:rsid w:val="00937F6B"/>
    <w:rsid w:val="009401AB"/>
    <w:rsid w:val="009402F6"/>
    <w:rsid w:val="00940DCB"/>
    <w:rsid w:val="00941010"/>
    <w:rsid w:val="009410D5"/>
    <w:rsid w:val="00941121"/>
    <w:rsid w:val="009411D1"/>
    <w:rsid w:val="0094125D"/>
    <w:rsid w:val="009412A2"/>
    <w:rsid w:val="00942180"/>
    <w:rsid w:val="009429D3"/>
    <w:rsid w:val="00942A78"/>
    <w:rsid w:val="00942DA1"/>
    <w:rsid w:val="009435FF"/>
    <w:rsid w:val="0094382A"/>
    <w:rsid w:val="009440DF"/>
    <w:rsid w:val="0094428E"/>
    <w:rsid w:val="009445B0"/>
    <w:rsid w:val="009449D3"/>
    <w:rsid w:val="00944D30"/>
    <w:rsid w:val="00945349"/>
    <w:rsid w:val="00945541"/>
    <w:rsid w:val="00945A29"/>
    <w:rsid w:val="00946A33"/>
    <w:rsid w:val="00946A57"/>
    <w:rsid w:val="00946C1D"/>
    <w:rsid w:val="00946CF9"/>
    <w:rsid w:val="00946D2C"/>
    <w:rsid w:val="00946E66"/>
    <w:rsid w:val="00946F63"/>
    <w:rsid w:val="00947215"/>
    <w:rsid w:val="00947857"/>
    <w:rsid w:val="00947C3A"/>
    <w:rsid w:val="00947C6B"/>
    <w:rsid w:val="00947CE2"/>
    <w:rsid w:val="00950623"/>
    <w:rsid w:val="0095179D"/>
    <w:rsid w:val="009520C1"/>
    <w:rsid w:val="00952214"/>
    <w:rsid w:val="0095226F"/>
    <w:rsid w:val="0095239A"/>
    <w:rsid w:val="009526BB"/>
    <w:rsid w:val="0095298D"/>
    <w:rsid w:val="00952AFA"/>
    <w:rsid w:val="00952BD3"/>
    <w:rsid w:val="00952CFF"/>
    <w:rsid w:val="00953481"/>
    <w:rsid w:val="00953CCE"/>
    <w:rsid w:val="00953F56"/>
    <w:rsid w:val="00954308"/>
    <w:rsid w:val="00954645"/>
    <w:rsid w:val="0095496F"/>
    <w:rsid w:val="00954AD1"/>
    <w:rsid w:val="00955264"/>
    <w:rsid w:val="00955405"/>
    <w:rsid w:val="0095545F"/>
    <w:rsid w:val="009555D2"/>
    <w:rsid w:val="00955AB5"/>
    <w:rsid w:val="00955F65"/>
    <w:rsid w:val="00956021"/>
    <w:rsid w:val="009562BB"/>
    <w:rsid w:val="00956447"/>
    <w:rsid w:val="009568CD"/>
    <w:rsid w:val="00956ABD"/>
    <w:rsid w:val="009570C7"/>
    <w:rsid w:val="00957296"/>
    <w:rsid w:val="0095753E"/>
    <w:rsid w:val="00957B5B"/>
    <w:rsid w:val="00957BF4"/>
    <w:rsid w:val="00957CD7"/>
    <w:rsid w:val="00957DB7"/>
    <w:rsid w:val="009603D1"/>
    <w:rsid w:val="009604CF"/>
    <w:rsid w:val="00960585"/>
    <w:rsid w:val="0096058C"/>
    <w:rsid w:val="00960EF9"/>
    <w:rsid w:val="0096115A"/>
    <w:rsid w:val="009616FF"/>
    <w:rsid w:val="00961BF5"/>
    <w:rsid w:val="00961CF0"/>
    <w:rsid w:val="009625DD"/>
    <w:rsid w:val="009627A7"/>
    <w:rsid w:val="009628CB"/>
    <w:rsid w:val="009629D1"/>
    <w:rsid w:val="009629F8"/>
    <w:rsid w:val="00962FBE"/>
    <w:rsid w:val="00963025"/>
    <w:rsid w:val="0096320C"/>
    <w:rsid w:val="00963548"/>
    <w:rsid w:val="009635D6"/>
    <w:rsid w:val="00963E41"/>
    <w:rsid w:val="009640ED"/>
    <w:rsid w:val="00964557"/>
    <w:rsid w:val="00964639"/>
    <w:rsid w:val="0096479A"/>
    <w:rsid w:val="00964CF3"/>
    <w:rsid w:val="00964FF4"/>
    <w:rsid w:val="00965025"/>
    <w:rsid w:val="0096589F"/>
    <w:rsid w:val="009658D3"/>
    <w:rsid w:val="00965A75"/>
    <w:rsid w:val="00965F0E"/>
    <w:rsid w:val="0096633B"/>
    <w:rsid w:val="00966927"/>
    <w:rsid w:val="00966D02"/>
    <w:rsid w:val="00966FAF"/>
    <w:rsid w:val="009670B7"/>
    <w:rsid w:val="00967525"/>
    <w:rsid w:val="00967D27"/>
    <w:rsid w:val="00967E31"/>
    <w:rsid w:val="009701C2"/>
    <w:rsid w:val="00971212"/>
    <w:rsid w:val="0097124B"/>
    <w:rsid w:val="009714D2"/>
    <w:rsid w:val="00971782"/>
    <w:rsid w:val="009717C1"/>
    <w:rsid w:val="0097193E"/>
    <w:rsid w:val="009719AF"/>
    <w:rsid w:val="00971A48"/>
    <w:rsid w:val="00971C2E"/>
    <w:rsid w:val="00972169"/>
    <w:rsid w:val="0097216E"/>
    <w:rsid w:val="0097239C"/>
    <w:rsid w:val="009726E8"/>
    <w:rsid w:val="00972C35"/>
    <w:rsid w:val="00973113"/>
    <w:rsid w:val="00973357"/>
    <w:rsid w:val="009734B5"/>
    <w:rsid w:val="009734DF"/>
    <w:rsid w:val="009736B2"/>
    <w:rsid w:val="009737E0"/>
    <w:rsid w:val="0097394E"/>
    <w:rsid w:val="00973D22"/>
    <w:rsid w:val="00973FC5"/>
    <w:rsid w:val="00974284"/>
    <w:rsid w:val="009743C6"/>
    <w:rsid w:val="00974752"/>
    <w:rsid w:val="00974B4D"/>
    <w:rsid w:val="00974E86"/>
    <w:rsid w:val="00974F22"/>
    <w:rsid w:val="00974F64"/>
    <w:rsid w:val="009750D3"/>
    <w:rsid w:val="0097557C"/>
    <w:rsid w:val="0097587E"/>
    <w:rsid w:val="00975C9C"/>
    <w:rsid w:val="00975E00"/>
    <w:rsid w:val="00975FE7"/>
    <w:rsid w:val="009760B8"/>
    <w:rsid w:val="009765F6"/>
    <w:rsid w:val="00976BB7"/>
    <w:rsid w:val="00977336"/>
    <w:rsid w:val="009776D0"/>
    <w:rsid w:val="009777D2"/>
    <w:rsid w:val="00980038"/>
    <w:rsid w:val="009800AF"/>
    <w:rsid w:val="00980337"/>
    <w:rsid w:val="00980398"/>
    <w:rsid w:val="009804CA"/>
    <w:rsid w:val="009804F2"/>
    <w:rsid w:val="00980CE2"/>
    <w:rsid w:val="00980CE3"/>
    <w:rsid w:val="00981331"/>
    <w:rsid w:val="00981390"/>
    <w:rsid w:val="0098181A"/>
    <w:rsid w:val="00981915"/>
    <w:rsid w:val="00981935"/>
    <w:rsid w:val="009824F2"/>
    <w:rsid w:val="00982A67"/>
    <w:rsid w:val="00982E1A"/>
    <w:rsid w:val="00983347"/>
    <w:rsid w:val="009843BF"/>
    <w:rsid w:val="009845EB"/>
    <w:rsid w:val="00984E64"/>
    <w:rsid w:val="00984EA0"/>
    <w:rsid w:val="00984ECC"/>
    <w:rsid w:val="00984EF7"/>
    <w:rsid w:val="00985149"/>
    <w:rsid w:val="009851E6"/>
    <w:rsid w:val="009859F6"/>
    <w:rsid w:val="00985A45"/>
    <w:rsid w:val="00985B00"/>
    <w:rsid w:val="00985EAC"/>
    <w:rsid w:val="00986071"/>
    <w:rsid w:val="009861E4"/>
    <w:rsid w:val="0098696B"/>
    <w:rsid w:val="009871C8"/>
    <w:rsid w:val="00987611"/>
    <w:rsid w:val="00987C83"/>
    <w:rsid w:val="00987FF6"/>
    <w:rsid w:val="00990034"/>
    <w:rsid w:val="009901A0"/>
    <w:rsid w:val="00990983"/>
    <w:rsid w:val="00990B2C"/>
    <w:rsid w:val="00991B96"/>
    <w:rsid w:val="00992211"/>
    <w:rsid w:val="009925D3"/>
    <w:rsid w:val="0099316E"/>
    <w:rsid w:val="0099350C"/>
    <w:rsid w:val="0099415A"/>
    <w:rsid w:val="00994365"/>
    <w:rsid w:val="00994780"/>
    <w:rsid w:val="00995329"/>
    <w:rsid w:val="00995354"/>
    <w:rsid w:val="00995399"/>
    <w:rsid w:val="00995572"/>
    <w:rsid w:val="009955E8"/>
    <w:rsid w:val="0099625E"/>
    <w:rsid w:val="00996420"/>
    <w:rsid w:val="00996470"/>
    <w:rsid w:val="009965E7"/>
    <w:rsid w:val="00996889"/>
    <w:rsid w:val="00996950"/>
    <w:rsid w:val="009969DF"/>
    <w:rsid w:val="00996FED"/>
    <w:rsid w:val="00997088"/>
    <w:rsid w:val="009970B9"/>
    <w:rsid w:val="00997176"/>
    <w:rsid w:val="00997423"/>
    <w:rsid w:val="009976CE"/>
    <w:rsid w:val="00997DD4"/>
    <w:rsid w:val="009A004A"/>
    <w:rsid w:val="009A0165"/>
    <w:rsid w:val="009A04B4"/>
    <w:rsid w:val="009A085B"/>
    <w:rsid w:val="009A0A2A"/>
    <w:rsid w:val="009A0EDD"/>
    <w:rsid w:val="009A0EE4"/>
    <w:rsid w:val="009A1ADB"/>
    <w:rsid w:val="009A1ADC"/>
    <w:rsid w:val="009A1B22"/>
    <w:rsid w:val="009A2474"/>
    <w:rsid w:val="009A2D18"/>
    <w:rsid w:val="009A3084"/>
    <w:rsid w:val="009A3354"/>
    <w:rsid w:val="009A367C"/>
    <w:rsid w:val="009A3AD8"/>
    <w:rsid w:val="009A3B80"/>
    <w:rsid w:val="009A3BE9"/>
    <w:rsid w:val="009A4208"/>
    <w:rsid w:val="009A441A"/>
    <w:rsid w:val="009A4B44"/>
    <w:rsid w:val="009A5031"/>
    <w:rsid w:val="009A5098"/>
    <w:rsid w:val="009A55BE"/>
    <w:rsid w:val="009A5611"/>
    <w:rsid w:val="009A590A"/>
    <w:rsid w:val="009A5E10"/>
    <w:rsid w:val="009A5F7D"/>
    <w:rsid w:val="009A66E5"/>
    <w:rsid w:val="009A6C05"/>
    <w:rsid w:val="009A7922"/>
    <w:rsid w:val="009A7F37"/>
    <w:rsid w:val="009A7F42"/>
    <w:rsid w:val="009B0012"/>
    <w:rsid w:val="009B0242"/>
    <w:rsid w:val="009B0AEA"/>
    <w:rsid w:val="009B16EF"/>
    <w:rsid w:val="009B1973"/>
    <w:rsid w:val="009B1A3E"/>
    <w:rsid w:val="009B1D2E"/>
    <w:rsid w:val="009B1F72"/>
    <w:rsid w:val="009B1FAB"/>
    <w:rsid w:val="009B26B7"/>
    <w:rsid w:val="009B2B19"/>
    <w:rsid w:val="009B2C7E"/>
    <w:rsid w:val="009B2D63"/>
    <w:rsid w:val="009B2D7F"/>
    <w:rsid w:val="009B3180"/>
    <w:rsid w:val="009B330C"/>
    <w:rsid w:val="009B33B9"/>
    <w:rsid w:val="009B33ED"/>
    <w:rsid w:val="009B39D9"/>
    <w:rsid w:val="009B3E22"/>
    <w:rsid w:val="009B408E"/>
    <w:rsid w:val="009B41A8"/>
    <w:rsid w:val="009B433C"/>
    <w:rsid w:val="009B43C9"/>
    <w:rsid w:val="009B5497"/>
    <w:rsid w:val="009B56BC"/>
    <w:rsid w:val="009B6028"/>
    <w:rsid w:val="009B6090"/>
    <w:rsid w:val="009B6104"/>
    <w:rsid w:val="009B6719"/>
    <w:rsid w:val="009B67C6"/>
    <w:rsid w:val="009B6945"/>
    <w:rsid w:val="009B69E6"/>
    <w:rsid w:val="009B6EA7"/>
    <w:rsid w:val="009B7518"/>
    <w:rsid w:val="009B7DED"/>
    <w:rsid w:val="009C05FC"/>
    <w:rsid w:val="009C09F0"/>
    <w:rsid w:val="009C0D4B"/>
    <w:rsid w:val="009C0F4F"/>
    <w:rsid w:val="009C1286"/>
    <w:rsid w:val="009C12C2"/>
    <w:rsid w:val="009C1615"/>
    <w:rsid w:val="009C181A"/>
    <w:rsid w:val="009C266D"/>
    <w:rsid w:val="009C31D3"/>
    <w:rsid w:val="009C368D"/>
    <w:rsid w:val="009C37C7"/>
    <w:rsid w:val="009C393D"/>
    <w:rsid w:val="009C393E"/>
    <w:rsid w:val="009C3E60"/>
    <w:rsid w:val="009C4206"/>
    <w:rsid w:val="009C422D"/>
    <w:rsid w:val="009C438C"/>
    <w:rsid w:val="009C4629"/>
    <w:rsid w:val="009C49B1"/>
    <w:rsid w:val="009C4B4E"/>
    <w:rsid w:val="009C4F6B"/>
    <w:rsid w:val="009C4FC1"/>
    <w:rsid w:val="009C523E"/>
    <w:rsid w:val="009C5A19"/>
    <w:rsid w:val="009C5D46"/>
    <w:rsid w:val="009C5F5C"/>
    <w:rsid w:val="009C61E8"/>
    <w:rsid w:val="009C6326"/>
    <w:rsid w:val="009C69FA"/>
    <w:rsid w:val="009C6A91"/>
    <w:rsid w:val="009C6BFD"/>
    <w:rsid w:val="009C6C0B"/>
    <w:rsid w:val="009C6C76"/>
    <w:rsid w:val="009C70DA"/>
    <w:rsid w:val="009C74C7"/>
    <w:rsid w:val="009C758E"/>
    <w:rsid w:val="009C77BA"/>
    <w:rsid w:val="009C7A9E"/>
    <w:rsid w:val="009C7F3D"/>
    <w:rsid w:val="009D013D"/>
    <w:rsid w:val="009D0198"/>
    <w:rsid w:val="009D02A1"/>
    <w:rsid w:val="009D036D"/>
    <w:rsid w:val="009D0464"/>
    <w:rsid w:val="009D0709"/>
    <w:rsid w:val="009D09C7"/>
    <w:rsid w:val="009D0ED0"/>
    <w:rsid w:val="009D1067"/>
    <w:rsid w:val="009D148E"/>
    <w:rsid w:val="009D2051"/>
    <w:rsid w:val="009D25C1"/>
    <w:rsid w:val="009D2B4E"/>
    <w:rsid w:val="009D2D13"/>
    <w:rsid w:val="009D30ED"/>
    <w:rsid w:val="009D364E"/>
    <w:rsid w:val="009D398E"/>
    <w:rsid w:val="009D3CF8"/>
    <w:rsid w:val="009D3DE2"/>
    <w:rsid w:val="009D3DE4"/>
    <w:rsid w:val="009D3E94"/>
    <w:rsid w:val="009D4119"/>
    <w:rsid w:val="009D4539"/>
    <w:rsid w:val="009D48C3"/>
    <w:rsid w:val="009D4AA7"/>
    <w:rsid w:val="009D4DC7"/>
    <w:rsid w:val="009D5168"/>
    <w:rsid w:val="009D5780"/>
    <w:rsid w:val="009D5EB6"/>
    <w:rsid w:val="009D606E"/>
    <w:rsid w:val="009D6102"/>
    <w:rsid w:val="009D6A00"/>
    <w:rsid w:val="009D758A"/>
    <w:rsid w:val="009D7728"/>
    <w:rsid w:val="009D7805"/>
    <w:rsid w:val="009D791A"/>
    <w:rsid w:val="009D7A6A"/>
    <w:rsid w:val="009D7BB5"/>
    <w:rsid w:val="009D7CDD"/>
    <w:rsid w:val="009E0446"/>
    <w:rsid w:val="009E0539"/>
    <w:rsid w:val="009E0736"/>
    <w:rsid w:val="009E0886"/>
    <w:rsid w:val="009E1295"/>
    <w:rsid w:val="009E1429"/>
    <w:rsid w:val="009E18A7"/>
    <w:rsid w:val="009E236D"/>
    <w:rsid w:val="009E2578"/>
    <w:rsid w:val="009E26F2"/>
    <w:rsid w:val="009E2AC2"/>
    <w:rsid w:val="009E2BE6"/>
    <w:rsid w:val="009E2EB7"/>
    <w:rsid w:val="009E33C5"/>
    <w:rsid w:val="009E38E5"/>
    <w:rsid w:val="009E3A04"/>
    <w:rsid w:val="009E3D7D"/>
    <w:rsid w:val="009E3EA8"/>
    <w:rsid w:val="009E3F3A"/>
    <w:rsid w:val="009E4235"/>
    <w:rsid w:val="009E44AF"/>
    <w:rsid w:val="009E4704"/>
    <w:rsid w:val="009E4855"/>
    <w:rsid w:val="009E499D"/>
    <w:rsid w:val="009E4D4D"/>
    <w:rsid w:val="009E506C"/>
    <w:rsid w:val="009E50DA"/>
    <w:rsid w:val="009E52CC"/>
    <w:rsid w:val="009E55EE"/>
    <w:rsid w:val="009E5626"/>
    <w:rsid w:val="009E5A79"/>
    <w:rsid w:val="009E5A80"/>
    <w:rsid w:val="009E5B62"/>
    <w:rsid w:val="009E5C9E"/>
    <w:rsid w:val="009E5CA7"/>
    <w:rsid w:val="009E5F46"/>
    <w:rsid w:val="009E615B"/>
    <w:rsid w:val="009E6240"/>
    <w:rsid w:val="009E6333"/>
    <w:rsid w:val="009E65C1"/>
    <w:rsid w:val="009E688F"/>
    <w:rsid w:val="009E6B4A"/>
    <w:rsid w:val="009E6DC2"/>
    <w:rsid w:val="009E6F73"/>
    <w:rsid w:val="009E7327"/>
    <w:rsid w:val="009E7A70"/>
    <w:rsid w:val="009E7AA7"/>
    <w:rsid w:val="009E7EAE"/>
    <w:rsid w:val="009F00A4"/>
    <w:rsid w:val="009F01F2"/>
    <w:rsid w:val="009F0F6F"/>
    <w:rsid w:val="009F12E2"/>
    <w:rsid w:val="009F15DB"/>
    <w:rsid w:val="009F18E8"/>
    <w:rsid w:val="009F1F41"/>
    <w:rsid w:val="009F21B5"/>
    <w:rsid w:val="009F23A1"/>
    <w:rsid w:val="009F2DAF"/>
    <w:rsid w:val="009F36D1"/>
    <w:rsid w:val="009F43ED"/>
    <w:rsid w:val="009F4832"/>
    <w:rsid w:val="009F48CF"/>
    <w:rsid w:val="009F4FDB"/>
    <w:rsid w:val="009F569A"/>
    <w:rsid w:val="009F5876"/>
    <w:rsid w:val="009F5A75"/>
    <w:rsid w:val="009F5D89"/>
    <w:rsid w:val="009F5DA7"/>
    <w:rsid w:val="009F5E50"/>
    <w:rsid w:val="009F6930"/>
    <w:rsid w:val="009F698A"/>
    <w:rsid w:val="009F6A7A"/>
    <w:rsid w:val="009F6D13"/>
    <w:rsid w:val="009F6F02"/>
    <w:rsid w:val="009F6FE8"/>
    <w:rsid w:val="009F7168"/>
    <w:rsid w:val="009F73C0"/>
    <w:rsid w:val="009F7539"/>
    <w:rsid w:val="009F78FF"/>
    <w:rsid w:val="009F797B"/>
    <w:rsid w:val="009F79C0"/>
    <w:rsid w:val="009F7C15"/>
    <w:rsid w:val="009F7C30"/>
    <w:rsid w:val="009F7C3F"/>
    <w:rsid w:val="00A0000E"/>
    <w:rsid w:val="00A002C2"/>
    <w:rsid w:val="00A00C51"/>
    <w:rsid w:val="00A00E94"/>
    <w:rsid w:val="00A00EEB"/>
    <w:rsid w:val="00A00F37"/>
    <w:rsid w:val="00A01448"/>
    <w:rsid w:val="00A01729"/>
    <w:rsid w:val="00A019E6"/>
    <w:rsid w:val="00A01A00"/>
    <w:rsid w:val="00A01DFB"/>
    <w:rsid w:val="00A01F74"/>
    <w:rsid w:val="00A0205D"/>
    <w:rsid w:val="00A020D0"/>
    <w:rsid w:val="00A0218F"/>
    <w:rsid w:val="00A02A1B"/>
    <w:rsid w:val="00A03691"/>
    <w:rsid w:val="00A03A67"/>
    <w:rsid w:val="00A03A84"/>
    <w:rsid w:val="00A03DED"/>
    <w:rsid w:val="00A0411F"/>
    <w:rsid w:val="00A04139"/>
    <w:rsid w:val="00A041EC"/>
    <w:rsid w:val="00A0441F"/>
    <w:rsid w:val="00A046EC"/>
    <w:rsid w:val="00A04842"/>
    <w:rsid w:val="00A0492A"/>
    <w:rsid w:val="00A04AAD"/>
    <w:rsid w:val="00A050E6"/>
    <w:rsid w:val="00A051D8"/>
    <w:rsid w:val="00A051E2"/>
    <w:rsid w:val="00A0539B"/>
    <w:rsid w:val="00A0545F"/>
    <w:rsid w:val="00A05A8E"/>
    <w:rsid w:val="00A05CE8"/>
    <w:rsid w:val="00A05EB8"/>
    <w:rsid w:val="00A05F49"/>
    <w:rsid w:val="00A05F56"/>
    <w:rsid w:val="00A06139"/>
    <w:rsid w:val="00A06543"/>
    <w:rsid w:val="00A0657E"/>
    <w:rsid w:val="00A0665E"/>
    <w:rsid w:val="00A066C1"/>
    <w:rsid w:val="00A06A2E"/>
    <w:rsid w:val="00A07278"/>
    <w:rsid w:val="00A07353"/>
    <w:rsid w:val="00A0782E"/>
    <w:rsid w:val="00A07BA3"/>
    <w:rsid w:val="00A07C3D"/>
    <w:rsid w:val="00A1042E"/>
    <w:rsid w:val="00A10CB8"/>
    <w:rsid w:val="00A10F55"/>
    <w:rsid w:val="00A11618"/>
    <w:rsid w:val="00A1174E"/>
    <w:rsid w:val="00A11834"/>
    <w:rsid w:val="00A11875"/>
    <w:rsid w:val="00A11F23"/>
    <w:rsid w:val="00A12878"/>
    <w:rsid w:val="00A12A20"/>
    <w:rsid w:val="00A12CDA"/>
    <w:rsid w:val="00A13098"/>
    <w:rsid w:val="00A13708"/>
    <w:rsid w:val="00A13949"/>
    <w:rsid w:val="00A13C3F"/>
    <w:rsid w:val="00A13D27"/>
    <w:rsid w:val="00A13E51"/>
    <w:rsid w:val="00A13EBC"/>
    <w:rsid w:val="00A155E5"/>
    <w:rsid w:val="00A15663"/>
    <w:rsid w:val="00A156AA"/>
    <w:rsid w:val="00A16660"/>
    <w:rsid w:val="00A17AEB"/>
    <w:rsid w:val="00A17C82"/>
    <w:rsid w:val="00A17F05"/>
    <w:rsid w:val="00A17FE0"/>
    <w:rsid w:val="00A206DF"/>
    <w:rsid w:val="00A20FA6"/>
    <w:rsid w:val="00A210FB"/>
    <w:rsid w:val="00A21154"/>
    <w:rsid w:val="00A211D6"/>
    <w:rsid w:val="00A21388"/>
    <w:rsid w:val="00A214CB"/>
    <w:rsid w:val="00A2150B"/>
    <w:rsid w:val="00A21FA7"/>
    <w:rsid w:val="00A225BC"/>
    <w:rsid w:val="00A2274C"/>
    <w:rsid w:val="00A22A0B"/>
    <w:rsid w:val="00A22E23"/>
    <w:rsid w:val="00A232CA"/>
    <w:rsid w:val="00A23493"/>
    <w:rsid w:val="00A23617"/>
    <w:rsid w:val="00A23634"/>
    <w:rsid w:val="00A239BE"/>
    <w:rsid w:val="00A241B2"/>
    <w:rsid w:val="00A24882"/>
    <w:rsid w:val="00A24944"/>
    <w:rsid w:val="00A24A9F"/>
    <w:rsid w:val="00A24D55"/>
    <w:rsid w:val="00A24FB5"/>
    <w:rsid w:val="00A25016"/>
    <w:rsid w:val="00A25212"/>
    <w:rsid w:val="00A255A6"/>
    <w:rsid w:val="00A25643"/>
    <w:rsid w:val="00A256A2"/>
    <w:rsid w:val="00A25991"/>
    <w:rsid w:val="00A25B6C"/>
    <w:rsid w:val="00A25EE7"/>
    <w:rsid w:val="00A263AD"/>
    <w:rsid w:val="00A263BD"/>
    <w:rsid w:val="00A26716"/>
    <w:rsid w:val="00A26BA8"/>
    <w:rsid w:val="00A26C8D"/>
    <w:rsid w:val="00A26E23"/>
    <w:rsid w:val="00A26EB7"/>
    <w:rsid w:val="00A26F19"/>
    <w:rsid w:val="00A27310"/>
    <w:rsid w:val="00A27502"/>
    <w:rsid w:val="00A2750F"/>
    <w:rsid w:val="00A2771B"/>
    <w:rsid w:val="00A27D9D"/>
    <w:rsid w:val="00A30371"/>
    <w:rsid w:val="00A30476"/>
    <w:rsid w:val="00A30803"/>
    <w:rsid w:val="00A30F14"/>
    <w:rsid w:val="00A310E7"/>
    <w:rsid w:val="00A313CB"/>
    <w:rsid w:val="00A31A4D"/>
    <w:rsid w:val="00A31C40"/>
    <w:rsid w:val="00A31C7C"/>
    <w:rsid w:val="00A322F1"/>
    <w:rsid w:val="00A32320"/>
    <w:rsid w:val="00A3252E"/>
    <w:rsid w:val="00A326A4"/>
    <w:rsid w:val="00A332E4"/>
    <w:rsid w:val="00A3361C"/>
    <w:rsid w:val="00A33A9F"/>
    <w:rsid w:val="00A33BE7"/>
    <w:rsid w:val="00A33F9C"/>
    <w:rsid w:val="00A344A9"/>
    <w:rsid w:val="00A348DC"/>
    <w:rsid w:val="00A34C93"/>
    <w:rsid w:val="00A34CA2"/>
    <w:rsid w:val="00A3591D"/>
    <w:rsid w:val="00A35F52"/>
    <w:rsid w:val="00A36528"/>
    <w:rsid w:val="00A36EBD"/>
    <w:rsid w:val="00A376F3"/>
    <w:rsid w:val="00A37AAD"/>
    <w:rsid w:val="00A37C88"/>
    <w:rsid w:val="00A4000D"/>
    <w:rsid w:val="00A40083"/>
    <w:rsid w:val="00A4106D"/>
    <w:rsid w:val="00A41BB4"/>
    <w:rsid w:val="00A422BD"/>
    <w:rsid w:val="00A42308"/>
    <w:rsid w:val="00A4233C"/>
    <w:rsid w:val="00A423C4"/>
    <w:rsid w:val="00A42A69"/>
    <w:rsid w:val="00A42B5E"/>
    <w:rsid w:val="00A42C9F"/>
    <w:rsid w:val="00A42D0A"/>
    <w:rsid w:val="00A42D6D"/>
    <w:rsid w:val="00A42E0C"/>
    <w:rsid w:val="00A4380C"/>
    <w:rsid w:val="00A43844"/>
    <w:rsid w:val="00A43A69"/>
    <w:rsid w:val="00A43C89"/>
    <w:rsid w:val="00A43F92"/>
    <w:rsid w:val="00A43FB8"/>
    <w:rsid w:val="00A447BD"/>
    <w:rsid w:val="00A448CD"/>
    <w:rsid w:val="00A448E2"/>
    <w:rsid w:val="00A4509E"/>
    <w:rsid w:val="00A450D4"/>
    <w:rsid w:val="00A45137"/>
    <w:rsid w:val="00A453D1"/>
    <w:rsid w:val="00A453D7"/>
    <w:rsid w:val="00A457AB"/>
    <w:rsid w:val="00A45AC3"/>
    <w:rsid w:val="00A45C0F"/>
    <w:rsid w:val="00A460AC"/>
    <w:rsid w:val="00A46527"/>
    <w:rsid w:val="00A46824"/>
    <w:rsid w:val="00A46C53"/>
    <w:rsid w:val="00A47080"/>
    <w:rsid w:val="00A4780F"/>
    <w:rsid w:val="00A47A04"/>
    <w:rsid w:val="00A47D04"/>
    <w:rsid w:val="00A47D08"/>
    <w:rsid w:val="00A5002A"/>
    <w:rsid w:val="00A504E3"/>
    <w:rsid w:val="00A5098B"/>
    <w:rsid w:val="00A50AB4"/>
    <w:rsid w:val="00A50CA1"/>
    <w:rsid w:val="00A513C3"/>
    <w:rsid w:val="00A515A3"/>
    <w:rsid w:val="00A51797"/>
    <w:rsid w:val="00A51DAE"/>
    <w:rsid w:val="00A51E6F"/>
    <w:rsid w:val="00A52531"/>
    <w:rsid w:val="00A525FD"/>
    <w:rsid w:val="00A5333C"/>
    <w:rsid w:val="00A5358B"/>
    <w:rsid w:val="00A53639"/>
    <w:rsid w:val="00A5394D"/>
    <w:rsid w:val="00A53D0C"/>
    <w:rsid w:val="00A53DFF"/>
    <w:rsid w:val="00A53E1A"/>
    <w:rsid w:val="00A53F2D"/>
    <w:rsid w:val="00A5404D"/>
    <w:rsid w:val="00A5457F"/>
    <w:rsid w:val="00A55174"/>
    <w:rsid w:val="00A55A1D"/>
    <w:rsid w:val="00A55CF5"/>
    <w:rsid w:val="00A55FB5"/>
    <w:rsid w:val="00A560FB"/>
    <w:rsid w:val="00A5640A"/>
    <w:rsid w:val="00A564A1"/>
    <w:rsid w:val="00A56542"/>
    <w:rsid w:val="00A56BE2"/>
    <w:rsid w:val="00A56D97"/>
    <w:rsid w:val="00A56E8A"/>
    <w:rsid w:val="00A57210"/>
    <w:rsid w:val="00A5763A"/>
    <w:rsid w:val="00A57C89"/>
    <w:rsid w:val="00A57FB4"/>
    <w:rsid w:val="00A60010"/>
    <w:rsid w:val="00A606F3"/>
    <w:rsid w:val="00A6085F"/>
    <w:rsid w:val="00A609E1"/>
    <w:rsid w:val="00A60DFA"/>
    <w:rsid w:val="00A60FF8"/>
    <w:rsid w:val="00A61222"/>
    <w:rsid w:val="00A61580"/>
    <w:rsid w:val="00A619C7"/>
    <w:rsid w:val="00A61F0A"/>
    <w:rsid w:val="00A620F1"/>
    <w:rsid w:val="00A62175"/>
    <w:rsid w:val="00A62282"/>
    <w:rsid w:val="00A62386"/>
    <w:rsid w:val="00A62555"/>
    <w:rsid w:val="00A62651"/>
    <w:rsid w:val="00A627CC"/>
    <w:rsid w:val="00A62F01"/>
    <w:rsid w:val="00A63217"/>
    <w:rsid w:val="00A63D63"/>
    <w:rsid w:val="00A63E86"/>
    <w:rsid w:val="00A6400A"/>
    <w:rsid w:val="00A64067"/>
    <w:rsid w:val="00A64A91"/>
    <w:rsid w:val="00A64D09"/>
    <w:rsid w:val="00A64EC4"/>
    <w:rsid w:val="00A64EDF"/>
    <w:rsid w:val="00A650BB"/>
    <w:rsid w:val="00A656D9"/>
    <w:rsid w:val="00A6579A"/>
    <w:rsid w:val="00A65AC5"/>
    <w:rsid w:val="00A65BB5"/>
    <w:rsid w:val="00A65DFB"/>
    <w:rsid w:val="00A668AA"/>
    <w:rsid w:val="00A669C7"/>
    <w:rsid w:val="00A66B0B"/>
    <w:rsid w:val="00A66C56"/>
    <w:rsid w:val="00A678FC"/>
    <w:rsid w:val="00A67DBD"/>
    <w:rsid w:val="00A67F09"/>
    <w:rsid w:val="00A702C4"/>
    <w:rsid w:val="00A70431"/>
    <w:rsid w:val="00A705C0"/>
    <w:rsid w:val="00A70C49"/>
    <w:rsid w:val="00A70C85"/>
    <w:rsid w:val="00A70E88"/>
    <w:rsid w:val="00A711CD"/>
    <w:rsid w:val="00A713B3"/>
    <w:rsid w:val="00A7160A"/>
    <w:rsid w:val="00A71766"/>
    <w:rsid w:val="00A717DA"/>
    <w:rsid w:val="00A720F5"/>
    <w:rsid w:val="00A7257D"/>
    <w:rsid w:val="00A72A3A"/>
    <w:rsid w:val="00A72AD8"/>
    <w:rsid w:val="00A72BD3"/>
    <w:rsid w:val="00A73087"/>
    <w:rsid w:val="00A7420C"/>
    <w:rsid w:val="00A74308"/>
    <w:rsid w:val="00A745BA"/>
    <w:rsid w:val="00A74622"/>
    <w:rsid w:val="00A74B3C"/>
    <w:rsid w:val="00A74C16"/>
    <w:rsid w:val="00A74D11"/>
    <w:rsid w:val="00A757E5"/>
    <w:rsid w:val="00A75921"/>
    <w:rsid w:val="00A75950"/>
    <w:rsid w:val="00A75CDD"/>
    <w:rsid w:val="00A75DEA"/>
    <w:rsid w:val="00A75EF4"/>
    <w:rsid w:val="00A7623C"/>
    <w:rsid w:val="00A764E3"/>
    <w:rsid w:val="00A76B01"/>
    <w:rsid w:val="00A76B0D"/>
    <w:rsid w:val="00A76D50"/>
    <w:rsid w:val="00A77057"/>
    <w:rsid w:val="00A778F0"/>
    <w:rsid w:val="00A77C58"/>
    <w:rsid w:val="00A80189"/>
    <w:rsid w:val="00A805E6"/>
    <w:rsid w:val="00A808A7"/>
    <w:rsid w:val="00A80F5D"/>
    <w:rsid w:val="00A813C3"/>
    <w:rsid w:val="00A81755"/>
    <w:rsid w:val="00A81C14"/>
    <w:rsid w:val="00A821FE"/>
    <w:rsid w:val="00A82970"/>
    <w:rsid w:val="00A831F8"/>
    <w:rsid w:val="00A8339C"/>
    <w:rsid w:val="00A83AD5"/>
    <w:rsid w:val="00A83EFB"/>
    <w:rsid w:val="00A84004"/>
    <w:rsid w:val="00A8422C"/>
    <w:rsid w:val="00A847F9"/>
    <w:rsid w:val="00A849FC"/>
    <w:rsid w:val="00A84ADD"/>
    <w:rsid w:val="00A84CE3"/>
    <w:rsid w:val="00A85B76"/>
    <w:rsid w:val="00A85CB6"/>
    <w:rsid w:val="00A86968"/>
    <w:rsid w:val="00A86D08"/>
    <w:rsid w:val="00A87600"/>
    <w:rsid w:val="00A87602"/>
    <w:rsid w:val="00A877CB"/>
    <w:rsid w:val="00A87958"/>
    <w:rsid w:val="00A90BE9"/>
    <w:rsid w:val="00A90BEB"/>
    <w:rsid w:val="00A90CD1"/>
    <w:rsid w:val="00A9195A"/>
    <w:rsid w:val="00A91EA4"/>
    <w:rsid w:val="00A9200E"/>
    <w:rsid w:val="00A92208"/>
    <w:rsid w:val="00A9252D"/>
    <w:rsid w:val="00A92842"/>
    <w:rsid w:val="00A92C99"/>
    <w:rsid w:val="00A9393B"/>
    <w:rsid w:val="00A93D04"/>
    <w:rsid w:val="00A93D28"/>
    <w:rsid w:val="00A93FDE"/>
    <w:rsid w:val="00A946DA"/>
    <w:rsid w:val="00A946EF"/>
    <w:rsid w:val="00A94B7A"/>
    <w:rsid w:val="00A94D52"/>
    <w:rsid w:val="00A94DC2"/>
    <w:rsid w:val="00A94EA3"/>
    <w:rsid w:val="00A95165"/>
    <w:rsid w:val="00A955E1"/>
    <w:rsid w:val="00A95B5E"/>
    <w:rsid w:val="00A960F8"/>
    <w:rsid w:val="00A9643D"/>
    <w:rsid w:val="00A96520"/>
    <w:rsid w:val="00A9682A"/>
    <w:rsid w:val="00A96C23"/>
    <w:rsid w:val="00A96C95"/>
    <w:rsid w:val="00A96CEB"/>
    <w:rsid w:val="00A9734E"/>
    <w:rsid w:val="00A97506"/>
    <w:rsid w:val="00A975E1"/>
    <w:rsid w:val="00AA0174"/>
    <w:rsid w:val="00AA02D3"/>
    <w:rsid w:val="00AA041B"/>
    <w:rsid w:val="00AA0696"/>
    <w:rsid w:val="00AA0F08"/>
    <w:rsid w:val="00AA11BD"/>
    <w:rsid w:val="00AA124F"/>
    <w:rsid w:val="00AA18CF"/>
    <w:rsid w:val="00AA1DFC"/>
    <w:rsid w:val="00AA2138"/>
    <w:rsid w:val="00AA2340"/>
    <w:rsid w:val="00AA246E"/>
    <w:rsid w:val="00AA2537"/>
    <w:rsid w:val="00AA2555"/>
    <w:rsid w:val="00AA2A71"/>
    <w:rsid w:val="00AA2C23"/>
    <w:rsid w:val="00AA2C9A"/>
    <w:rsid w:val="00AA2DD5"/>
    <w:rsid w:val="00AA36CA"/>
    <w:rsid w:val="00AA3754"/>
    <w:rsid w:val="00AA3C95"/>
    <w:rsid w:val="00AA3E2E"/>
    <w:rsid w:val="00AA3E4C"/>
    <w:rsid w:val="00AA4263"/>
    <w:rsid w:val="00AA45FE"/>
    <w:rsid w:val="00AA476B"/>
    <w:rsid w:val="00AA49A9"/>
    <w:rsid w:val="00AA49DE"/>
    <w:rsid w:val="00AA4B6E"/>
    <w:rsid w:val="00AA54AE"/>
    <w:rsid w:val="00AA54EB"/>
    <w:rsid w:val="00AA59E8"/>
    <w:rsid w:val="00AA5B1B"/>
    <w:rsid w:val="00AA5CC6"/>
    <w:rsid w:val="00AA5D42"/>
    <w:rsid w:val="00AA668B"/>
    <w:rsid w:val="00AA674B"/>
    <w:rsid w:val="00AA685C"/>
    <w:rsid w:val="00AA68ED"/>
    <w:rsid w:val="00AA6BEE"/>
    <w:rsid w:val="00AA6BF3"/>
    <w:rsid w:val="00AA6D8E"/>
    <w:rsid w:val="00AA7166"/>
    <w:rsid w:val="00AA7221"/>
    <w:rsid w:val="00AA7357"/>
    <w:rsid w:val="00AA7ED2"/>
    <w:rsid w:val="00AA7FED"/>
    <w:rsid w:val="00AB0476"/>
    <w:rsid w:val="00AB08C3"/>
    <w:rsid w:val="00AB0C6D"/>
    <w:rsid w:val="00AB12C2"/>
    <w:rsid w:val="00AB138B"/>
    <w:rsid w:val="00AB1A95"/>
    <w:rsid w:val="00AB2A40"/>
    <w:rsid w:val="00AB3E4F"/>
    <w:rsid w:val="00AB3F34"/>
    <w:rsid w:val="00AB41E7"/>
    <w:rsid w:val="00AB45B3"/>
    <w:rsid w:val="00AB4A33"/>
    <w:rsid w:val="00AB4F2B"/>
    <w:rsid w:val="00AB53C7"/>
    <w:rsid w:val="00AB5958"/>
    <w:rsid w:val="00AB5D93"/>
    <w:rsid w:val="00AB5EF3"/>
    <w:rsid w:val="00AB63CE"/>
    <w:rsid w:val="00AB6541"/>
    <w:rsid w:val="00AB66A4"/>
    <w:rsid w:val="00AB695F"/>
    <w:rsid w:val="00AB6AC2"/>
    <w:rsid w:val="00AB6DE3"/>
    <w:rsid w:val="00AB6F9E"/>
    <w:rsid w:val="00AB77CF"/>
    <w:rsid w:val="00AB7C17"/>
    <w:rsid w:val="00AB7E22"/>
    <w:rsid w:val="00AB7F79"/>
    <w:rsid w:val="00AC0264"/>
    <w:rsid w:val="00AC0298"/>
    <w:rsid w:val="00AC0797"/>
    <w:rsid w:val="00AC07D7"/>
    <w:rsid w:val="00AC1935"/>
    <w:rsid w:val="00AC1ABF"/>
    <w:rsid w:val="00AC1ADE"/>
    <w:rsid w:val="00AC1F38"/>
    <w:rsid w:val="00AC2CFE"/>
    <w:rsid w:val="00AC2D20"/>
    <w:rsid w:val="00AC3146"/>
    <w:rsid w:val="00AC329A"/>
    <w:rsid w:val="00AC4728"/>
    <w:rsid w:val="00AC4765"/>
    <w:rsid w:val="00AC4767"/>
    <w:rsid w:val="00AC4ACF"/>
    <w:rsid w:val="00AC4EA7"/>
    <w:rsid w:val="00AC56FB"/>
    <w:rsid w:val="00AC5B9D"/>
    <w:rsid w:val="00AC5CA4"/>
    <w:rsid w:val="00AC5F88"/>
    <w:rsid w:val="00AC6133"/>
    <w:rsid w:val="00AC6360"/>
    <w:rsid w:val="00AC645A"/>
    <w:rsid w:val="00AC6675"/>
    <w:rsid w:val="00AC684F"/>
    <w:rsid w:val="00AC695D"/>
    <w:rsid w:val="00AC7076"/>
    <w:rsid w:val="00AC764A"/>
    <w:rsid w:val="00AC76D4"/>
    <w:rsid w:val="00AD0060"/>
    <w:rsid w:val="00AD00CF"/>
    <w:rsid w:val="00AD078D"/>
    <w:rsid w:val="00AD09B5"/>
    <w:rsid w:val="00AD121B"/>
    <w:rsid w:val="00AD1334"/>
    <w:rsid w:val="00AD1913"/>
    <w:rsid w:val="00AD1A77"/>
    <w:rsid w:val="00AD1ACF"/>
    <w:rsid w:val="00AD1FD3"/>
    <w:rsid w:val="00AD2685"/>
    <w:rsid w:val="00AD317A"/>
    <w:rsid w:val="00AD3573"/>
    <w:rsid w:val="00AD420E"/>
    <w:rsid w:val="00AD4508"/>
    <w:rsid w:val="00AD4893"/>
    <w:rsid w:val="00AD4A6B"/>
    <w:rsid w:val="00AD4B98"/>
    <w:rsid w:val="00AD4CD4"/>
    <w:rsid w:val="00AD4DE3"/>
    <w:rsid w:val="00AD4E5B"/>
    <w:rsid w:val="00AD5454"/>
    <w:rsid w:val="00AD5838"/>
    <w:rsid w:val="00AD5E88"/>
    <w:rsid w:val="00AD5E8C"/>
    <w:rsid w:val="00AD689D"/>
    <w:rsid w:val="00AD69DA"/>
    <w:rsid w:val="00AD6C13"/>
    <w:rsid w:val="00AD6C27"/>
    <w:rsid w:val="00AD6FE4"/>
    <w:rsid w:val="00AD726D"/>
    <w:rsid w:val="00AD749C"/>
    <w:rsid w:val="00AD75D3"/>
    <w:rsid w:val="00AD7692"/>
    <w:rsid w:val="00AD7C4E"/>
    <w:rsid w:val="00AD7ED5"/>
    <w:rsid w:val="00AE031A"/>
    <w:rsid w:val="00AE0417"/>
    <w:rsid w:val="00AE0637"/>
    <w:rsid w:val="00AE0BE8"/>
    <w:rsid w:val="00AE1264"/>
    <w:rsid w:val="00AE131D"/>
    <w:rsid w:val="00AE13AA"/>
    <w:rsid w:val="00AE146C"/>
    <w:rsid w:val="00AE15F1"/>
    <w:rsid w:val="00AE16CB"/>
    <w:rsid w:val="00AE1E38"/>
    <w:rsid w:val="00AE22D7"/>
    <w:rsid w:val="00AE26E3"/>
    <w:rsid w:val="00AE293A"/>
    <w:rsid w:val="00AE2CAF"/>
    <w:rsid w:val="00AE2F67"/>
    <w:rsid w:val="00AE3276"/>
    <w:rsid w:val="00AE34C7"/>
    <w:rsid w:val="00AE35A3"/>
    <w:rsid w:val="00AE36A9"/>
    <w:rsid w:val="00AE38FC"/>
    <w:rsid w:val="00AE3AB4"/>
    <w:rsid w:val="00AE3CEB"/>
    <w:rsid w:val="00AE3F53"/>
    <w:rsid w:val="00AE3FE0"/>
    <w:rsid w:val="00AE4BE2"/>
    <w:rsid w:val="00AE502B"/>
    <w:rsid w:val="00AE50C6"/>
    <w:rsid w:val="00AE525A"/>
    <w:rsid w:val="00AE526F"/>
    <w:rsid w:val="00AE545D"/>
    <w:rsid w:val="00AE5637"/>
    <w:rsid w:val="00AE5673"/>
    <w:rsid w:val="00AE596F"/>
    <w:rsid w:val="00AE5A33"/>
    <w:rsid w:val="00AE5A41"/>
    <w:rsid w:val="00AE5C68"/>
    <w:rsid w:val="00AE5ED0"/>
    <w:rsid w:val="00AE69FE"/>
    <w:rsid w:val="00AE6A7B"/>
    <w:rsid w:val="00AE6A9A"/>
    <w:rsid w:val="00AE72CA"/>
    <w:rsid w:val="00AE7384"/>
    <w:rsid w:val="00AE756C"/>
    <w:rsid w:val="00AE75D9"/>
    <w:rsid w:val="00AF03A4"/>
    <w:rsid w:val="00AF03E0"/>
    <w:rsid w:val="00AF067F"/>
    <w:rsid w:val="00AF095E"/>
    <w:rsid w:val="00AF108A"/>
    <w:rsid w:val="00AF1832"/>
    <w:rsid w:val="00AF18BF"/>
    <w:rsid w:val="00AF20EC"/>
    <w:rsid w:val="00AF2555"/>
    <w:rsid w:val="00AF2EB5"/>
    <w:rsid w:val="00AF30C0"/>
    <w:rsid w:val="00AF321F"/>
    <w:rsid w:val="00AF3E18"/>
    <w:rsid w:val="00AF3EFF"/>
    <w:rsid w:val="00AF42DF"/>
    <w:rsid w:val="00AF478C"/>
    <w:rsid w:val="00AF4799"/>
    <w:rsid w:val="00AF47FD"/>
    <w:rsid w:val="00AF515E"/>
    <w:rsid w:val="00AF5297"/>
    <w:rsid w:val="00AF52A0"/>
    <w:rsid w:val="00AF5459"/>
    <w:rsid w:val="00AF5BF7"/>
    <w:rsid w:val="00AF63CF"/>
    <w:rsid w:val="00AF66BF"/>
    <w:rsid w:val="00AF6755"/>
    <w:rsid w:val="00AF6B42"/>
    <w:rsid w:val="00AF705D"/>
    <w:rsid w:val="00B002EE"/>
    <w:rsid w:val="00B009A5"/>
    <w:rsid w:val="00B00C5F"/>
    <w:rsid w:val="00B00DFD"/>
    <w:rsid w:val="00B01324"/>
    <w:rsid w:val="00B01534"/>
    <w:rsid w:val="00B0153F"/>
    <w:rsid w:val="00B01964"/>
    <w:rsid w:val="00B0205E"/>
    <w:rsid w:val="00B02164"/>
    <w:rsid w:val="00B02614"/>
    <w:rsid w:val="00B02852"/>
    <w:rsid w:val="00B028F4"/>
    <w:rsid w:val="00B0290C"/>
    <w:rsid w:val="00B02A37"/>
    <w:rsid w:val="00B02B6B"/>
    <w:rsid w:val="00B03181"/>
    <w:rsid w:val="00B03578"/>
    <w:rsid w:val="00B038D9"/>
    <w:rsid w:val="00B03CF2"/>
    <w:rsid w:val="00B03F2E"/>
    <w:rsid w:val="00B04213"/>
    <w:rsid w:val="00B046F3"/>
    <w:rsid w:val="00B048D0"/>
    <w:rsid w:val="00B04F15"/>
    <w:rsid w:val="00B04F22"/>
    <w:rsid w:val="00B05282"/>
    <w:rsid w:val="00B0578F"/>
    <w:rsid w:val="00B05871"/>
    <w:rsid w:val="00B05E71"/>
    <w:rsid w:val="00B060B4"/>
    <w:rsid w:val="00B065C3"/>
    <w:rsid w:val="00B065D0"/>
    <w:rsid w:val="00B0697F"/>
    <w:rsid w:val="00B06A54"/>
    <w:rsid w:val="00B070E6"/>
    <w:rsid w:val="00B0753F"/>
    <w:rsid w:val="00B075E5"/>
    <w:rsid w:val="00B078CF"/>
    <w:rsid w:val="00B0792B"/>
    <w:rsid w:val="00B07B35"/>
    <w:rsid w:val="00B07B61"/>
    <w:rsid w:val="00B07F1A"/>
    <w:rsid w:val="00B10104"/>
    <w:rsid w:val="00B10657"/>
    <w:rsid w:val="00B10673"/>
    <w:rsid w:val="00B107F0"/>
    <w:rsid w:val="00B10A7E"/>
    <w:rsid w:val="00B10AD1"/>
    <w:rsid w:val="00B11004"/>
    <w:rsid w:val="00B11232"/>
    <w:rsid w:val="00B112DF"/>
    <w:rsid w:val="00B11367"/>
    <w:rsid w:val="00B11514"/>
    <w:rsid w:val="00B11D83"/>
    <w:rsid w:val="00B12060"/>
    <w:rsid w:val="00B1222D"/>
    <w:rsid w:val="00B12427"/>
    <w:rsid w:val="00B12496"/>
    <w:rsid w:val="00B12CD1"/>
    <w:rsid w:val="00B12FC0"/>
    <w:rsid w:val="00B136D6"/>
    <w:rsid w:val="00B1371A"/>
    <w:rsid w:val="00B13750"/>
    <w:rsid w:val="00B1385B"/>
    <w:rsid w:val="00B14165"/>
    <w:rsid w:val="00B141B7"/>
    <w:rsid w:val="00B1436D"/>
    <w:rsid w:val="00B145C6"/>
    <w:rsid w:val="00B14B88"/>
    <w:rsid w:val="00B14C8F"/>
    <w:rsid w:val="00B15392"/>
    <w:rsid w:val="00B159B7"/>
    <w:rsid w:val="00B15A27"/>
    <w:rsid w:val="00B15EAF"/>
    <w:rsid w:val="00B15F5D"/>
    <w:rsid w:val="00B16249"/>
    <w:rsid w:val="00B1690B"/>
    <w:rsid w:val="00B169D0"/>
    <w:rsid w:val="00B16B9F"/>
    <w:rsid w:val="00B16BBA"/>
    <w:rsid w:val="00B16E86"/>
    <w:rsid w:val="00B16F99"/>
    <w:rsid w:val="00B173A8"/>
    <w:rsid w:val="00B177D4"/>
    <w:rsid w:val="00B17BA1"/>
    <w:rsid w:val="00B17FC7"/>
    <w:rsid w:val="00B205AA"/>
    <w:rsid w:val="00B2061E"/>
    <w:rsid w:val="00B20869"/>
    <w:rsid w:val="00B20CE1"/>
    <w:rsid w:val="00B20D0C"/>
    <w:rsid w:val="00B20EAA"/>
    <w:rsid w:val="00B210AC"/>
    <w:rsid w:val="00B213EB"/>
    <w:rsid w:val="00B216A7"/>
    <w:rsid w:val="00B21B50"/>
    <w:rsid w:val="00B21BDF"/>
    <w:rsid w:val="00B21C42"/>
    <w:rsid w:val="00B21C84"/>
    <w:rsid w:val="00B22426"/>
    <w:rsid w:val="00B2270D"/>
    <w:rsid w:val="00B228D4"/>
    <w:rsid w:val="00B22AEA"/>
    <w:rsid w:val="00B22DA1"/>
    <w:rsid w:val="00B22E3C"/>
    <w:rsid w:val="00B22E3E"/>
    <w:rsid w:val="00B22E59"/>
    <w:rsid w:val="00B233DB"/>
    <w:rsid w:val="00B23536"/>
    <w:rsid w:val="00B239AB"/>
    <w:rsid w:val="00B23D33"/>
    <w:rsid w:val="00B24A4B"/>
    <w:rsid w:val="00B24F19"/>
    <w:rsid w:val="00B24F94"/>
    <w:rsid w:val="00B25148"/>
    <w:rsid w:val="00B253D4"/>
    <w:rsid w:val="00B26365"/>
    <w:rsid w:val="00B26803"/>
    <w:rsid w:val="00B2690C"/>
    <w:rsid w:val="00B26ADE"/>
    <w:rsid w:val="00B27A54"/>
    <w:rsid w:val="00B300EF"/>
    <w:rsid w:val="00B302DE"/>
    <w:rsid w:val="00B30A7F"/>
    <w:rsid w:val="00B30BD6"/>
    <w:rsid w:val="00B30E8B"/>
    <w:rsid w:val="00B30ECC"/>
    <w:rsid w:val="00B316DD"/>
    <w:rsid w:val="00B32111"/>
    <w:rsid w:val="00B32491"/>
    <w:rsid w:val="00B325B0"/>
    <w:rsid w:val="00B3269E"/>
    <w:rsid w:val="00B32E55"/>
    <w:rsid w:val="00B32E75"/>
    <w:rsid w:val="00B32F19"/>
    <w:rsid w:val="00B33861"/>
    <w:rsid w:val="00B34495"/>
    <w:rsid w:val="00B34586"/>
    <w:rsid w:val="00B34A9C"/>
    <w:rsid w:val="00B34ECE"/>
    <w:rsid w:val="00B34F95"/>
    <w:rsid w:val="00B352FC"/>
    <w:rsid w:val="00B35905"/>
    <w:rsid w:val="00B35A19"/>
    <w:rsid w:val="00B35B0E"/>
    <w:rsid w:val="00B362BF"/>
    <w:rsid w:val="00B36361"/>
    <w:rsid w:val="00B36380"/>
    <w:rsid w:val="00B363E3"/>
    <w:rsid w:val="00B368CF"/>
    <w:rsid w:val="00B36955"/>
    <w:rsid w:val="00B3781B"/>
    <w:rsid w:val="00B37D79"/>
    <w:rsid w:val="00B37E8A"/>
    <w:rsid w:val="00B40464"/>
    <w:rsid w:val="00B4055C"/>
    <w:rsid w:val="00B40891"/>
    <w:rsid w:val="00B412F3"/>
    <w:rsid w:val="00B416B9"/>
    <w:rsid w:val="00B4180B"/>
    <w:rsid w:val="00B41B2E"/>
    <w:rsid w:val="00B41D01"/>
    <w:rsid w:val="00B420AD"/>
    <w:rsid w:val="00B42281"/>
    <w:rsid w:val="00B425CC"/>
    <w:rsid w:val="00B425F4"/>
    <w:rsid w:val="00B4264D"/>
    <w:rsid w:val="00B42A73"/>
    <w:rsid w:val="00B42C06"/>
    <w:rsid w:val="00B42F52"/>
    <w:rsid w:val="00B43072"/>
    <w:rsid w:val="00B445DD"/>
    <w:rsid w:val="00B445FD"/>
    <w:rsid w:val="00B446CA"/>
    <w:rsid w:val="00B44BCC"/>
    <w:rsid w:val="00B44F73"/>
    <w:rsid w:val="00B4510C"/>
    <w:rsid w:val="00B45251"/>
    <w:rsid w:val="00B45335"/>
    <w:rsid w:val="00B45347"/>
    <w:rsid w:val="00B459C9"/>
    <w:rsid w:val="00B45E7E"/>
    <w:rsid w:val="00B460E9"/>
    <w:rsid w:val="00B46178"/>
    <w:rsid w:val="00B469D8"/>
    <w:rsid w:val="00B46B0C"/>
    <w:rsid w:val="00B46BB5"/>
    <w:rsid w:val="00B46FAA"/>
    <w:rsid w:val="00B4726C"/>
    <w:rsid w:val="00B4763F"/>
    <w:rsid w:val="00B47AE9"/>
    <w:rsid w:val="00B504B5"/>
    <w:rsid w:val="00B50517"/>
    <w:rsid w:val="00B5084F"/>
    <w:rsid w:val="00B50ACA"/>
    <w:rsid w:val="00B51038"/>
    <w:rsid w:val="00B5158B"/>
    <w:rsid w:val="00B518D2"/>
    <w:rsid w:val="00B51BD0"/>
    <w:rsid w:val="00B521D4"/>
    <w:rsid w:val="00B525D1"/>
    <w:rsid w:val="00B52925"/>
    <w:rsid w:val="00B52972"/>
    <w:rsid w:val="00B529A1"/>
    <w:rsid w:val="00B52BB7"/>
    <w:rsid w:val="00B53067"/>
    <w:rsid w:val="00B53265"/>
    <w:rsid w:val="00B5334F"/>
    <w:rsid w:val="00B5341D"/>
    <w:rsid w:val="00B539B0"/>
    <w:rsid w:val="00B53A27"/>
    <w:rsid w:val="00B540CB"/>
    <w:rsid w:val="00B54755"/>
    <w:rsid w:val="00B54E7B"/>
    <w:rsid w:val="00B554E0"/>
    <w:rsid w:val="00B556F9"/>
    <w:rsid w:val="00B55B44"/>
    <w:rsid w:val="00B55B54"/>
    <w:rsid w:val="00B55BEF"/>
    <w:rsid w:val="00B5659E"/>
    <w:rsid w:val="00B56639"/>
    <w:rsid w:val="00B57096"/>
    <w:rsid w:val="00B57353"/>
    <w:rsid w:val="00B57FC0"/>
    <w:rsid w:val="00B6008A"/>
    <w:rsid w:val="00B6042F"/>
    <w:rsid w:val="00B605DB"/>
    <w:rsid w:val="00B6069A"/>
    <w:rsid w:val="00B6071B"/>
    <w:rsid w:val="00B60B0E"/>
    <w:rsid w:val="00B6126A"/>
    <w:rsid w:val="00B612EA"/>
    <w:rsid w:val="00B6180F"/>
    <w:rsid w:val="00B6192F"/>
    <w:rsid w:val="00B61B07"/>
    <w:rsid w:val="00B61BD0"/>
    <w:rsid w:val="00B61F37"/>
    <w:rsid w:val="00B621C3"/>
    <w:rsid w:val="00B62294"/>
    <w:rsid w:val="00B6231E"/>
    <w:rsid w:val="00B6241F"/>
    <w:rsid w:val="00B629E5"/>
    <w:rsid w:val="00B63240"/>
    <w:rsid w:val="00B63563"/>
    <w:rsid w:val="00B63600"/>
    <w:rsid w:val="00B637F5"/>
    <w:rsid w:val="00B63B44"/>
    <w:rsid w:val="00B63BFF"/>
    <w:rsid w:val="00B63C40"/>
    <w:rsid w:val="00B6407B"/>
    <w:rsid w:val="00B64274"/>
    <w:rsid w:val="00B64522"/>
    <w:rsid w:val="00B6496D"/>
    <w:rsid w:val="00B64A46"/>
    <w:rsid w:val="00B64A74"/>
    <w:rsid w:val="00B650E0"/>
    <w:rsid w:val="00B653CA"/>
    <w:rsid w:val="00B65E9A"/>
    <w:rsid w:val="00B66023"/>
    <w:rsid w:val="00B66A9A"/>
    <w:rsid w:val="00B66CF0"/>
    <w:rsid w:val="00B673DD"/>
    <w:rsid w:val="00B6741C"/>
    <w:rsid w:val="00B67735"/>
    <w:rsid w:val="00B67957"/>
    <w:rsid w:val="00B67B12"/>
    <w:rsid w:val="00B70477"/>
    <w:rsid w:val="00B70AB2"/>
    <w:rsid w:val="00B70CC6"/>
    <w:rsid w:val="00B711FB"/>
    <w:rsid w:val="00B712AE"/>
    <w:rsid w:val="00B714C6"/>
    <w:rsid w:val="00B71C7F"/>
    <w:rsid w:val="00B71F7A"/>
    <w:rsid w:val="00B72006"/>
    <w:rsid w:val="00B72047"/>
    <w:rsid w:val="00B72922"/>
    <w:rsid w:val="00B731FE"/>
    <w:rsid w:val="00B73281"/>
    <w:rsid w:val="00B73510"/>
    <w:rsid w:val="00B737DF"/>
    <w:rsid w:val="00B73A92"/>
    <w:rsid w:val="00B73F1F"/>
    <w:rsid w:val="00B745FB"/>
    <w:rsid w:val="00B74858"/>
    <w:rsid w:val="00B74AF3"/>
    <w:rsid w:val="00B74BF4"/>
    <w:rsid w:val="00B74D30"/>
    <w:rsid w:val="00B74ECA"/>
    <w:rsid w:val="00B75124"/>
    <w:rsid w:val="00B7531F"/>
    <w:rsid w:val="00B75401"/>
    <w:rsid w:val="00B75465"/>
    <w:rsid w:val="00B7632D"/>
    <w:rsid w:val="00B7674E"/>
    <w:rsid w:val="00B76BA6"/>
    <w:rsid w:val="00B76C69"/>
    <w:rsid w:val="00B76D40"/>
    <w:rsid w:val="00B771C4"/>
    <w:rsid w:val="00B771EE"/>
    <w:rsid w:val="00B77354"/>
    <w:rsid w:val="00B775F5"/>
    <w:rsid w:val="00B77A0D"/>
    <w:rsid w:val="00B77AC5"/>
    <w:rsid w:val="00B77C9E"/>
    <w:rsid w:val="00B80020"/>
    <w:rsid w:val="00B803F3"/>
    <w:rsid w:val="00B80693"/>
    <w:rsid w:val="00B806E3"/>
    <w:rsid w:val="00B80727"/>
    <w:rsid w:val="00B80797"/>
    <w:rsid w:val="00B807C3"/>
    <w:rsid w:val="00B80B5C"/>
    <w:rsid w:val="00B80E28"/>
    <w:rsid w:val="00B80F4D"/>
    <w:rsid w:val="00B819F3"/>
    <w:rsid w:val="00B81A17"/>
    <w:rsid w:val="00B81C19"/>
    <w:rsid w:val="00B81D13"/>
    <w:rsid w:val="00B81D79"/>
    <w:rsid w:val="00B81F28"/>
    <w:rsid w:val="00B82676"/>
    <w:rsid w:val="00B82F42"/>
    <w:rsid w:val="00B83060"/>
    <w:rsid w:val="00B833D2"/>
    <w:rsid w:val="00B8369B"/>
    <w:rsid w:val="00B83E19"/>
    <w:rsid w:val="00B83E4F"/>
    <w:rsid w:val="00B8401D"/>
    <w:rsid w:val="00B84421"/>
    <w:rsid w:val="00B844EF"/>
    <w:rsid w:val="00B8454B"/>
    <w:rsid w:val="00B848DC"/>
    <w:rsid w:val="00B84915"/>
    <w:rsid w:val="00B84AEA"/>
    <w:rsid w:val="00B84F73"/>
    <w:rsid w:val="00B8531B"/>
    <w:rsid w:val="00B85BDE"/>
    <w:rsid w:val="00B85E85"/>
    <w:rsid w:val="00B8641C"/>
    <w:rsid w:val="00B867A5"/>
    <w:rsid w:val="00B8690F"/>
    <w:rsid w:val="00B86B30"/>
    <w:rsid w:val="00B86BD2"/>
    <w:rsid w:val="00B86C0D"/>
    <w:rsid w:val="00B86E1E"/>
    <w:rsid w:val="00B86E6D"/>
    <w:rsid w:val="00B87173"/>
    <w:rsid w:val="00B87489"/>
    <w:rsid w:val="00B87682"/>
    <w:rsid w:val="00B876FA"/>
    <w:rsid w:val="00B877D0"/>
    <w:rsid w:val="00B90521"/>
    <w:rsid w:val="00B90EAA"/>
    <w:rsid w:val="00B915B6"/>
    <w:rsid w:val="00B918BE"/>
    <w:rsid w:val="00B918DC"/>
    <w:rsid w:val="00B9192B"/>
    <w:rsid w:val="00B91983"/>
    <w:rsid w:val="00B91C15"/>
    <w:rsid w:val="00B9216D"/>
    <w:rsid w:val="00B928B6"/>
    <w:rsid w:val="00B92FA8"/>
    <w:rsid w:val="00B93387"/>
    <w:rsid w:val="00B93705"/>
    <w:rsid w:val="00B93917"/>
    <w:rsid w:val="00B939A3"/>
    <w:rsid w:val="00B93A4C"/>
    <w:rsid w:val="00B93F3F"/>
    <w:rsid w:val="00B93FF5"/>
    <w:rsid w:val="00B9451F"/>
    <w:rsid w:val="00B945E4"/>
    <w:rsid w:val="00B94AC9"/>
    <w:rsid w:val="00B94E06"/>
    <w:rsid w:val="00B94F2E"/>
    <w:rsid w:val="00B955FB"/>
    <w:rsid w:val="00B95621"/>
    <w:rsid w:val="00B95719"/>
    <w:rsid w:val="00B9578E"/>
    <w:rsid w:val="00B95ACA"/>
    <w:rsid w:val="00B95ACB"/>
    <w:rsid w:val="00B95ADC"/>
    <w:rsid w:val="00B95BA4"/>
    <w:rsid w:val="00B95CE4"/>
    <w:rsid w:val="00B95CF8"/>
    <w:rsid w:val="00B95F97"/>
    <w:rsid w:val="00B96133"/>
    <w:rsid w:val="00B964A8"/>
    <w:rsid w:val="00B96604"/>
    <w:rsid w:val="00B9661A"/>
    <w:rsid w:val="00B97086"/>
    <w:rsid w:val="00B971B8"/>
    <w:rsid w:val="00B975F6"/>
    <w:rsid w:val="00B97A44"/>
    <w:rsid w:val="00B97B09"/>
    <w:rsid w:val="00B97D12"/>
    <w:rsid w:val="00BA0193"/>
    <w:rsid w:val="00BA0271"/>
    <w:rsid w:val="00BA06B9"/>
    <w:rsid w:val="00BA0EAB"/>
    <w:rsid w:val="00BA0FEB"/>
    <w:rsid w:val="00BA1B43"/>
    <w:rsid w:val="00BA1E44"/>
    <w:rsid w:val="00BA25E2"/>
    <w:rsid w:val="00BA2835"/>
    <w:rsid w:val="00BA2E28"/>
    <w:rsid w:val="00BA363C"/>
    <w:rsid w:val="00BA4371"/>
    <w:rsid w:val="00BA45B7"/>
    <w:rsid w:val="00BA4C0F"/>
    <w:rsid w:val="00BA4E9B"/>
    <w:rsid w:val="00BA5660"/>
    <w:rsid w:val="00BA5873"/>
    <w:rsid w:val="00BA58AF"/>
    <w:rsid w:val="00BA5CC6"/>
    <w:rsid w:val="00BA6791"/>
    <w:rsid w:val="00BA69E4"/>
    <w:rsid w:val="00BA6A2D"/>
    <w:rsid w:val="00BA73F0"/>
    <w:rsid w:val="00BA7836"/>
    <w:rsid w:val="00BA7CCD"/>
    <w:rsid w:val="00BA7D21"/>
    <w:rsid w:val="00BA7E1E"/>
    <w:rsid w:val="00BA7E45"/>
    <w:rsid w:val="00BA7E54"/>
    <w:rsid w:val="00BB003F"/>
    <w:rsid w:val="00BB01E3"/>
    <w:rsid w:val="00BB033F"/>
    <w:rsid w:val="00BB098C"/>
    <w:rsid w:val="00BB0AED"/>
    <w:rsid w:val="00BB1131"/>
    <w:rsid w:val="00BB19F3"/>
    <w:rsid w:val="00BB1BA1"/>
    <w:rsid w:val="00BB1C27"/>
    <w:rsid w:val="00BB1EDB"/>
    <w:rsid w:val="00BB23C7"/>
    <w:rsid w:val="00BB259E"/>
    <w:rsid w:val="00BB27C4"/>
    <w:rsid w:val="00BB2D6A"/>
    <w:rsid w:val="00BB2E41"/>
    <w:rsid w:val="00BB2E9A"/>
    <w:rsid w:val="00BB30BF"/>
    <w:rsid w:val="00BB3161"/>
    <w:rsid w:val="00BB3A84"/>
    <w:rsid w:val="00BB3B0A"/>
    <w:rsid w:val="00BB51EC"/>
    <w:rsid w:val="00BB56C3"/>
    <w:rsid w:val="00BB56CF"/>
    <w:rsid w:val="00BB590F"/>
    <w:rsid w:val="00BB61A9"/>
    <w:rsid w:val="00BB65C3"/>
    <w:rsid w:val="00BB6894"/>
    <w:rsid w:val="00BB78A6"/>
    <w:rsid w:val="00BB7AA7"/>
    <w:rsid w:val="00BB7F4B"/>
    <w:rsid w:val="00BC0103"/>
    <w:rsid w:val="00BC039E"/>
    <w:rsid w:val="00BC0539"/>
    <w:rsid w:val="00BC06B3"/>
    <w:rsid w:val="00BC079F"/>
    <w:rsid w:val="00BC119A"/>
    <w:rsid w:val="00BC140F"/>
    <w:rsid w:val="00BC16EB"/>
    <w:rsid w:val="00BC17A8"/>
    <w:rsid w:val="00BC2071"/>
    <w:rsid w:val="00BC20CC"/>
    <w:rsid w:val="00BC2159"/>
    <w:rsid w:val="00BC27D5"/>
    <w:rsid w:val="00BC2B10"/>
    <w:rsid w:val="00BC35A9"/>
    <w:rsid w:val="00BC3CE8"/>
    <w:rsid w:val="00BC3DAA"/>
    <w:rsid w:val="00BC4B33"/>
    <w:rsid w:val="00BC4E89"/>
    <w:rsid w:val="00BC4F52"/>
    <w:rsid w:val="00BC513B"/>
    <w:rsid w:val="00BC5167"/>
    <w:rsid w:val="00BC55AD"/>
    <w:rsid w:val="00BC57D2"/>
    <w:rsid w:val="00BC57FD"/>
    <w:rsid w:val="00BC5CF5"/>
    <w:rsid w:val="00BC5E55"/>
    <w:rsid w:val="00BC5F40"/>
    <w:rsid w:val="00BC5FF7"/>
    <w:rsid w:val="00BC61EC"/>
    <w:rsid w:val="00BC631B"/>
    <w:rsid w:val="00BC69A5"/>
    <w:rsid w:val="00BC79E7"/>
    <w:rsid w:val="00BC7F9A"/>
    <w:rsid w:val="00BD005F"/>
    <w:rsid w:val="00BD1130"/>
    <w:rsid w:val="00BD15FC"/>
    <w:rsid w:val="00BD1A10"/>
    <w:rsid w:val="00BD1BB9"/>
    <w:rsid w:val="00BD1C0C"/>
    <w:rsid w:val="00BD207B"/>
    <w:rsid w:val="00BD213D"/>
    <w:rsid w:val="00BD25DE"/>
    <w:rsid w:val="00BD28FE"/>
    <w:rsid w:val="00BD2CC8"/>
    <w:rsid w:val="00BD2FB9"/>
    <w:rsid w:val="00BD3623"/>
    <w:rsid w:val="00BD379D"/>
    <w:rsid w:val="00BD3BFA"/>
    <w:rsid w:val="00BD3EE2"/>
    <w:rsid w:val="00BD44DC"/>
    <w:rsid w:val="00BD4835"/>
    <w:rsid w:val="00BD484C"/>
    <w:rsid w:val="00BD50D7"/>
    <w:rsid w:val="00BD5239"/>
    <w:rsid w:val="00BD54BE"/>
    <w:rsid w:val="00BD551E"/>
    <w:rsid w:val="00BD562D"/>
    <w:rsid w:val="00BD5A44"/>
    <w:rsid w:val="00BD5E06"/>
    <w:rsid w:val="00BD5FCF"/>
    <w:rsid w:val="00BD60EC"/>
    <w:rsid w:val="00BD633A"/>
    <w:rsid w:val="00BD66DF"/>
    <w:rsid w:val="00BD67D2"/>
    <w:rsid w:val="00BD6831"/>
    <w:rsid w:val="00BD7090"/>
    <w:rsid w:val="00BD71B6"/>
    <w:rsid w:val="00BD71DC"/>
    <w:rsid w:val="00BD7210"/>
    <w:rsid w:val="00BD72F3"/>
    <w:rsid w:val="00BD795D"/>
    <w:rsid w:val="00BD7D38"/>
    <w:rsid w:val="00BD7E06"/>
    <w:rsid w:val="00BD7EA2"/>
    <w:rsid w:val="00BE0042"/>
    <w:rsid w:val="00BE0171"/>
    <w:rsid w:val="00BE03F0"/>
    <w:rsid w:val="00BE0552"/>
    <w:rsid w:val="00BE08C3"/>
    <w:rsid w:val="00BE0ED9"/>
    <w:rsid w:val="00BE1035"/>
    <w:rsid w:val="00BE1223"/>
    <w:rsid w:val="00BE1383"/>
    <w:rsid w:val="00BE15FB"/>
    <w:rsid w:val="00BE1C91"/>
    <w:rsid w:val="00BE1E21"/>
    <w:rsid w:val="00BE2300"/>
    <w:rsid w:val="00BE2816"/>
    <w:rsid w:val="00BE298F"/>
    <w:rsid w:val="00BE2E70"/>
    <w:rsid w:val="00BE31E8"/>
    <w:rsid w:val="00BE34D7"/>
    <w:rsid w:val="00BE35CB"/>
    <w:rsid w:val="00BE3A8B"/>
    <w:rsid w:val="00BE4250"/>
    <w:rsid w:val="00BE4505"/>
    <w:rsid w:val="00BE4ACE"/>
    <w:rsid w:val="00BE5517"/>
    <w:rsid w:val="00BE56EE"/>
    <w:rsid w:val="00BE5743"/>
    <w:rsid w:val="00BE59AD"/>
    <w:rsid w:val="00BE5AEB"/>
    <w:rsid w:val="00BE5BF5"/>
    <w:rsid w:val="00BE652F"/>
    <w:rsid w:val="00BE6DAC"/>
    <w:rsid w:val="00BE71E2"/>
    <w:rsid w:val="00BE7344"/>
    <w:rsid w:val="00BE75FA"/>
    <w:rsid w:val="00BE761A"/>
    <w:rsid w:val="00BE766E"/>
    <w:rsid w:val="00BE778A"/>
    <w:rsid w:val="00BE7AAF"/>
    <w:rsid w:val="00BE7B40"/>
    <w:rsid w:val="00BE7E78"/>
    <w:rsid w:val="00BF05DE"/>
    <w:rsid w:val="00BF09B1"/>
    <w:rsid w:val="00BF09E7"/>
    <w:rsid w:val="00BF0A66"/>
    <w:rsid w:val="00BF0BBC"/>
    <w:rsid w:val="00BF0D20"/>
    <w:rsid w:val="00BF0D50"/>
    <w:rsid w:val="00BF0E66"/>
    <w:rsid w:val="00BF11A5"/>
    <w:rsid w:val="00BF1298"/>
    <w:rsid w:val="00BF14A0"/>
    <w:rsid w:val="00BF17CB"/>
    <w:rsid w:val="00BF1BBD"/>
    <w:rsid w:val="00BF1BDF"/>
    <w:rsid w:val="00BF2010"/>
    <w:rsid w:val="00BF2450"/>
    <w:rsid w:val="00BF28CC"/>
    <w:rsid w:val="00BF2C72"/>
    <w:rsid w:val="00BF2F5C"/>
    <w:rsid w:val="00BF3157"/>
    <w:rsid w:val="00BF33CA"/>
    <w:rsid w:val="00BF3438"/>
    <w:rsid w:val="00BF3718"/>
    <w:rsid w:val="00BF3E24"/>
    <w:rsid w:val="00BF4179"/>
    <w:rsid w:val="00BF43B7"/>
    <w:rsid w:val="00BF4AC6"/>
    <w:rsid w:val="00BF4B51"/>
    <w:rsid w:val="00BF4D94"/>
    <w:rsid w:val="00BF4E4C"/>
    <w:rsid w:val="00BF538C"/>
    <w:rsid w:val="00BF5520"/>
    <w:rsid w:val="00BF59A7"/>
    <w:rsid w:val="00BF5FBF"/>
    <w:rsid w:val="00BF5FE5"/>
    <w:rsid w:val="00BF6509"/>
    <w:rsid w:val="00BF6BE6"/>
    <w:rsid w:val="00BF6DCC"/>
    <w:rsid w:val="00BF7007"/>
    <w:rsid w:val="00BF717B"/>
    <w:rsid w:val="00BF7870"/>
    <w:rsid w:val="00BF78A8"/>
    <w:rsid w:val="00BF7A8D"/>
    <w:rsid w:val="00BF7BC9"/>
    <w:rsid w:val="00C00283"/>
    <w:rsid w:val="00C005B2"/>
    <w:rsid w:val="00C00786"/>
    <w:rsid w:val="00C00933"/>
    <w:rsid w:val="00C0095E"/>
    <w:rsid w:val="00C0099B"/>
    <w:rsid w:val="00C009FA"/>
    <w:rsid w:val="00C00A97"/>
    <w:rsid w:val="00C00CC5"/>
    <w:rsid w:val="00C00E0B"/>
    <w:rsid w:val="00C00EBC"/>
    <w:rsid w:val="00C01030"/>
    <w:rsid w:val="00C0113A"/>
    <w:rsid w:val="00C012E1"/>
    <w:rsid w:val="00C018DD"/>
    <w:rsid w:val="00C01959"/>
    <w:rsid w:val="00C01989"/>
    <w:rsid w:val="00C01C68"/>
    <w:rsid w:val="00C01D28"/>
    <w:rsid w:val="00C0278B"/>
    <w:rsid w:val="00C030EC"/>
    <w:rsid w:val="00C03640"/>
    <w:rsid w:val="00C03D61"/>
    <w:rsid w:val="00C03ECD"/>
    <w:rsid w:val="00C0416D"/>
    <w:rsid w:val="00C04245"/>
    <w:rsid w:val="00C0468E"/>
    <w:rsid w:val="00C04AC1"/>
    <w:rsid w:val="00C04AE7"/>
    <w:rsid w:val="00C0539F"/>
    <w:rsid w:val="00C054DC"/>
    <w:rsid w:val="00C054E5"/>
    <w:rsid w:val="00C05AAD"/>
    <w:rsid w:val="00C05B42"/>
    <w:rsid w:val="00C05B65"/>
    <w:rsid w:val="00C05E08"/>
    <w:rsid w:val="00C05E46"/>
    <w:rsid w:val="00C05E93"/>
    <w:rsid w:val="00C068FC"/>
    <w:rsid w:val="00C06CDA"/>
    <w:rsid w:val="00C06D58"/>
    <w:rsid w:val="00C071B6"/>
    <w:rsid w:val="00C072C0"/>
    <w:rsid w:val="00C072D2"/>
    <w:rsid w:val="00C07BEA"/>
    <w:rsid w:val="00C10213"/>
    <w:rsid w:val="00C10462"/>
    <w:rsid w:val="00C10AA3"/>
    <w:rsid w:val="00C10ABB"/>
    <w:rsid w:val="00C10C0D"/>
    <w:rsid w:val="00C10D65"/>
    <w:rsid w:val="00C10D7A"/>
    <w:rsid w:val="00C10E13"/>
    <w:rsid w:val="00C10E20"/>
    <w:rsid w:val="00C10E44"/>
    <w:rsid w:val="00C11379"/>
    <w:rsid w:val="00C11701"/>
    <w:rsid w:val="00C118B9"/>
    <w:rsid w:val="00C11A4F"/>
    <w:rsid w:val="00C11A90"/>
    <w:rsid w:val="00C11FC0"/>
    <w:rsid w:val="00C120EE"/>
    <w:rsid w:val="00C12213"/>
    <w:rsid w:val="00C12556"/>
    <w:rsid w:val="00C12831"/>
    <w:rsid w:val="00C12971"/>
    <w:rsid w:val="00C132EA"/>
    <w:rsid w:val="00C1399D"/>
    <w:rsid w:val="00C13CC0"/>
    <w:rsid w:val="00C13FBE"/>
    <w:rsid w:val="00C14706"/>
    <w:rsid w:val="00C1473F"/>
    <w:rsid w:val="00C1474B"/>
    <w:rsid w:val="00C14766"/>
    <w:rsid w:val="00C14876"/>
    <w:rsid w:val="00C1488C"/>
    <w:rsid w:val="00C14C9B"/>
    <w:rsid w:val="00C15A4C"/>
    <w:rsid w:val="00C15AB8"/>
    <w:rsid w:val="00C1612C"/>
    <w:rsid w:val="00C16381"/>
    <w:rsid w:val="00C16609"/>
    <w:rsid w:val="00C16652"/>
    <w:rsid w:val="00C17824"/>
    <w:rsid w:val="00C17B23"/>
    <w:rsid w:val="00C17B4C"/>
    <w:rsid w:val="00C17D86"/>
    <w:rsid w:val="00C20607"/>
    <w:rsid w:val="00C20C14"/>
    <w:rsid w:val="00C20D04"/>
    <w:rsid w:val="00C20D49"/>
    <w:rsid w:val="00C20ECE"/>
    <w:rsid w:val="00C21283"/>
    <w:rsid w:val="00C21755"/>
    <w:rsid w:val="00C21772"/>
    <w:rsid w:val="00C21792"/>
    <w:rsid w:val="00C21E7C"/>
    <w:rsid w:val="00C2213E"/>
    <w:rsid w:val="00C22152"/>
    <w:rsid w:val="00C226E4"/>
    <w:rsid w:val="00C23008"/>
    <w:rsid w:val="00C2322B"/>
    <w:rsid w:val="00C2354C"/>
    <w:rsid w:val="00C2392C"/>
    <w:rsid w:val="00C239F0"/>
    <w:rsid w:val="00C23C14"/>
    <w:rsid w:val="00C241D8"/>
    <w:rsid w:val="00C24B7B"/>
    <w:rsid w:val="00C24DF8"/>
    <w:rsid w:val="00C24F15"/>
    <w:rsid w:val="00C253CE"/>
    <w:rsid w:val="00C2549E"/>
    <w:rsid w:val="00C257CE"/>
    <w:rsid w:val="00C258B8"/>
    <w:rsid w:val="00C25B0C"/>
    <w:rsid w:val="00C25DCE"/>
    <w:rsid w:val="00C25E4F"/>
    <w:rsid w:val="00C26036"/>
    <w:rsid w:val="00C262A0"/>
    <w:rsid w:val="00C2683E"/>
    <w:rsid w:val="00C2688E"/>
    <w:rsid w:val="00C26A13"/>
    <w:rsid w:val="00C26E56"/>
    <w:rsid w:val="00C2758D"/>
    <w:rsid w:val="00C27865"/>
    <w:rsid w:val="00C27CD3"/>
    <w:rsid w:val="00C27CDE"/>
    <w:rsid w:val="00C27D2F"/>
    <w:rsid w:val="00C27E48"/>
    <w:rsid w:val="00C27FCA"/>
    <w:rsid w:val="00C302BD"/>
    <w:rsid w:val="00C30481"/>
    <w:rsid w:val="00C30638"/>
    <w:rsid w:val="00C30762"/>
    <w:rsid w:val="00C30C5F"/>
    <w:rsid w:val="00C30E6A"/>
    <w:rsid w:val="00C30FE8"/>
    <w:rsid w:val="00C31016"/>
    <w:rsid w:val="00C31808"/>
    <w:rsid w:val="00C31D6F"/>
    <w:rsid w:val="00C31F26"/>
    <w:rsid w:val="00C323A8"/>
    <w:rsid w:val="00C32524"/>
    <w:rsid w:val="00C32612"/>
    <w:rsid w:val="00C32D2D"/>
    <w:rsid w:val="00C32F17"/>
    <w:rsid w:val="00C33217"/>
    <w:rsid w:val="00C332E0"/>
    <w:rsid w:val="00C337C7"/>
    <w:rsid w:val="00C33A6E"/>
    <w:rsid w:val="00C33C69"/>
    <w:rsid w:val="00C33DA3"/>
    <w:rsid w:val="00C34129"/>
    <w:rsid w:val="00C348C0"/>
    <w:rsid w:val="00C3492D"/>
    <w:rsid w:val="00C34B75"/>
    <w:rsid w:val="00C34E7E"/>
    <w:rsid w:val="00C34FF8"/>
    <w:rsid w:val="00C3532A"/>
    <w:rsid w:val="00C35388"/>
    <w:rsid w:val="00C354C5"/>
    <w:rsid w:val="00C361CD"/>
    <w:rsid w:val="00C364F6"/>
    <w:rsid w:val="00C364FB"/>
    <w:rsid w:val="00C365E4"/>
    <w:rsid w:val="00C365EF"/>
    <w:rsid w:val="00C3673D"/>
    <w:rsid w:val="00C36BB7"/>
    <w:rsid w:val="00C36D0A"/>
    <w:rsid w:val="00C3780E"/>
    <w:rsid w:val="00C37A3F"/>
    <w:rsid w:val="00C37BFD"/>
    <w:rsid w:val="00C37C34"/>
    <w:rsid w:val="00C40444"/>
    <w:rsid w:val="00C406D1"/>
    <w:rsid w:val="00C40807"/>
    <w:rsid w:val="00C40A40"/>
    <w:rsid w:val="00C41633"/>
    <w:rsid w:val="00C41742"/>
    <w:rsid w:val="00C41E67"/>
    <w:rsid w:val="00C42187"/>
    <w:rsid w:val="00C42500"/>
    <w:rsid w:val="00C42606"/>
    <w:rsid w:val="00C42A92"/>
    <w:rsid w:val="00C43225"/>
    <w:rsid w:val="00C432A1"/>
    <w:rsid w:val="00C43491"/>
    <w:rsid w:val="00C438C7"/>
    <w:rsid w:val="00C43A98"/>
    <w:rsid w:val="00C44072"/>
    <w:rsid w:val="00C4423E"/>
    <w:rsid w:val="00C446AF"/>
    <w:rsid w:val="00C446B4"/>
    <w:rsid w:val="00C44760"/>
    <w:rsid w:val="00C44799"/>
    <w:rsid w:val="00C44C21"/>
    <w:rsid w:val="00C45C0A"/>
    <w:rsid w:val="00C462D0"/>
    <w:rsid w:val="00C46726"/>
    <w:rsid w:val="00C46B7A"/>
    <w:rsid w:val="00C46E31"/>
    <w:rsid w:val="00C470A6"/>
    <w:rsid w:val="00C472A9"/>
    <w:rsid w:val="00C47F2A"/>
    <w:rsid w:val="00C5008E"/>
    <w:rsid w:val="00C503A7"/>
    <w:rsid w:val="00C5041A"/>
    <w:rsid w:val="00C50D44"/>
    <w:rsid w:val="00C50EB7"/>
    <w:rsid w:val="00C51436"/>
    <w:rsid w:val="00C5168A"/>
    <w:rsid w:val="00C524A7"/>
    <w:rsid w:val="00C5292F"/>
    <w:rsid w:val="00C52C8F"/>
    <w:rsid w:val="00C52E40"/>
    <w:rsid w:val="00C53018"/>
    <w:rsid w:val="00C535A4"/>
    <w:rsid w:val="00C53D9F"/>
    <w:rsid w:val="00C53E34"/>
    <w:rsid w:val="00C54ADF"/>
    <w:rsid w:val="00C54E4C"/>
    <w:rsid w:val="00C554DD"/>
    <w:rsid w:val="00C55524"/>
    <w:rsid w:val="00C560DB"/>
    <w:rsid w:val="00C5610C"/>
    <w:rsid w:val="00C563AF"/>
    <w:rsid w:val="00C563D1"/>
    <w:rsid w:val="00C56EFB"/>
    <w:rsid w:val="00C57095"/>
    <w:rsid w:val="00C57272"/>
    <w:rsid w:val="00C5761D"/>
    <w:rsid w:val="00C577CD"/>
    <w:rsid w:val="00C57A4C"/>
    <w:rsid w:val="00C57DA8"/>
    <w:rsid w:val="00C6028D"/>
    <w:rsid w:val="00C602D4"/>
    <w:rsid w:val="00C605C3"/>
    <w:rsid w:val="00C60D67"/>
    <w:rsid w:val="00C610B7"/>
    <w:rsid w:val="00C610E2"/>
    <w:rsid w:val="00C61187"/>
    <w:rsid w:val="00C614DB"/>
    <w:rsid w:val="00C61C11"/>
    <w:rsid w:val="00C62247"/>
    <w:rsid w:val="00C623EC"/>
    <w:rsid w:val="00C62745"/>
    <w:rsid w:val="00C62794"/>
    <w:rsid w:val="00C62E0B"/>
    <w:rsid w:val="00C6346D"/>
    <w:rsid w:val="00C634B7"/>
    <w:rsid w:val="00C63540"/>
    <w:rsid w:val="00C641CD"/>
    <w:rsid w:val="00C6436B"/>
    <w:rsid w:val="00C64910"/>
    <w:rsid w:val="00C64C65"/>
    <w:rsid w:val="00C65445"/>
    <w:rsid w:val="00C65A9A"/>
    <w:rsid w:val="00C65D94"/>
    <w:rsid w:val="00C65DF3"/>
    <w:rsid w:val="00C65E2C"/>
    <w:rsid w:val="00C65EC9"/>
    <w:rsid w:val="00C6674B"/>
    <w:rsid w:val="00C66C9A"/>
    <w:rsid w:val="00C6714B"/>
    <w:rsid w:val="00C673D5"/>
    <w:rsid w:val="00C6785C"/>
    <w:rsid w:val="00C67C18"/>
    <w:rsid w:val="00C7000A"/>
    <w:rsid w:val="00C70058"/>
    <w:rsid w:val="00C70526"/>
    <w:rsid w:val="00C70734"/>
    <w:rsid w:val="00C707F0"/>
    <w:rsid w:val="00C70B83"/>
    <w:rsid w:val="00C70BC0"/>
    <w:rsid w:val="00C70ECC"/>
    <w:rsid w:val="00C711B6"/>
    <w:rsid w:val="00C713CA"/>
    <w:rsid w:val="00C713E3"/>
    <w:rsid w:val="00C71D48"/>
    <w:rsid w:val="00C71FA7"/>
    <w:rsid w:val="00C72A40"/>
    <w:rsid w:val="00C72ADE"/>
    <w:rsid w:val="00C72B40"/>
    <w:rsid w:val="00C73740"/>
    <w:rsid w:val="00C73A89"/>
    <w:rsid w:val="00C74127"/>
    <w:rsid w:val="00C74399"/>
    <w:rsid w:val="00C74416"/>
    <w:rsid w:val="00C74E66"/>
    <w:rsid w:val="00C74E93"/>
    <w:rsid w:val="00C75B67"/>
    <w:rsid w:val="00C75D2B"/>
    <w:rsid w:val="00C75E98"/>
    <w:rsid w:val="00C75F8E"/>
    <w:rsid w:val="00C76326"/>
    <w:rsid w:val="00C763A5"/>
    <w:rsid w:val="00C76AC6"/>
    <w:rsid w:val="00C76C0B"/>
    <w:rsid w:val="00C76ECA"/>
    <w:rsid w:val="00C76F20"/>
    <w:rsid w:val="00C771A2"/>
    <w:rsid w:val="00C772A2"/>
    <w:rsid w:val="00C775E1"/>
    <w:rsid w:val="00C77A3B"/>
    <w:rsid w:val="00C77A77"/>
    <w:rsid w:val="00C77B25"/>
    <w:rsid w:val="00C77B9B"/>
    <w:rsid w:val="00C800ED"/>
    <w:rsid w:val="00C805E0"/>
    <w:rsid w:val="00C8075F"/>
    <w:rsid w:val="00C80956"/>
    <w:rsid w:val="00C80E12"/>
    <w:rsid w:val="00C80F12"/>
    <w:rsid w:val="00C8122A"/>
    <w:rsid w:val="00C81294"/>
    <w:rsid w:val="00C813DF"/>
    <w:rsid w:val="00C8175C"/>
    <w:rsid w:val="00C8189D"/>
    <w:rsid w:val="00C81A2C"/>
    <w:rsid w:val="00C81AD5"/>
    <w:rsid w:val="00C82055"/>
    <w:rsid w:val="00C8225F"/>
    <w:rsid w:val="00C82F1A"/>
    <w:rsid w:val="00C83221"/>
    <w:rsid w:val="00C83596"/>
    <w:rsid w:val="00C838AD"/>
    <w:rsid w:val="00C8408A"/>
    <w:rsid w:val="00C843C6"/>
    <w:rsid w:val="00C844BD"/>
    <w:rsid w:val="00C845D8"/>
    <w:rsid w:val="00C84A2E"/>
    <w:rsid w:val="00C84D9D"/>
    <w:rsid w:val="00C85247"/>
    <w:rsid w:val="00C85755"/>
    <w:rsid w:val="00C85787"/>
    <w:rsid w:val="00C85CF0"/>
    <w:rsid w:val="00C86002"/>
    <w:rsid w:val="00C8600F"/>
    <w:rsid w:val="00C86509"/>
    <w:rsid w:val="00C86B73"/>
    <w:rsid w:val="00C86F8C"/>
    <w:rsid w:val="00C87033"/>
    <w:rsid w:val="00C872C3"/>
    <w:rsid w:val="00C875E7"/>
    <w:rsid w:val="00C87AAE"/>
    <w:rsid w:val="00C87BDB"/>
    <w:rsid w:val="00C87D5A"/>
    <w:rsid w:val="00C90842"/>
    <w:rsid w:val="00C90DB0"/>
    <w:rsid w:val="00C912B6"/>
    <w:rsid w:val="00C919F3"/>
    <w:rsid w:val="00C91CB5"/>
    <w:rsid w:val="00C91FC9"/>
    <w:rsid w:val="00C923E6"/>
    <w:rsid w:val="00C92C33"/>
    <w:rsid w:val="00C92CA1"/>
    <w:rsid w:val="00C92F54"/>
    <w:rsid w:val="00C93039"/>
    <w:rsid w:val="00C93B10"/>
    <w:rsid w:val="00C93B36"/>
    <w:rsid w:val="00C93E9F"/>
    <w:rsid w:val="00C94359"/>
    <w:rsid w:val="00C94863"/>
    <w:rsid w:val="00C94C91"/>
    <w:rsid w:val="00C9521D"/>
    <w:rsid w:val="00C95764"/>
    <w:rsid w:val="00C96128"/>
    <w:rsid w:val="00C9624A"/>
    <w:rsid w:val="00C96397"/>
    <w:rsid w:val="00C9640F"/>
    <w:rsid w:val="00C96685"/>
    <w:rsid w:val="00C96829"/>
    <w:rsid w:val="00C96BC7"/>
    <w:rsid w:val="00C9750F"/>
    <w:rsid w:val="00C97641"/>
    <w:rsid w:val="00C97B1B"/>
    <w:rsid w:val="00C97EE8"/>
    <w:rsid w:val="00CA0315"/>
    <w:rsid w:val="00CA0602"/>
    <w:rsid w:val="00CA07AE"/>
    <w:rsid w:val="00CA08A6"/>
    <w:rsid w:val="00CA0A89"/>
    <w:rsid w:val="00CA0DF5"/>
    <w:rsid w:val="00CA0DFE"/>
    <w:rsid w:val="00CA0F52"/>
    <w:rsid w:val="00CA10CF"/>
    <w:rsid w:val="00CA11D8"/>
    <w:rsid w:val="00CA1A30"/>
    <w:rsid w:val="00CA1E76"/>
    <w:rsid w:val="00CA1E83"/>
    <w:rsid w:val="00CA2270"/>
    <w:rsid w:val="00CA29AB"/>
    <w:rsid w:val="00CA2A82"/>
    <w:rsid w:val="00CA2D3F"/>
    <w:rsid w:val="00CA321F"/>
    <w:rsid w:val="00CA3462"/>
    <w:rsid w:val="00CA3A4A"/>
    <w:rsid w:val="00CA3B65"/>
    <w:rsid w:val="00CA4169"/>
    <w:rsid w:val="00CA42F7"/>
    <w:rsid w:val="00CA44ED"/>
    <w:rsid w:val="00CA4AB8"/>
    <w:rsid w:val="00CA4CDC"/>
    <w:rsid w:val="00CA5334"/>
    <w:rsid w:val="00CA63C4"/>
    <w:rsid w:val="00CA6467"/>
    <w:rsid w:val="00CA673A"/>
    <w:rsid w:val="00CA6E84"/>
    <w:rsid w:val="00CA6EF1"/>
    <w:rsid w:val="00CA6F4A"/>
    <w:rsid w:val="00CA721F"/>
    <w:rsid w:val="00CA7251"/>
    <w:rsid w:val="00CA72B4"/>
    <w:rsid w:val="00CA747D"/>
    <w:rsid w:val="00CA749C"/>
    <w:rsid w:val="00CA7559"/>
    <w:rsid w:val="00CA7BA1"/>
    <w:rsid w:val="00CA7D72"/>
    <w:rsid w:val="00CA7F7C"/>
    <w:rsid w:val="00CB01DA"/>
    <w:rsid w:val="00CB0231"/>
    <w:rsid w:val="00CB0271"/>
    <w:rsid w:val="00CB03A1"/>
    <w:rsid w:val="00CB048E"/>
    <w:rsid w:val="00CB082F"/>
    <w:rsid w:val="00CB08A6"/>
    <w:rsid w:val="00CB090F"/>
    <w:rsid w:val="00CB0C64"/>
    <w:rsid w:val="00CB0DED"/>
    <w:rsid w:val="00CB0E2C"/>
    <w:rsid w:val="00CB0FD4"/>
    <w:rsid w:val="00CB110E"/>
    <w:rsid w:val="00CB13B4"/>
    <w:rsid w:val="00CB1520"/>
    <w:rsid w:val="00CB1A34"/>
    <w:rsid w:val="00CB1D03"/>
    <w:rsid w:val="00CB2139"/>
    <w:rsid w:val="00CB24E2"/>
    <w:rsid w:val="00CB250A"/>
    <w:rsid w:val="00CB2571"/>
    <w:rsid w:val="00CB2E56"/>
    <w:rsid w:val="00CB2E89"/>
    <w:rsid w:val="00CB31A9"/>
    <w:rsid w:val="00CB32E0"/>
    <w:rsid w:val="00CB3786"/>
    <w:rsid w:val="00CB380B"/>
    <w:rsid w:val="00CB39BE"/>
    <w:rsid w:val="00CB3B9D"/>
    <w:rsid w:val="00CB3F16"/>
    <w:rsid w:val="00CB3F81"/>
    <w:rsid w:val="00CB4290"/>
    <w:rsid w:val="00CB44E0"/>
    <w:rsid w:val="00CB4667"/>
    <w:rsid w:val="00CB49A4"/>
    <w:rsid w:val="00CB4D28"/>
    <w:rsid w:val="00CB4ED7"/>
    <w:rsid w:val="00CB52EA"/>
    <w:rsid w:val="00CB558F"/>
    <w:rsid w:val="00CB5AE8"/>
    <w:rsid w:val="00CB5F34"/>
    <w:rsid w:val="00CB6189"/>
    <w:rsid w:val="00CB634B"/>
    <w:rsid w:val="00CB65C8"/>
    <w:rsid w:val="00CB6767"/>
    <w:rsid w:val="00CB68D4"/>
    <w:rsid w:val="00CB6E60"/>
    <w:rsid w:val="00CB6F78"/>
    <w:rsid w:val="00CB762C"/>
    <w:rsid w:val="00CB7961"/>
    <w:rsid w:val="00CB7A18"/>
    <w:rsid w:val="00CB7C9A"/>
    <w:rsid w:val="00CB7F2A"/>
    <w:rsid w:val="00CC096B"/>
    <w:rsid w:val="00CC0BA8"/>
    <w:rsid w:val="00CC0C95"/>
    <w:rsid w:val="00CC0D9B"/>
    <w:rsid w:val="00CC0D9C"/>
    <w:rsid w:val="00CC10DB"/>
    <w:rsid w:val="00CC195E"/>
    <w:rsid w:val="00CC1A74"/>
    <w:rsid w:val="00CC1D1B"/>
    <w:rsid w:val="00CC1D31"/>
    <w:rsid w:val="00CC1E1C"/>
    <w:rsid w:val="00CC1E2D"/>
    <w:rsid w:val="00CC22EE"/>
    <w:rsid w:val="00CC2510"/>
    <w:rsid w:val="00CC27D4"/>
    <w:rsid w:val="00CC2C12"/>
    <w:rsid w:val="00CC3215"/>
    <w:rsid w:val="00CC3934"/>
    <w:rsid w:val="00CC4512"/>
    <w:rsid w:val="00CC45E6"/>
    <w:rsid w:val="00CC4939"/>
    <w:rsid w:val="00CC4D6E"/>
    <w:rsid w:val="00CC536D"/>
    <w:rsid w:val="00CC6114"/>
    <w:rsid w:val="00CC6193"/>
    <w:rsid w:val="00CC6463"/>
    <w:rsid w:val="00CC65E4"/>
    <w:rsid w:val="00CC666B"/>
    <w:rsid w:val="00CC6AD2"/>
    <w:rsid w:val="00CC6D22"/>
    <w:rsid w:val="00CC6D7C"/>
    <w:rsid w:val="00CC6DEC"/>
    <w:rsid w:val="00CC71E8"/>
    <w:rsid w:val="00CC7966"/>
    <w:rsid w:val="00CC7E36"/>
    <w:rsid w:val="00CC7F08"/>
    <w:rsid w:val="00CD0103"/>
    <w:rsid w:val="00CD012F"/>
    <w:rsid w:val="00CD0B8F"/>
    <w:rsid w:val="00CD0DB5"/>
    <w:rsid w:val="00CD11CE"/>
    <w:rsid w:val="00CD1479"/>
    <w:rsid w:val="00CD1A95"/>
    <w:rsid w:val="00CD1E04"/>
    <w:rsid w:val="00CD2199"/>
    <w:rsid w:val="00CD24D4"/>
    <w:rsid w:val="00CD299F"/>
    <w:rsid w:val="00CD3060"/>
    <w:rsid w:val="00CD34F7"/>
    <w:rsid w:val="00CD3530"/>
    <w:rsid w:val="00CD3C39"/>
    <w:rsid w:val="00CD3D69"/>
    <w:rsid w:val="00CD3EBA"/>
    <w:rsid w:val="00CD4494"/>
    <w:rsid w:val="00CD45DE"/>
    <w:rsid w:val="00CD52FE"/>
    <w:rsid w:val="00CD5372"/>
    <w:rsid w:val="00CD57CE"/>
    <w:rsid w:val="00CD58F1"/>
    <w:rsid w:val="00CD59EE"/>
    <w:rsid w:val="00CD5AD9"/>
    <w:rsid w:val="00CD5D72"/>
    <w:rsid w:val="00CD656B"/>
    <w:rsid w:val="00CD7949"/>
    <w:rsid w:val="00CD7CAB"/>
    <w:rsid w:val="00CD7ED3"/>
    <w:rsid w:val="00CE1491"/>
    <w:rsid w:val="00CE14F4"/>
    <w:rsid w:val="00CE16DD"/>
    <w:rsid w:val="00CE22E0"/>
    <w:rsid w:val="00CE2DC0"/>
    <w:rsid w:val="00CE2DE5"/>
    <w:rsid w:val="00CE3067"/>
    <w:rsid w:val="00CE3080"/>
    <w:rsid w:val="00CE3979"/>
    <w:rsid w:val="00CE3B4D"/>
    <w:rsid w:val="00CE3DAA"/>
    <w:rsid w:val="00CE4061"/>
    <w:rsid w:val="00CE43B1"/>
    <w:rsid w:val="00CE49E3"/>
    <w:rsid w:val="00CE4FF5"/>
    <w:rsid w:val="00CE5075"/>
    <w:rsid w:val="00CE5177"/>
    <w:rsid w:val="00CE55C9"/>
    <w:rsid w:val="00CE562E"/>
    <w:rsid w:val="00CE57B8"/>
    <w:rsid w:val="00CE5D20"/>
    <w:rsid w:val="00CE5D5E"/>
    <w:rsid w:val="00CE5E3E"/>
    <w:rsid w:val="00CE6CE9"/>
    <w:rsid w:val="00CE6D38"/>
    <w:rsid w:val="00CE78FE"/>
    <w:rsid w:val="00CE7DDE"/>
    <w:rsid w:val="00CE7E54"/>
    <w:rsid w:val="00CE7E93"/>
    <w:rsid w:val="00CF0060"/>
    <w:rsid w:val="00CF0765"/>
    <w:rsid w:val="00CF1079"/>
    <w:rsid w:val="00CF1332"/>
    <w:rsid w:val="00CF140F"/>
    <w:rsid w:val="00CF15FA"/>
    <w:rsid w:val="00CF15FE"/>
    <w:rsid w:val="00CF1653"/>
    <w:rsid w:val="00CF1790"/>
    <w:rsid w:val="00CF187E"/>
    <w:rsid w:val="00CF1CB5"/>
    <w:rsid w:val="00CF1D60"/>
    <w:rsid w:val="00CF1E33"/>
    <w:rsid w:val="00CF21DB"/>
    <w:rsid w:val="00CF26C8"/>
    <w:rsid w:val="00CF27CF"/>
    <w:rsid w:val="00CF29A3"/>
    <w:rsid w:val="00CF2D35"/>
    <w:rsid w:val="00CF2FF4"/>
    <w:rsid w:val="00CF3026"/>
    <w:rsid w:val="00CF3465"/>
    <w:rsid w:val="00CF39B3"/>
    <w:rsid w:val="00CF3BDB"/>
    <w:rsid w:val="00CF3E64"/>
    <w:rsid w:val="00CF3E83"/>
    <w:rsid w:val="00CF3FE6"/>
    <w:rsid w:val="00CF41C6"/>
    <w:rsid w:val="00CF4518"/>
    <w:rsid w:val="00CF48E0"/>
    <w:rsid w:val="00CF4A3D"/>
    <w:rsid w:val="00CF4C71"/>
    <w:rsid w:val="00CF5017"/>
    <w:rsid w:val="00CF5030"/>
    <w:rsid w:val="00CF547C"/>
    <w:rsid w:val="00CF5F5D"/>
    <w:rsid w:val="00CF5FAE"/>
    <w:rsid w:val="00CF6A03"/>
    <w:rsid w:val="00CF6E8D"/>
    <w:rsid w:val="00CF7DAB"/>
    <w:rsid w:val="00D002F1"/>
    <w:rsid w:val="00D00484"/>
    <w:rsid w:val="00D0077B"/>
    <w:rsid w:val="00D00802"/>
    <w:rsid w:val="00D009B5"/>
    <w:rsid w:val="00D0132B"/>
    <w:rsid w:val="00D0135C"/>
    <w:rsid w:val="00D013EF"/>
    <w:rsid w:val="00D01C57"/>
    <w:rsid w:val="00D02084"/>
    <w:rsid w:val="00D02370"/>
    <w:rsid w:val="00D024E1"/>
    <w:rsid w:val="00D027F0"/>
    <w:rsid w:val="00D028C5"/>
    <w:rsid w:val="00D029E1"/>
    <w:rsid w:val="00D031F4"/>
    <w:rsid w:val="00D036BB"/>
    <w:rsid w:val="00D03866"/>
    <w:rsid w:val="00D03F07"/>
    <w:rsid w:val="00D04499"/>
    <w:rsid w:val="00D04E00"/>
    <w:rsid w:val="00D051C1"/>
    <w:rsid w:val="00D052B8"/>
    <w:rsid w:val="00D0530C"/>
    <w:rsid w:val="00D05ACC"/>
    <w:rsid w:val="00D05C36"/>
    <w:rsid w:val="00D05D42"/>
    <w:rsid w:val="00D06079"/>
    <w:rsid w:val="00D063C0"/>
    <w:rsid w:val="00D066C4"/>
    <w:rsid w:val="00D06B7A"/>
    <w:rsid w:val="00D06C43"/>
    <w:rsid w:val="00D1020B"/>
    <w:rsid w:val="00D10B69"/>
    <w:rsid w:val="00D10F42"/>
    <w:rsid w:val="00D11491"/>
    <w:rsid w:val="00D1165E"/>
    <w:rsid w:val="00D11D6F"/>
    <w:rsid w:val="00D11F7E"/>
    <w:rsid w:val="00D121DA"/>
    <w:rsid w:val="00D123C4"/>
    <w:rsid w:val="00D1240D"/>
    <w:rsid w:val="00D12CD7"/>
    <w:rsid w:val="00D131FA"/>
    <w:rsid w:val="00D13AC0"/>
    <w:rsid w:val="00D13E53"/>
    <w:rsid w:val="00D13F21"/>
    <w:rsid w:val="00D1427A"/>
    <w:rsid w:val="00D14318"/>
    <w:rsid w:val="00D14E29"/>
    <w:rsid w:val="00D14F6A"/>
    <w:rsid w:val="00D1550D"/>
    <w:rsid w:val="00D156EF"/>
    <w:rsid w:val="00D159BF"/>
    <w:rsid w:val="00D15C5B"/>
    <w:rsid w:val="00D1603A"/>
    <w:rsid w:val="00D1607E"/>
    <w:rsid w:val="00D165CB"/>
    <w:rsid w:val="00D165DF"/>
    <w:rsid w:val="00D17552"/>
    <w:rsid w:val="00D17738"/>
    <w:rsid w:val="00D17959"/>
    <w:rsid w:val="00D179AE"/>
    <w:rsid w:val="00D17BC2"/>
    <w:rsid w:val="00D17C62"/>
    <w:rsid w:val="00D17C80"/>
    <w:rsid w:val="00D205B9"/>
    <w:rsid w:val="00D2093F"/>
    <w:rsid w:val="00D20D5C"/>
    <w:rsid w:val="00D20EEF"/>
    <w:rsid w:val="00D2138B"/>
    <w:rsid w:val="00D21B38"/>
    <w:rsid w:val="00D21E7A"/>
    <w:rsid w:val="00D21EEC"/>
    <w:rsid w:val="00D22045"/>
    <w:rsid w:val="00D22859"/>
    <w:rsid w:val="00D22EB7"/>
    <w:rsid w:val="00D232C0"/>
    <w:rsid w:val="00D23324"/>
    <w:rsid w:val="00D23402"/>
    <w:rsid w:val="00D23507"/>
    <w:rsid w:val="00D23C83"/>
    <w:rsid w:val="00D240AA"/>
    <w:rsid w:val="00D24324"/>
    <w:rsid w:val="00D24FFE"/>
    <w:rsid w:val="00D2511E"/>
    <w:rsid w:val="00D25720"/>
    <w:rsid w:val="00D25C39"/>
    <w:rsid w:val="00D25F76"/>
    <w:rsid w:val="00D260D9"/>
    <w:rsid w:val="00D26209"/>
    <w:rsid w:val="00D26312"/>
    <w:rsid w:val="00D268D2"/>
    <w:rsid w:val="00D27B1D"/>
    <w:rsid w:val="00D27EB8"/>
    <w:rsid w:val="00D3016C"/>
    <w:rsid w:val="00D3016D"/>
    <w:rsid w:val="00D30357"/>
    <w:rsid w:val="00D30598"/>
    <w:rsid w:val="00D308BB"/>
    <w:rsid w:val="00D30B22"/>
    <w:rsid w:val="00D30CE2"/>
    <w:rsid w:val="00D3144F"/>
    <w:rsid w:val="00D3157F"/>
    <w:rsid w:val="00D316F9"/>
    <w:rsid w:val="00D3177D"/>
    <w:rsid w:val="00D31EC1"/>
    <w:rsid w:val="00D31F82"/>
    <w:rsid w:val="00D32137"/>
    <w:rsid w:val="00D321BD"/>
    <w:rsid w:val="00D3220E"/>
    <w:rsid w:val="00D3241B"/>
    <w:rsid w:val="00D33541"/>
    <w:rsid w:val="00D33776"/>
    <w:rsid w:val="00D33AB6"/>
    <w:rsid w:val="00D34008"/>
    <w:rsid w:val="00D34031"/>
    <w:rsid w:val="00D34629"/>
    <w:rsid w:val="00D34699"/>
    <w:rsid w:val="00D348C6"/>
    <w:rsid w:val="00D34BEA"/>
    <w:rsid w:val="00D350E4"/>
    <w:rsid w:val="00D3513B"/>
    <w:rsid w:val="00D35206"/>
    <w:rsid w:val="00D3521B"/>
    <w:rsid w:val="00D3543B"/>
    <w:rsid w:val="00D354FC"/>
    <w:rsid w:val="00D359F7"/>
    <w:rsid w:val="00D35D8C"/>
    <w:rsid w:val="00D3648C"/>
    <w:rsid w:val="00D365A0"/>
    <w:rsid w:val="00D368B8"/>
    <w:rsid w:val="00D36A41"/>
    <w:rsid w:val="00D36C8C"/>
    <w:rsid w:val="00D37397"/>
    <w:rsid w:val="00D37B05"/>
    <w:rsid w:val="00D40532"/>
    <w:rsid w:val="00D406F0"/>
    <w:rsid w:val="00D40DA7"/>
    <w:rsid w:val="00D40E04"/>
    <w:rsid w:val="00D412C9"/>
    <w:rsid w:val="00D41637"/>
    <w:rsid w:val="00D41C49"/>
    <w:rsid w:val="00D42403"/>
    <w:rsid w:val="00D4256A"/>
    <w:rsid w:val="00D426A2"/>
    <w:rsid w:val="00D426BB"/>
    <w:rsid w:val="00D4277A"/>
    <w:rsid w:val="00D42FB2"/>
    <w:rsid w:val="00D43096"/>
    <w:rsid w:val="00D4333A"/>
    <w:rsid w:val="00D43474"/>
    <w:rsid w:val="00D43A15"/>
    <w:rsid w:val="00D43F85"/>
    <w:rsid w:val="00D4402E"/>
    <w:rsid w:val="00D4497D"/>
    <w:rsid w:val="00D44B9A"/>
    <w:rsid w:val="00D45707"/>
    <w:rsid w:val="00D45716"/>
    <w:rsid w:val="00D45752"/>
    <w:rsid w:val="00D4576B"/>
    <w:rsid w:val="00D45DFE"/>
    <w:rsid w:val="00D4612F"/>
    <w:rsid w:val="00D461AA"/>
    <w:rsid w:val="00D4696B"/>
    <w:rsid w:val="00D469F0"/>
    <w:rsid w:val="00D46FCB"/>
    <w:rsid w:val="00D4768F"/>
    <w:rsid w:val="00D47A1A"/>
    <w:rsid w:val="00D50010"/>
    <w:rsid w:val="00D50E92"/>
    <w:rsid w:val="00D5164F"/>
    <w:rsid w:val="00D518EA"/>
    <w:rsid w:val="00D51AD3"/>
    <w:rsid w:val="00D52236"/>
    <w:rsid w:val="00D523E1"/>
    <w:rsid w:val="00D52C18"/>
    <w:rsid w:val="00D52CCB"/>
    <w:rsid w:val="00D52D03"/>
    <w:rsid w:val="00D52E47"/>
    <w:rsid w:val="00D52EEB"/>
    <w:rsid w:val="00D53008"/>
    <w:rsid w:val="00D5456B"/>
    <w:rsid w:val="00D54816"/>
    <w:rsid w:val="00D54ECC"/>
    <w:rsid w:val="00D54EDF"/>
    <w:rsid w:val="00D5511E"/>
    <w:rsid w:val="00D55267"/>
    <w:rsid w:val="00D55306"/>
    <w:rsid w:val="00D55367"/>
    <w:rsid w:val="00D55392"/>
    <w:rsid w:val="00D55556"/>
    <w:rsid w:val="00D558FA"/>
    <w:rsid w:val="00D559F5"/>
    <w:rsid w:val="00D56021"/>
    <w:rsid w:val="00D56C2F"/>
    <w:rsid w:val="00D5724B"/>
    <w:rsid w:val="00D573EC"/>
    <w:rsid w:val="00D57443"/>
    <w:rsid w:val="00D57464"/>
    <w:rsid w:val="00D57BFD"/>
    <w:rsid w:val="00D57C48"/>
    <w:rsid w:val="00D57F8D"/>
    <w:rsid w:val="00D60325"/>
    <w:rsid w:val="00D6097C"/>
    <w:rsid w:val="00D61049"/>
    <w:rsid w:val="00D614C3"/>
    <w:rsid w:val="00D6179D"/>
    <w:rsid w:val="00D619D4"/>
    <w:rsid w:val="00D61BC4"/>
    <w:rsid w:val="00D61BD6"/>
    <w:rsid w:val="00D61E6F"/>
    <w:rsid w:val="00D6292F"/>
    <w:rsid w:val="00D62DFA"/>
    <w:rsid w:val="00D62FFC"/>
    <w:rsid w:val="00D6356E"/>
    <w:rsid w:val="00D63943"/>
    <w:rsid w:val="00D63BAD"/>
    <w:rsid w:val="00D63FE8"/>
    <w:rsid w:val="00D64043"/>
    <w:rsid w:val="00D64065"/>
    <w:rsid w:val="00D64DD0"/>
    <w:rsid w:val="00D64F48"/>
    <w:rsid w:val="00D653BB"/>
    <w:rsid w:val="00D655C1"/>
    <w:rsid w:val="00D65CB5"/>
    <w:rsid w:val="00D65FD1"/>
    <w:rsid w:val="00D6624E"/>
    <w:rsid w:val="00D66B81"/>
    <w:rsid w:val="00D66D29"/>
    <w:rsid w:val="00D66DFE"/>
    <w:rsid w:val="00D66EA5"/>
    <w:rsid w:val="00D6735A"/>
    <w:rsid w:val="00D673D0"/>
    <w:rsid w:val="00D67758"/>
    <w:rsid w:val="00D679F2"/>
    <w:rsid w:val="00D67C11"/>
    <w:rsid w:val="00D67D4B"/>
    <w:rsid w:val="00D7049B"/>
    <w:rsid w:val="00D70745"/>
    <w:rsid w:val="00D70D02"/>
    <w:rsid w:val="00D71789"/>
    <w:rsid w:val="00D72335"/>
    <w:rsid w:val="00D7261E"/>
    <w:rsid w:val="00D72990"/>
    <w:rsid w:val="00D729DC"/>
    <w:rsid w:val="00D72BAA"/>
    <w:rsid w:val="00D72C28"/>
    <w:rsid w:val="00D72D69"/>
    <w:rsid w:val="00D73142"/>
    <w:rsid w:val="00D73172"/>
    <w:rsid w:val="00D7336F"/>
    <w:rsid w:val="00D735B3"/>
    <w:rsid w:val="00D7371F"/>
    <w:rsid w:val="00D737E0"/>
    <w:rsid w:val="00D7388E"/>
    <w:rsid w:val="00D739B1"/>
    <w:rsid w:val="00D73D04"/>
    <w:rsid w:val="00D73FFF"/>
    <w:rsid w:val="00D74802"/>
    <w:rsid w:val="00D74898"/>
    <w:rsid w:val="00D74B00"/>
    <w:rsid w:val="00D74B47"/>
    <w:rsid w:val="00D75041"/>
    <w:rsid w:val="00D755CE"/>
    <w:rsid w:val="00D755DF"/>
    <w:rsid w:val="00D75663"/>
    <w:rsid w:val="00D75BE0"/>
    <w:rsid w:val="00D76162"/>
    <w:rsid w:val="00D764AC"/>
    <w:rsid w:val="00D7678C"/>
    <w:rsid w:val="00D76885"/>
    <w:rsid w:val="00D76AFB"/>
    <w:rsid w:val="00D774C9"/>
    <w:rsid w:val="00D775BA"/>
    <w:rsid w:val="00D77ABE"/>
    <w:rsid w:val="00D77B26"/>
    <w:rsid w:val="00D77DB9"/>
    <w:rsid w:val="00D77E10"/>
    <w:rsid w:val="00D77FEE"/>
    <w:rsid w:val="00D805D3"/>
    <w:rsid w:val="00D80905"/>
    <w:rsid w:val="00D80907"/>
    <w:rsid w:val="00D80ABC"/>
    <w:rsid w:val="00D80BF1"/>
    <w:rsid w:val="00D80D64"/>
    <w:rsid w:val="00D80ED1"/>
    <w:rsid w:val="00D81364"/>
    <w:rsid w:val="00D8137B"/>
    <w:rsid w:val="00D81792"/>
    <w:rsid w:val="00D81B3D"/>
    <w:rsid w:val="00D81FBA"/>
    <w:rsid w:val="00D825BE"/>
    <w:rsid w:val="00D82A1A"/>
    <w:rsid w:val="00D832BF"/>
    <w:rsid w:val="00D836AD"/>
    <w:rsid w:val="00D83876"/>
    <w:rsid w:val="00D83B9B"/>
    <w:rsid w:val="00D844DE"/>
    <w:rsid w:val="00D84762"/>
    <w:rsid w:val="00D84BC8"/>
    <w:rsid w:val="00D85293"/>
    <w:rsid w:val="00D852CB"/>
    <w:rsid w:val="00D852FF"/>
    <w:rsid w:val="00D85316"/>
    <w:rsid w:val="00D854E3"/>
    <w:rsid w:val="00D85B33"/>
    <w:rsid w:val="00D85E8D"/>
    <w:rsid w:val="00D85EC2"/>
    <w:rsid w:val="00D85EFC"/>
    <w:rsid w:val="00D85F71"/>
    <w:rsid w:val="00D864AE"/>
    <w:rsid w:val="00D86523"/>
    <w:rsid w:val="00D86DA6"/>
    <w:rsid w:val="00D86E35"/>
    <w:rsid w:val="00D86E91"/>
    <w:rsid w:val="00D8725E"/>
    <w:rsid w:val="00D872DF"/>
    <w:rsid w:val="00D876E8"/>
    <w:rsid w:val="00D90A75"/>
    <w:rsid w:val="00D90D55"/>
    <w:rsid w:val="00D90E41"/>
    <w:rsid w:val="00D90F45"/>
    <w:rsid w:val="00D90FC6"/>
    <w:rsid w:val="00D912A4"/>
    <w:rsid w:val="00D912D2"/>
    <w:rsid w:val="00D917DF"/>
    <w:rsid w:val="00D91885"/>
    <w:rsid w:val="00D91B30"/>
    <w:rsid w:val="00D91BD7"/>
    <w:rsid w:val="00D91D47"/>
    <w:rsid w:val="00D91DF3"/>
    <w:rsid w:val="00D91E1B"/>
    <w:rsid w:val="00D923EC"/>
    <w:rsid w:val="00D929C2"/>
    <w:rsid w:val="00D92DF7"/>
    <w:rsid w:val="00D93232"/>
    <w:rsid w:val="00D93904"/>
    <w:rsid w:val="00D93D78"/>
    <w:rsid w:val="00D93E85"/>
    <w:rsid w:val="00D940A8"/>
    <w:rsid w:val="00D940D4"/>
    <w:rsid w:val="00D941A7"/>
    <w:rsid w:val="00D94648"/>
    <w:rsid w:val="00D946CF"/>
    <w:rsid w:val="00D948E9"/>
    <w:rsid w:val="00D94F90"/>
    <w:rsid w:val="00D954F9"/>
    <w:rsid w:val="00D95838"/>
    <w:rsid w:val="00D95A64"/>
    <w:rsid w:val="00D95CAD"/>
    <w:rsid w:val="00D95EBF"/>
    <w:rsid w:val="00D962EE"/>
    <w:rsid w:val="00D9633A"/>
    <w:rsid w:val="00D966A0"/>
    <w:rsid w:val="00D966C0"/>
    <w:rsid w:val="00D966C6"/>
    <w:rsid w:val="00D96B86"/>
    <w:rsid w:val="00D96B9D"/>
    <w:rsid w:val="00D970FE"/>
    <w:rsid w:val="00D97A79"/>
    <w:rsid w:val="00D97B33"/>
    <w:rsid w:val="00DA005F"/>
    <w:rsid w:val="00DA0662"/>
    <w:rsid w:val="00DA077C"/>
    <w:rsid w:val="00DA0933"/>
    <w:rsid w:val="00DA0DBF"/>
    <w:rsid w:val="00DA1015"/>
    <w:rsid w:val="00DA1085"/>
    <w:rsid w:val="00DA1AC6"/>
    <w:rsid w:val="00DA1B02"/>
    <w:rsid w:val="00DA2156"/>
    <w:rsid w:val="00DA2521"/>
    <w:rsid w:val="00DA291F"/>
    <w:rsid w:val="00DA3299"/>
    <w:rsid w:val="00DA32E6"/>
    <w:rsid w:val="00DA376F"/>
    <w:rsid w:val="00DA383F"/>
    <w:rsid w:val="00DA3D20"/>
    <w:rsid w:val="00DA4181"/>
    <w:rsid w:val="00DA4375"/>
    <w:rsid w:val="00DA4379"/>
    <w:rsid w:val="00DA4809"/>
    <w:rsid w:val="00DA4A70"/>
    <w:rsid w:val="00DA4E32"/>
    <w:rsid w:val="00DA4FF5"/>
    <w:rsid w:val="00DA5214"/>
    <w:rsid w:val="00DA5398"/>
    <w:rsid w:val="00DA539C"/>
    <w:rsid w:val="00DA58CB"/>
    <w:rsid w:val="00DA5A07"/>
    <w:rsid w:val="00DA5AB4"/>
    <w:rsid w:val="00DA5C80"/>
    <w:rsid w:val="00DA5D80"/>
    <w:rsid w:val="00DA5EC2"/>
    <w:rsid w:val="00DA614D"/>
    <w:rsid w:val="00DA63CA"/>
    <w:rsid w:val="00DA69EE"/>
    <w:rsid w:val="00DA6A97"/>
    <w:rsid w:val="00DA75E4"/>
    <w:rsid w:val="00DA778C"/>
    <w:rsid w:val="00DA78CB"/>
    <w:rsid w:val="00DA7C97"/>
    <w:rsid w:val="00DB0065"/>
    <w:rsid w:val="00DB05E1"/>
    <w:rsid w:val="00DB0704"/>
    <w:rsid w:val="00DB0A64"/>
    <w:rsid w:val="00DB123C"/>
    <w:rsid w:val="00DB1311"/>
    <w:rsid w:val="00DB15CC"/>
    <w:rsid w:val="00DB1D02"/>
    <w:rsid w:val="00DB2706"/>
    <w:rsid w:val="00DB29CB"/>
    <w:rsid w:val="00DB2BA9"/>
    <w:rsid w:val="00DB31A7"/>
    <w:rsid w:val="00DB334D"/>
    <w:rsid w:val="00DB359C"/>
    <w:rsid w:val="00DB3BEE"/>
    <w:rsid w:val="00DB3EAB"/>
    <w:rsid w:val="00DB400C"/>
    <w:rsid w:val="00DB40E0"/>
    <w:rsid w:val="00DB41C6"/>
    <w:rsid w:val="00DB4549"/>
    <w:rsid w:val="00DB47DD"/>
    <w:rsid w:val="00DB50FD"/>
    <w:rsid w:val="00DB59C3"/>
    <w:rsid w:val="00DB5CB6"/>
    <w:rsid w:val="00DB637A"/>
    <w:rsid w:val="00DB6A5A"/>
    <w:rsid w:val="00DB6E7C"/>
    <w:rsid w:val="00DB6E81"/>
    <w:rsid w:val="00DB716E"/>
    <w:rsid w:val="00DB7633"/>
    <w:rsid w:val="00DB767C"/>
    <w:rsid w:val="00DB7701"/>
    <w:rsid w:val="00DB7BE9"/>
    <w:rsid w:val="00DB7E38"/>
    <w:rsid w:val="00DB7F70"/>
    <w:rsid w:val="00DC0042"/>
    <w:rsid w:val="00DC0139"/>
    <w:rsid w:val="00DC0494"/>
    <w:rsid w:val="00DC0A5D"/>
    <w:rsid w:val="00DC11B0"/>
    <w:rsid w:val="00DC1469"/>
    <w:rsid w:val="00DC14CB"/>
    <w:rsid w:val="00DC1C44"/>
    <w:rsid w:val="00DC1DAE"/>
    <w:rsid w:val="00DC20AA"/>
    <w:rsid w:val="00DC22D8"/>
    <w:rsid w:val="00DC24FB"/>
    <w:rsid w:val="00DC28D3"/>
    <w:rsid w:val="00DC2CD7"/>
    <w:rsid w:val="00DC2DAE"/>
    <w:rsid w:val="00DC2F51"/>
    <w:rsid w:val="00DC2F9D"/>
    <w:rsid w:val="00DC3054"/>
    <w:rsid w:val="00DC31C0"/>
    <w:rsid w:val="00DC33A2"/>
    <w:rsid w:val="00DC3AAA"/>
    <w:rsid w:val="00DC3D70"/>
    <w:rsid w:val="00DC3DE1"/>
    <w:rsid w:val="00DC46AA"/>
    <w:rsid w:val="00DC4758"/>
    <w:rsid w:val="00DC4865"/>
    <w:rsid w:val="00DC495C"/>
    <w:rsid w:val="00DC54CC"/>
    <w:rsid w:val="00DC579E"/>
    <w:rsid w:val="00DC587B"/>
    <w:rsid w:val="00DC5E34"/>
    <w:rsid w:val="00DC6092"/>
    <w:rsid w:val="00DC640C"/>
    <w:rsid w:val="00DC69F2"/>
    <w:rsid w:val="00DC6AB3"/>
    <w:rsid w:val="00DC7EE8"/>
    <w:rsid w:val="00DD063C"/>
    <w:rsid w:val="00DD0756"/>
    <w:rsid w:val="00DD0787"/>
    <w:rsid w:val="00DD0AC2"/>
    <w:rsid w:val="00DD0B67"/>
    <w:rsid w:val="00DD0DF9"/>
    <w:rsid w:val="00DD0E54"/>
    <w:rsid w:val="00DD0F44"/>
    <w:rsid w:val="00DD13E3"/>
    <w:rsid w:val="00DD1AC5"/>
    <w:rsid w:val="00DD1DFD"/>
    <w:rsid w:val="00DD2476"/>
    <w:rsid w:val="00DD280D"/>
    <w:rsid w:val="00DD2CB3"/>
    <w:rsid w:val="00DD2D6E"/>
    <w:rsid w:val="00DD2D91"/>
    <w:rsid w:val="00DD2DFD"/>
    <w:rsid w:val="00DD3016"/>
    <w:rsid w:val="00DD309D"/>
    <w:rsid w:val="00DD32D2"/>
    <w:rsid w:val="00DD3732"/>
    <w:rsid w:val="00DD373D"/>
    <w:rsid w:val="00DD3AFB"/>
    <w:rsid w:val="00DD3BF7"/>
    <w:rsid w:val="00DD3C4D"/>
    <w:rsid w:val="00DD40C6"/>
    <w:rsid w:val="00DD46FB"/>
    <w:rsid w:val="00DD4A11"/>
    <w:rsid w:val="00DD4A65"/>
    <w:rsid w:val="00DD4C5E"/>
    <w:rsid w:val="00DD56BE"/>
    <w:rsid w:val="00DD5ADE"/>
    <w:rsid w:val="00DD6EE8"/>
    <w:rsid w:val="00DD6F01"/>
    <w:rsid w:val="00DD7324"/>
    <w:rsid w:val="00DD732C"/>
    <w:rsid w:val="00DD7514"/>
    <w:rsid w:val="00DD7728"/>
    <w:rsid w:val="00DD7B03"/>
    <w:rsid w:val="00DE03F2"/>
    <w:rsid w:val="00DE059E"/>
    <w:rsid w:val="00DE0AE4"/>
    <w:rsid w:val="00DE0E27"/>
    <w:rsid w:val="00DE0F9D"/>
    <w:rsid w:val="00DE0FBB"/>
    <w:rsid w:val="00DE113A"/>
    <w:rsid w:val="00DE23CD"/>
    <w:rsid w:val="00DE2BE3"/>
    <w:rsid w:val="00DE2D4D"/>
    <w:rsid w:val="00DE2DD0"/>
    <w:rsid w:val="00DE354C"/>
    <w:rsid w:val="00DE36AE"/>
    <w:rsid w:val="00DE455D"/>
    <w:rsid w:val="00DE4E6B"/>
    <w:rsid w:val="00DE5581"/>
    <w:rsid w:val="00DE56BB"/>
    <w:rsid w:val="00DE5AC6"/>
    <w:rsid w:val="00DE604B"/>
    <w:rsid w:val="00DE60B2"/>
    <w:rsid w:val="00DE6284"/>
    <w:rsid w:val="00DE62CE"/>
    <w:rsid w:val="00DE64C9"/>
    <w:rsid w:val="00DE6658"/>
    <w:rsid w:val="00DE6D1D"/>
    <w:rsid w:val="00DE765B"/>
    <w:rsid w:val="00DE78C2"/>
    <w:rsid w:val="00DE7ACA"/>
    <w:rsid w:val="00DE7D33"/>
    <w:rsid w:val="00DE7F2E"/>
    <w:rsid w:val="00DF01DD"/>
    <w:rsid w:val="00DF0341"/>
    <w:rsid w:val="00DF0AB0"/>
    <w:rsid w:val="00DF0B99"/>
    <w:rsid w:val="00DF0C6C"/>
    <w:rsid w:val="00DF0E07"/>
    <w:rsid w:val="00DF0F1A"/>
    <w:rsid w:val="00DF1535"/>
    <w:rsid w:val="00DF15C4"/>
    <w:rsid w:val="00DF171E"/>
    <w:rsid w:val="00DF174A"/>
    <w:rsid w:val="00DF1950"/>
    <w:rsid w:val="00DF1A34"/>
    <w:rsid w:val="00DF1CEA"/>
    <w:rsid w:val="00DF1FA4"/>
    <w:rsid w:val="00DF24F9"/>
    <w:rsid w:val="00DF28D0"/>
    <w:rsid w:val="00DF2ECA"/>
    <w:rsid w:val="00DF33DA"/>
    <w:rsid w:val="00DF341B"/>
    <w:rsid w:val="00DF3547"/>
    <w:rsid w:val="00DF36E4"/>
    <w:rsid w:val="00DF37EE"/>
    <w:rsid w:val="00DF3BA0"/>
    <w:rsid w:val="00DF3D9E"/>
    <w:rsid w:val="00DF3FC6"/>
    <w:rsid w:val="00DF4188"/>
    <w:rsid w:val="00DF4330"/>
    <w:rsid w:val="00DF4EE2"/>
    <w:rsid w:val="00DF4FAA"/>
    <w:rsid w:val="00DF4FD7"/>
    <w:rsid w:val="00DF5699"/>
    <w:rsid w:val="00DF62F4"/>
    <w:rsid w:val="00DF6360"/>
    <w:rsid w:val="00DF658F"/>
    <w:rsid w:val="00DF673A"/>
    <w:rsid w:val="00DF693E"/>
    <w:rsid w:val="00DF7043"/>
    <w:rsid w:val="00DF7118"/>
    <w:rsid w:val="00DF72F9"/>
    <w:rsid w:val="00DF7339"/>
    <w:rsid w:val="00DF74F3"/>
    <w:rsid w:val="00DF7723"/>
    <w:rsid w:val="00DF7F79"/>
    <w:rsid w:val="00E00C29"/>
    <w:rsid w:val="00E01400"/>
    <w:rsid w:val="00E014F5"/>
    <w:rsid w:val="00E01506"/>
    <w:rsid w:val="00E0181A"/>
    <w:rsid w:val="00E0193B"/>
    <w:rsid w:val="00E01AFE"/>
    <w:rsid w:val="00E01DEB"/>
    <w:rsid w:val="00E01E39"/>
    <w:rsid w:val="00E0206B"/>
    <w:rsid w:val="00E0212B"/>
    <w:rsid w:val="00E0215D"/>
    <w:rsid w:val="00E02742"/>
    <w:rsid w:val="00E027E2"/>
    <w:rsid w:val="00E03395"/>
    <w:rsid w:val="00E03610"/>
    <w:rsid w:val="00E03779"/>
    <w:rsid w:val="00E037BA"/>
    <w:rsid w:val="00E03DED"/>
    <w:rsid w:val="00E03EAF"/>
    <w:rsid w:val="00E03FD2"/>
    <w:rsid w:val="00E04665"/>
    <w:rsid w:val="00E0476B"/>
    <w:rsid w:val="00E047BE"/>
    <w:rsid w:val="00E04AD1"/>
    <w:rsid w:val="00E04BB0"/>
    <w:rsid w:val="00E04CE9"/>
    <w:rsid w:val="00E04DC2"/>
    <w:rsid w:val="00E04F01"/>
    <w:rsid w:val="00E05244"/>
    <w:rsid w:val="00E05791"/>
    <w:rsid w:val="00E058DD"/>
    <w:rsid w:val="00E05D66"/>
    <w:rsid w:val="00E05FA7"/>
    <w:rsid w:val="00E06450"/>
    <w:rsid w:val="00E06968"/>
    <w:rsid w:val="00E06C3D"/>
    <w:rsid w:val="00E07536"/>
    <w:rsid w:val="00E07683"/>
    <w:rsid w:val="00E07714"/>
    <w:rsid w:val="00E07B4A"/>
    <w:rsid w:val="00E07B50"/>
    <w:rsid w:val="00E07D04"/>
    <w:rsid w:val="00E07D1E"/>
    <w:rsid w:val="00E07E0A"/>
    <w:rsid w:val="00E07F66"/>
    <w:rsid w:val="00E10C16"/>
    <w:rsid w:val="00E10FC4"/>
    <w:rsid w:val="00E1104B"/>
    <w:rsid w:val="00E11296"/>
    <w:rsid w:val="00E116A4"/>
    <w:rsid w:val="00E11EBA"/>
    <w:rsid w:val="00E123DC"/>
    <w:rsid w:val="00E124D4"/>
    <w:rsid w:val="00E12DE0"/>
    <w:rsid w:val="00E13025"/>
    <w:rsid w:val="00E130E5"/>
    <w:rsid w:val="00E13174"/>
    <w:rsid w:val="00E1319B"/>
    <w:rsid w:val="00E132D0"/>
    <w:rsid w:val="00E136E6"/>
    <w:rsid w:val="00E1386A"/>
    <w:rsid w:val="00E13A18"/>
    <w:rsid w:val="00E13A7F"/>
    <w:rsid w:val="00E13AF2"/>
    <w:rsid w:val="00E14092"/>
    <w:rsid w:val="00E14590"/>
    <w:rsid w:val="00E146A6"/>
    <w:rsid w:val="00E14AE6"/>
    <w:rsid w:val="00E15002"/>
    <w:rsid w:val="00E15E76"/>
    <w:rsid w:val="00E1613E"/>
    <w:rsid w:val="00E16195"/>
    <w:rsid w:val="00E1648E"/>
    <w:rsid w:val="00E16974"/>
    <w:rsid w:val="00E16B0A"/>
    <w:rsid w:val="00E16F24"/>
    <w:rsid w:val="00E17116"/>
    <w:rsid w:val="00E17540"/>
    <w:rsid w:val="00E17A6D"/>
    <w:rsid w:val="00E20840"/>
    <w:rsid w:val="00E20903"/>
    <w:rsid w:val="00E20D91"/>
    <w:rsid w:val="00E212E2"/>
    <w:rsid w:val="00E21894"/>
    <w:rsid w:val="00E21CDB"/>
    <w:rsid w:val="00E21D49"/>
    <w:rsid w:val="00E21FA0"/>
    <w:rsid w:val="00E226A0"/>
    <w:rsid w:val="00E2289B"/>
    <w:rsid w:val="00E229EA"/>
    <w:rsid w:val="00E232A3"/>
    <w:rsid w:val="00E232F1"/>
    <w:rsid w:val="00E23562"/>
    <w:rsid w:val="00E235F0"/>
    <w:rsid w:val="00E23620"/>
    <w:rsid w:val="00E237BC"/>
    <w:rsid w:val="00E2394F"/>
    <w:rsid w:val="00E23DA8"/>
    <w:rsid w:val="00E23EDB"/>
    <w:rsid w:val="00E2401F"/>
    <w:rsid w:val="00E245C8"/>
    <w:rsid w:val="00E24C17"/>
    <w:rsid w:val="00E24C52"/>
    <w:rsid w:val="00E25151"/>
    <w:rsid w:val="00E2571E"/>
    <w:rsid w:val="00E25EE6"/>
    <w:rsid w:val="00E2646B"/>
    <w:rsid w:val="00E26697"/>
    <w:rsid w:val="00E266A6"/>
    <w:rsid w:val="00E268EE"/>
    <w:rsid w:val="00E26DC9"/>
    <w:rsid w:val="00E26E49"/>
    <w:rsid w:val="00E26E7F"/>
    <w:rsid w:val="00E2717A"/>
    <w:rsid w:val="00E27298"/>
    <w:rsid w:val="00E27765"/>
    <w:rsid w:val="00E277B7"/>
    <w:rsid w:val="00E277F3"/>
    <w:rsid w:val="00E27CA7"/>
    <w:rsid w:val="00E27E0F"/>
    <w:rsid w:val="00E27EFC"/>
    <w:rsid w:val="00E30B26"/>
    <w:rsid w:val="00E3114F"/>
    <w:rsid w:val="00E31199"/>
    <w:rsid w:val="00E3124F"/>
    <w:rsid w:val="00E315BC"/>
    <w:rsid w:val="00E3166C"/>
    <w:rsid w:val="00E31713"/>
    <w:rsid w:val="00E31AEA"/>
    <w:rsid w:val="00E31F75"/>
    <w:rsid w:val="00E32325"/>
    <w:rsid w:val="00E3277A"/>
    <w:rsid w:val="00E32C06"/>
    <w:rsid w:val="00E32D4C"/>
    <w:rsid w:val="00E332E8"/>
    <w:rsid w:val="00E33849"/>
    <w:rsid w:val="00E33AF4"/>
    <w:rsid w:val="00E33EE1"/>
    <w:rsid w:val="00E342A9"/>
    <w:rsid w:val="00E3458B"/>
    <w:rsid w:val="00E34874"/>
    <w:rsid w:val="00E34DAC"/>
    <w:rsid w:val="00E35046"/>
    <w:rsid w:val="00E3550A"/>
    <w:rsid w:val="00E35747"/>
    <w:rsid w:val="00E357D2"/>
    <w:rsid w:val="00E35D8F"/>
    <w:rsid w:val="00E363E3"/>
    <w:rsid w:val="00E3665D"/>
    <w:rsid w:val="00E367D5"/>
    <w:rsid w:val="00E36B81"/>
    <w:rsid w:val="00E36E86"/>
    <w:rsid w:val="00E3742C"/>
    <w:rsid w:val="00E37863"/>
    <w:rsid w:val="00E37E04"/>
    <w:rsid w:val="00E404CA"/>
    <w:rsid w:val="00E4063C"/>
    <w:rsid w:val="00E408A0"/>
    <w:rsid w:val="00E40D2F"/>
    <w:rsid w:val="00E40DCC"/>
    <w:rsid w:val="00E40E67"/>
    <w:rsid w:val="00E41120"/>
    <w:rsid w:val="00E4126E"/>
    <w:rsid w:val="00E4141B"/>
    <w:rsid w:val="00E4222D"/>
    <w:rsid w:val="00E42C56"/>
    <w:rsid w:val="00E42D33"/>
    <w:rsid w:val="00E42F22"/>
    <w:rsid w:val="00E4334D"/>
    <w:rsid w:val="00E4398B"/>
    <w:rsid w:val="00E43D8C"/>
    <w:rsid w:val="00E43D97"/>
    <w:rsid w:val="00E440DB"/>
    <w:rsid w:val="00E440E8"/>
    <w:rsid w:val="00E4414B"/>
    <w:rsid w:val="00E44223"/>
    <w:rsid w:val="00E44936"/>
    <w:rsid w:val="00E44E64"/>
    <w:rsid w:val="00E45022"/>
    <w:rsid w:val="00E45095"/>
    <w:rsid w:val="00E4519B"/>
    <w:rsid w:val="00E45348"/>
    <w:rsid w:val="00E45B4F"/>
    <w:rsid w:val="00E45CB1"/>
    <w:rsid w:val="00E46046"/>
    <w:rsid w:val="00E46423"/>
    <w:rsid w:val="00E465B8"/>
    <w:rsid w:val="00E46B9C"/>
    <w:rsid w:val="00E46C0C"/>
    <w:rsid w:val="00E46ED4"/>
    <w:rsid w:val="00E46FCE"/>
    <w:rsid w:val="00E47017"/>
    <w:rsid w:val="00E4716D"/>
    <w:rsid w:val="00E47A5D"/>
    <w:rsid w:val="00E47D13"/>
    <w:rsid w:val="00E47D6F"/>
    <w:rsid w:val="00E47E74"/>
    <w:rsid w:val="00E5049E"/>
    <w:rsid w:val="00E50A37"/>
    <w:rsid w:val="00E50EBF"/>
    <w:rsid w:val="00E51307"/>
    <w:rsid w:val="00E51636"/>
    <w:rsid w:val="00E5186A"/>
    <w:rsid w:val="00E5198C"/>
    <w:rsid w:val="00E51BB8"/>
    <w:rsid w:val="00E52032"/>
    <w:rsid w:val="00E521A9"/>
    <w:rsid w:val="00E5263B"/>
    <w:rsid w:val="00E52B95"/>
    <w:rsid w:val="00E52F1B"/>
    <w:rsid w:val="00E53348"/>
    <w:rsid w:val="00E536F7"/>
    <w:rsid w:val="00E53712"/>
    <w:rsid w:val="00E5380C"/>
    <w:rsid w:val="00E5385E"/>
    <w:rsid w:val="00E5387A"/>
    <w:rsid w:val="00E53950"/>
    <w:rsid w:val="00E53A6B"/>
    <w:rsid w:val="00E53BB5"/>
    <w:rsid w:val="00E53EEC"/>
    <w:rsid w:val="00E53FAC"/>
    <w:rsid w:val="00E54057"/>
    <w:rsid w:val="00E54CD5"/>
    <w:rsid w:val="00E54CD6"/>
    <w:rsid w:val="00E55013"/>
    <w:rsid w:val="00E55156"/>
    <w:rsid w:val="00E55336"/>
    <w:rsid w:val="00E55459"/>
    <w:rsid w:val="00E55B3D"/>
    <w:rsid w:val="00E5618E"/>
    <w:rsid w:val="00E5674A"/>
    <w:rsid w:val="00E56B3E"/>
    <w:rsid w:val="00E56BCE"/>
    <w:rsid w:val="00E56EB2"/>
    <w:rsid w:val="00E56EEE"/>
    <w:rsid w:val="00E57723"/>
    <w:rsid w:val="00E57779"/>
    <w:rsid w:val="00E578E5"/>
    <w:rsid w:val="00E60174"/>
    <w:rsid w:val="00E60206"/>
    <w:rsid w:val="00E603E4"/>
    <w:rsid w:val="00E60763"/>
    <w:rsid w:val="00E60D37"/>
    <w:rsid w:val="00E61510"/>
    <w:rsid w:val="00E61A25"/>
    <w:rsid w:val="00E61EC0"/>
    <w:rsid w:val="00E621C3"/>
    <w:rsid w:val="00E6239F"/>
    <w:rsid w:val="00E625FE"/>
    <w:rsid w:val="00E62D4C"/>
    <w:rsid w:val="00E639BC"/>
    <w:rsid w:val="00E63E37"/>
    <w:rsid w:val="00E64138"/>
    <w:rsid w:val="00E6439F"/>
    <w:rsid w:val="00E647C0"/>
    <w:rsid w:val="00E64CD0"/>
    <w:rsid w:val="00E650F8"/>
    <w:rsid w:val="00E65541"/>
    <w:rsid w:val="00E655DC"/>
    <w:rsid w:val="00E6575C"/>
    <w:rsid w:val="00E658C4"/>
    <w:rsid w:val="00E65990"/>
    <w:rsid w:val="00E65D5D"/>
    <w:rsid w:val="00E6608E"/>
    <w:rsid w:val="00E6649F"/>
    <w:rsid w:val="00E665D7"/>
    <w:rsid w:val="00E6696D"/>
    <w:rsid w:val="00E66B5C"/>
    <w:rsid w:val="00E66F23"/>
    <w:rsid w:val="00E66FA3"/>
    <w:rsid w:val="00E670CB"/>
    <w:rsid w:val="00E671CD"/>
    <w:rsid w:val="00E673D9"/>
    <w:rsid w:val="00E67836"/>
    <w:rsid w:val="00E67A4C"/>
    <w:rsid w:val="00E67CDA"/>
    <w:rsid w:val="00E67F27"/>
    <w:rsid w:val="00E70202"/>
    <w:rsid w:val="00E704C0"/>
    <w:rsid w:val="00E70771"/>
    <w:rsid w:val="00E70CCA"/>
    <w:rsid w:val="00E70F29"/>
    <w:rsid w:val="00E70FE5"/>
    <w:rsid w:val="00E7111D"/>
    <w:rsid w:val="00E71188"/>
    <w:rsid w:val="00E71CDA"/>
    <w:rsid w:val="00E71E66"/>
    <w:rsid w:val="00E72049"/>
    <w:rsid w:val="00E72449"/>
    <w:rsid w:val="00E7275B"/>
    <w:rsid w:val="00E72D7C"/>
    <w:rsid w:val="00E72E55"/>
    <w:rsid w:val="00E72FE4"/>
    <w:rsid w:val="00E730BA"/>
    <w:rsid w:val="00E73199"/>
    <w:rsid w:val="00E73267"/>
    <w:rsid w:val="00E73531"/>
    <w:rsid w:val="00E737F8"/>
    <w:rsid w:val="00E739A2"/>
    <w:rsid w:val="00E73A48"/>
    <w:rsid w:val="00E73F96"/>
    <w:rsid w:val="00E7442D"/>
    <w:rsid w:val="00E74A8E"/>
    <w:rsid w:val="00E74DB7"/>
    <w:rsid w:val="00E75195"/>
    <w:rsid w:val="00E755E2"/>
    <w:rsid w:val="00E756C2"/>
    <w:rsid w:val="00E75769"/>
    <w:rsid w:val="00E75D6D"/>
    <w:rsid w:val="00E75EDD"/>
    <w:rsid w:val="00E76307"/>
    <w:rsid w:val="00E768D3"/>
    <w:rsid w:val="00E776ED"/>
    <w:rsid w:val="00E77D0E"/>
    <w:rsid w:val="00E80C4F"/>
    <w:rsid w:val="00E80F0A"/>
    <w:rsid w:val="00E81399"/>
    <w:rsid w:val="00E814F5"/>
    <w:rsid w:val="00E817EA"/>
    <w:rsid w:val="00E81AFC"/>
    <w:rsid w:val="00E81B57"/>
    <w:rsid w:val="00E81D1D"/>
    <w:rsid w:val="00E81DE7"/>
    <w:rsid w:val="00E81E0C"/>
    <w:rsid w:val="00E82328"/>
    <w:rsid w:val="00E826A9"/>
    <w:rsid w:val="00E826D9"/>
    <w:rsid w:val="00E833B1"/>
    <w:rsid w:val="00E83A8D"/>
    <w:rsid w:val="00E83D35"/>
    <w:rsid w:val="00E845E2"/>
    <w:rsid w:val="00E84670"/>
    <w:rsid w:val="00E84A5F"/>
    <w:rsid w:val="00E84D69"/>
    <w:rsid w:val="00E84F01"/>
    <w:rsid w:val="00E84F65"/>
    <w:rsid w:val="00E84F68"/>
    <w:rsid w:val="00E84FD2"/>
    <w:rsid w:val="00E85152"/>
    <w:rsid w:val="00E851C7"/>
    <w:rsid w:val="00E857DA"/>
    <w:rsid w:val="00E862B4"/>
    <w:rsid w:val="00E864BC"/>
    <w:rsid w:val="00E8650D"/>
    <w:rsid w:val="00E8756D"/>
    <w:rsid w:val="00E87757"/>
    <w:rsid w:val="00E878BB"/>
    <w:rsid w:val="00E87905"/>
    <w:rsid w:val="00E8796D"/>
    <w:rsid w:val="00E8797E"/>
    <w:rsid w:val="00E87F35"/>
    <w:rsid w:val="00E9030F"/>
    <w:rsid w:val="00E90890"/>
    <w:rsid w:val="00E9089B"/>
    <w:rsid w:val="00E90B53"/>
    <w:rsid w:val="00E91282"/>
    <w:rsid w:val="00E91A0C"/>
    <w:rsid w:val="00E91D49"/>
    <w:rsid w:val="00E92551"/>
    <w:rsid w:val="00E92B6A"/>
    <w:rsid w:val="00E9325E"/>
    <w:rsid w:val="00E93585"/>
    <w:rsid w:val="00E937D7"/>
    <w:rsid w:val="00E93DD1"/>
    <w:rsid w:val="00E93EB0"/>
    <w:rsid w:val="00E9433F"/>
    <w:rsid w:val="00E94340"/>
    <w:rsid w:val="00E9463B"/>
    <w:rsid w:val="00E94C6C"/>
    <w:rsid w:val="00E94D31"/>
    <w:rsid w:val="00E95017"/>
    <w:rsid w:val="00E951A1"/>
    <w:rsid w:val="00E9533A"/>
    <w:rsid w:val="00E95682"/>
    <w:rsid w:val="00E958E2"/>
    <w:rsid w:val="00E95C98"/>
    <w:rsid w:val="00E95EBF"/>
    <w:rsid w:val="00E96152"/>
    <w:rsid w:val="00E96B16"/>
    <w:rsid w:val="00E96B50"/>
    <w:rsid w:val="00E96E4C"/>
    <w:rsid w:val="00E9722B"/>
    <w:rsid w:val="00E973AB"/>
    <w:rsid w:val="00E976D0"/>
    <w:rsid w:val="00E976EC"/>
    <w:rsid w:val="00E97EB2"/>
    <w:rsid w:val="00EA0012"/>
    <w:rsid w:val="00EA03E6"/>
    <w:rsid w:val="00EA0621"/>
    <w:rsid w:val="00EA0875"/>
    <w:rsid w:val="00EA08D1"/>
    <w:rsid w:val="00EA0C74"/>
    <w:rsid w:val="00EA0D25"/>
    <w:rsid w:val="00EA0D94"/>
    <w:rsid w:val="00EA0F2B"/>
    <w:rsid w:val="00EA140A"/>
    <w:rsid w:val="00EA1CF0"/>
    <w:rsid w:val="00EA22D1"/>
    <w:rsid w:val="00EA2D73"/>
    <w:rsid w:val="00EA2FCA"/>
    <w:rsid w:val="00EA32FA"/>
    <w:rsid w:val="00EA3628"/>
    <w:rsid w:val="00EA365D"/>
    <w:rsid w:val="00EA3C13"/>
    <w:rsid w:val="00EA3CDB"/>
    <w:rsid w:val="00EA3E5C"/>
    <w:rsid w:val="00EA3E63"/>
    <w:rsid w:val="00EA3EC2"/>
    <w:rsid w:val="00EA3F06"/>
    <w:rsid w:val="00EA3F0F"/>
    <w:rsid w:val="00EA48E8"/>
    <w:rsid w:val="00EA4BA2"/>
    <w:rsid w:val="00EA4E60"/>
    <w:rsid w:val="00EA5275"/>
    <w:rsid w:val="00EA52DB"/>
    <w:rsid w:val="00EA5795"/>
    <w:rsid w:val="00EA5AD2"/>
    <w:rsid w:val="00EA5AF0"/>
    <w:rsid w:val="00EA607E"/>
    <w:rsid w:val="00EA6281"/>
    <w:rsid w:val="00EA6796"/>
    <w:rsid w:val="00EA6C58"/>
    <w:rsid w:val="00EA7079"/>
    <w:rsid w:val="00EA70C2"/>
    <w:rsid w:val="00EA72A8"/>
    <w:rsid w:val="00EA72D9"/>
    <w:rsid w:val="00EA7363"/>
    <w:rsid w:val="00EA73E2"/>
    <w:rsid w:val="00EA7C4D"/>
    <w:rsid w:val="00EA7F8D"/>
    <w:rsid w:val="00EB06AC"/>
    <w:rsid w:val="00EB0CE6"/>
    <w:rsid w:val="00EB0EE4"/>
    <w:rsid w:val="00EB111D"/>
    <w:rsid w:val="00EB19A1"/>
    <w:rsid w:val="00EB213D"/>
    <w:rsid w:val="00EB25F2"/>
    <w:rsid w:val="00EB2670"/>
    <w:rsid w:val="00EB2B2C"/>
    <w:rsid w:val="00EB2B87"/>
    <w:rsid w:val="00EB2C01"/>
    <w:rsid w:val="00EB35B7"/>
    <w:rsid w:val="00EB35EA"/>
    <w:rsid w:val="00EB39BC"/>
    <w:rsid w:val="00EB39E2"/>
    <w:rsid w:val="00EB39E8"/>
    <w:rsid w:val="00EB3AFB"/>
    <w:rsid w:val="00EB3C77"/>
    <w:rsid w:val="00EB3CDB"/>
    <w:rsid w:val="00EB4005"/>
    <w:rsid w:val="00EB40C9"/>
    <w:rsid w:val="00EB41C8"/>
    <w:rsid w:val="00EB4284"/>
    <w:rsid w:val="00EB49D8"/>
    <w:rsid w:val="00EB4DF3"/>
    <w:rsid w:val="00EB5505"/>
    <w:rsid w:val="00EB6231"/>
    <w:rsid w:val="00EB68D4"/>
    <w:rsid w:val="00EB6B86"/>
    <w:rsid w:val="00EB704F"/>
    <w:rsid w:val="00EB7071"/>
    <w:rsid w:val="00EB7346"/>
    <w:rsid w:val="00EB745C"/>
    <w:rsid w:val="00EB74E8"/>
    <w:rsid w:val="00EB765D"/>
    <w:rsid w:val="00EB7719"/>
    <w:rsid w:val="00EB78B7"/>
    <w:rsid w:val="00EB7AC4"/>
    <w:rsid w:val="00EB7AFB"/>
    <w:rsid w:val="00EB7B39"/>
    <w:rsid w:val="00EB7D29"/>
    <w:rsid w:val="00EB7F0B"/>
    <w:rsid w:val="00EC00DA"/>
    <w:rsid w:val="00EC0146"/>
    <w:rsid w:val="00EC03D0"/>
    <w:rsid w:val="00EC07AC"/>
    <w:rsid w:val="00EC0A4A"/>
    <w:rsid w:val="00EC0CA3"/>
    <w:rsid w:val="00EC13AF"/>
    <w:rsid w:val="00EC19D1"/>
    <w:rsid w:val="00EC1BC9"/>
    <w:rsid w:val="00EC1E89"/>
    <w:rsid w:val="00EC204F"/>
    <w:rsid w:val="00EC223C"/>
    <w:rsid w:val="00EC22B7"/>
    <w:rsid w:val="00EC2519"/>
    <w:rsid w:val="00EC29C9"/>
    <w:rsid w:val="00EC2B5E"/>
    <w:rsid w:val="00EC2E76"/>
    <w:rsid w:val="00EC31AC"/>
    <w:rsid w:val="00EC32E1"/>
    <w:rsid w:val="00EC3400"/>
    <w:rsid w:val="00EC3433"/>
    <w:rsid w:val="00EC3854"/>
    <w:rsid w:val="00EC39C0"/>
    <w:rsid w:val="00EC39EA"/>
    <w:rsid w:val="00EC417B"/>
    <w:rsid w:val="00EC484A"/>
    <w:rsid w:val="00EC4975"/>
    <w:rsid w:val="00EC4EC1"/>
    <w:rsid w:val="00EC4F7B"/>
    <w:rsid w:val="00EC5796"/>
    <w:rsid w:val="00EC5829"/>
    <w:rsid w:val="00EC5891"/>
    <w:rsid w:val="00EC593E"/>
    <w:rsid w:val="00EC598E"/>
    <w:rsid w:val="00EC5DB5"/>
    <w:rsid w:val="00EC5FFB"/>
    <w:rsid w:val="00EC6043"/>
    <w:rsid w:val="00EC6099"/>
    <w:rsid w:val="00EC6867"/>
    <w:rsid w:val="00EC6A10"/>
    <w:rsid w:val="00EC6A2F"/>
    <w:rsid w:val="00EC6AE0"/>
    <w:rsid w:val="00EC6BA5"/>
    <w:rsid w:val="00EC71D8"/>
    <w:rsid w:val="00EC7306"/>
    <w:rsid w:val="00ED0040"/>
    <w:rsid w:val="00ED03DC"/>
    <w:rsid w:val="00ED099D"/>
    <w:rsid w:val="00ED0DCD"/>
    <w:rsid w:val="00ED0EA7"/>
    <w:rsid w:val="00ED1161"/>
    <w:rsid w:val="00ED12E8"/>
    <w:rsid w:val="00ED137A"/>
    <w:rsid w:val="00ED1472"/>
    <w:rsid w:val="00ED16D1"/>
    <w:rsid w:val="00ED196C"/>
    <w:rsid w:val="00ED1B57"/>
    <w:rsid w:val="00ED1F0A"/>
    <w:rsid w:val="00ED2963"/>
    <w:rsid w:val="00ED2CC1"/>
    <w:rsid w:val="00ED2CE3"/>
    <w:rsid w:val="00ED3E36"/>
    <w:rsid w:val="00ED41DA"/>
    <w:rsid w:val="00ED43A2"/>
    <w:rsid w:val="00ED4483"/>
    <w:rsid w:val="00ED4711"/>
    <w:rsid w:val="00ED47AC"/>
    <w:rsid w:val="00ED50CC"/>
    <w:rsid w:val="00ED5559"/>
    <w:rsid w:val="00ED55C5"/>
    <w:rsid w:val="00ED63CF"/>
    <w:rsid w:val="00ED70D7"/>
    <w:rsid w:val="00ED70DF"/>
    <w:rsid w:val="00ED749E"/>
    <w:rsid w:val="00ED77F3"/>
    <w:rsid w:val="00ED7869"/>
    <w:rsid w:val="00ED78BD"/>
    <w:rsid w:val="00ED78CC"/>
    <w:rsid w:val="00ED7902"/>
    <w:rsid w:val="00ED7B71"/>
    <w:rsid w:val="00EE0B9C"/>
    <w:rsid w:val="00EE166F"/>
    <w:rsid w:val="00EE196C"/>
    <w:rsid w:val="00EE19C5"/>
    <w:rsid w:val="00EE1E5E"/>
    <w:rsid w:val="00EE23F2"/>
    <w:rsid w:val="00EE278A"/>
    <w:rsid w:val="00EE2D57"/>
    <w:rsid w:val="00EE34C1"/>
    <w:rsid w:val="00EE41E5"/>
    <w:rsid w:val="00EE4221"/>
    <w:rsid w:val="00EE486D"/>
    <w:rsid w:val="00EE4D45"/>
    <w:rsid w:val="00EE5048"/>
    <w:rsid w:val="00EE54A4"/>
    <w:rsid w:val="00EE573C"/>
    <w:rsid w:val="00EE59BC"/>
    <w:rsid w:val="00EE5F8C"/>
    <w:rsid w:val="00EE61E3"/>
    <w:rsid w:val="00EE6346"/>
    <w:rsid w:val="00EE6897"/>
    <w:rsid w:val="00EE696F"/>
    <w:rsid w:val="00EE6B2E"/>
    <w:rsid w:val="00EE6F31"/>
    <w:rsid w:val="00EE70BA"/>
    <w:rsid w:val="00EE73C0"/>
    <w:rsid w:val="00EE7752"/>
    <w:rsid w:val="00EE776B"/>
    <w:rsid w:val="00EE7D3F"/>
    <w:rsid w:val="00EF0124"/>
    <w:rsid w:val="00EF0155"/>
    <w:rsid w:val="00EF0258"/>
    <w:rsid w:val="00EF06AD"/>
    <w:rsid w:val="00EF09F6"/>
    <w:rsid w:val="00EF154C"/>
    <w:rsid w:val="00EF157C"/>
    <w:rsid w:val="00EF23E8"/>
    <w:rsid w:val="00EF2824"/>
    <w:rsid w:val="00EF29F7"/>
    <w:rsid w:val="00EF2FAD"/>
    <w:rsid w:val="00EF3382"/>
    <w:rsid w:val="00EF34C9"/>
    <w:rsid w:val="00EF3636"/>
    <w:rsid w:val="00EF3A30"/>
    <w:rsid w:val="00EF3B82"/>
    <w:rsid w:val="00EF3DDA"/>
    <w:rsid w:val="00EF3E5D"/>
    <w:rsid w:val="00EF3F60"/>
    <w:rsid w:val="00EF3FC2"/>
    <w:rsid w:val="00EF40C2"/>
    <w:rsid w:val="00EF42E8"/>
    <w:rsid w:val="00EF4662"/>
    <w:rsid w:val="00EF466C"/>
    <w:rsid w:val="00EF47F3"/>
    <w:rsid w:val="00EF5483"/>
    <w:rsid w:val="00EF57CC"/>
    <w:rsid w:val="00EF581D"/>
    <w:rsid w:val="00EF5842"/>
    <w:rsid w:val="00EF5A04"/>
    <w:rsid w:val="00EF5B7C"/>
    <w:rsid w:val="00EF5CCD"/>
    <w:rsid w:val="00EF5D53"/>
    <w:rsid w:val="00EF5F28"/>
    <w:rsid w:val="00EF605F"/>
    <w:rsid w:val="00EF61C3"/>
    <w:rsid w:val="00EF6356"/>
    <w:rsid w:val="00EF6580"/>
    <w:rsid w:val="00EF694E"/>
    <w:rsid w:val="00EF728D"/>
    <w:rsid w:val="00EF75AC"/>
    <w:rsid w:val="00EF76C8"/>
    <w:rsid w:val="00EF7742"/>
    <w:rsid w:val="00EF7B09"/>
    <w:rsid w:val="00EF7BF4"/>
    <w:rsid w:val="00EF7C1B"/>
    <w:rsid w:val="00F002EF"/>
    <w:rsid w:val="00F0043D"/>
    <w:rsid w:val="00F00F4E"/>
    <w:rsid w:val="00F01522"/>
    <w:rsid w:val="00F017E9"/>
    <w:rsid w:val="00F01975"/>
    <w:rsid w:val="00F01D82"/>
    <w:rsid w:val="00F021E9"/>
    <w:rsid w:val="00F02521"/>
    <w:rsid w:val="00F02828"/>
    <w:rsid w:val="00F028BB"/>
    <w:rsid w:val="00F02966"/>
    <w:rsid w:val="00F03469"/>
    <w:rsid w:val="00F03C46"/>
    <w:rsid w:val="00F03F5F"/>
    <w:rsid w:val="00F0429B"/>
    <w:rsid w:val="00F0434A"/>
    <w:rsid w:val="00F045BF"/>
    <w:rsid w:val="00F048C5"/>
    <w:rsid w:val="00F0496F"/>
    <w:rsid w:val="00F04A3C"/>
    <w:rsid w:val="00F05091"/>
    <w:rsid w:val="00F057D2"/>
    <w:rsid w:val="00F05817"/>
    <w:rsid w:val="00F059C7"/>
    <w:rsid w:val="00F05C0A"/>
    <w:rsid w:val="00F0642B"/>
    <w:rsid w:val="00F0691F"/>
    <w:rsid w:val="00F06BE3"/>
    <w:rsid w:val="00F07521"/>
    <w:rsid w:val="00F07A9B"/>
    <w:rsid w:val="00F07C38"/>
    <w:rsid w:val="00F07DE3"/>
    <w:rsid w:val="00F1007A"/>
    <w:rsid w:val="00F1015B"/>
    <w:rsid w:val="00F104E8"/>
    <w:rsid w:val="00F10704"/>
    <w:rsid w:val="00F109D9"/>
    <w:rsid w:val="00F10C63"/>
    <w:rsid w:val="00F10F48"/>
    <w:rsid w:val="00F10F88"/>
    <w:rsid w:val="00F116EF"/>
    <w:rsid w:val="00F11838"/>
    <w:rsid w:val="00F11B0D"/>
    <w:rsid w:val="00F11B79"/>
    <w:rsid w:val="00F12407"/>
    <w:rsid w:val="00F12842"/>
    <w:rsid w:val="00F12B5C"/>
    <w:rsid w:val="00F12EE4"/>
    <w:rsid w:val="00F1376B"/>
    <w:rsid w:val="00F137AE"/>
    <w:rsid w:val="00F13A77"/>
    <w:rsid w:val="00F13C1B"/>
    <w:rsid w:val="00F13FF8"/>
    <w:rsid w:val="00F14AA1"/>
    <w:rsid w:val="00F14ADE"/>
    <w:rsid w:val="00F14D38"/>
    <w:rsid w:val="00F14D65"/>
    <w:rsid w:val="00F14F1D"/>
    <w:rsid w:val="00F150C5"/>
    <w:rsid w:val="00F150E3"/>
    <w:rsid w:val="00F1527A"/>
    <w:rsid w:val="00F152D7"/>
    <w:rsid w:val="00F15713"/>
    <w:rsid w:val="00F16444"/>
    <w:rsid w:val="00F169F4"/>
    <w:rsid w:val="00F174F5"/>
    <w:rsid w:val="00F17B83"/>
    <w:rsid w:val="00F17D8B"/>
    <w:rsid w:val="00F17FCA"/>
    <w:rsid w:val="00F201D7"/>
    <w:rsid w:val="00F2024C"/>
    <w:rsid w:val="00F20794"/>
    <w:rsid w:val="00F20928"/>
    <w:rsid w:val="00F20F4C"/>
    <w:rsid w:val="00F2105B"/>
    <w:rsid w:val="00F216F5"/>
    <w:rsid w:val="00F21BA4"/>
    <w:rsid w:val="00F21CFD"/>
    <w:rsid w:val="00F220EC"/>
    <w:rsid w:val="00F224C1"/>
    <w:rsid w:val="00F22B46"/>
    <w:rsid w:val="00F22BE0"/>
    <w:rsid w:val="00F22CDB"/>
    <w:rsid w:val="00F2318C"/>
    <w:rsid w:val="00F236E2"/>
    <w:rsid w:val="00F2490C"/>
    <w:rsid w:val="00F24AE5"/>
    <w:rsid w:val="00F25511"/>
    <w:rsid w:val="00F25635"/>
    <w:rsid w:val="00F258F3"/>
    <w:rsid w:val="00F25FB6"/>
    <w:rsid w:val="00F26240"/>
    <w:rsid w:val="00F26693"/>
    <w:rsid w:val="00F266EB"/>
    <w:rsid w:val="00F26F87"/>
    <w:rsid w:val="00F273B9"/>
    <w:rsid w:val="00F2774C"/>
    <w:rsid w:val="00F27B41"/>
    <w:rsid w:val="00F3069C"/>
    <w:rsid w:val="00F30AF4"/>
    <w:rsid w:val="00F30C78"/>
    <w:rsid w:val="00F30C82"/>
    <w:rsid w:val="00F30D70"/>
    <w:rsid w:val="00F30F17"/>
    <w:rsid w:val="00F30F9C"/>
    <w:rsid w:val="00F312FD"/>
    <w:rsid w:val="00F31482"/>
    <w:rsid w:val="00F31571"/>
    <w:rsid w:val="00F315AF"/>
    <w:rsid w:val="00F315CC"/>
    <w:rsid w:val="00F31F38"/>
    <w:rsid w:val="00F3289A"/>
    <w:rsid w:val="00F32D56"/>
    <w:rsid w:val="00F33099"/>
    <w:rsid w:val="00F33300"/>
    <w:rsid w:val="00F3387C"/>
    <w:rsid w:val="00F3392A"/>
    <w:rsid w:val="00F339A5"/>
    <w:rsid w:val="00F33A65"/>
    <w:rsid w:val="00F33AD8"/>
    <w:rsid w:val="00F343F5"/>
    <w:rsid w:val="00F352A3"/>
    <w:rsid w:val="00F35769"/>
    <w:rsid w:val="00F357B8"/>
    <w:rsid w:val="00F35A8F"/>
    <w:rsid w:val="00F35B1F"/>
    <w:rsid w:val="00F35DE3"/>
    <w:rsid w:val="00F3657E"/>
    <w:rsid w:val="00F36DD8"/>
    <w:rsid w:val="00F36DEB"/>
    <w:rsid w:val="00F36FC5"/>
    <w:rsid w:val="00F37183"/>
    <w:rsid w:val="00F37691"/>
    <w:rsid w:val="00F37948"/>
    <w:rsid w:val="00F379BF"/>
    <w:rsid w:val="00F37B1A"/>
    <w:rsid w:val="00F37DD0"/>
    <w:rsid w:val="00F37FC9"/>
    <w:rsid w:val="00F40B46"/>
    <w:rsid w:val="00F40C7F"/>
    <w:rsid w:val="00F40F75"/>
    <w:rsid w:val="00F40FCA"/>
    <w:rsid w:val="00F4171B"/>
    <w:rsid w:val="00F4206A"/>
    <w:rsid w:val="00F42211"/>
    <w:rsid w:val="00F4294A"/>
    <w:rsid w:val="00F43779"/>
    <w:rsid w:val="00F43AD7"/>
    <w:rsid w:val="00F43F16"/>
    <w:rsid w:val="00F442A6"/>
    <w:rsid w:val="00F44426"/>
    <w:rsid w:val="00F4469E"/>
    <w:rsid w:val="00F44AA3"/>
    <w:rsid w:val="00F45609"/>
    <w:rsid w:val="00F45647"/>
    <w:rsid w:val="00F459DB"/>
    <w:rsid w:val="00F45EB1"/>
    <w:rsid w:val="00F4612E"/>
    <w:rsid w:val="00F46220"/>
    <w:rsid w:val="00F46881"/>
    <w:rsid w:val="00F46BE3"/>
    <w:rsid w:val="00F46CB5"/>
    <w:rsid w:val="00F471AE"/>
    <w:rsid w:val="00F4772E"/>
    <w:rsid w:val="00F4792C"/>
    <w:rsid w:val="00F47986"/>
    <w:rsid w:val="00F50A7F"/>
    <w:rsid w:val="00F50CE9"/>
    <w:rsid w:val="00F50E45"/>
    <w:rsid w:val="00F51131"/>
    <w:rsid w:val="00F51223"/>
    <w:rsid w:val="00F51225"/>
    <w:rsid w:val="00F515C9"/>
    <w:rsid w:val="00F51864"/>
    <w:rsid w:val="00F51B24"/>
    <w:rsid w:val="00F52000"/>
    <w:rsid w:val="00F52105"/>
    <w:rsid w:val="00F527B7"/>
    <w:rsid w:val="00F529E4"/>
    <w:rsid w:val="00F52ADD"/>
    <w:rsid w:val="00F52CBD"/>
    <w:rsid w:val="00F53566"/>
    <w:rsid w:val="00F536AE"/>
    <w:rsid w:val="00F53F29"/>
    <w:rsid w:val="00F54239"/>
    <w:rsid w:val="00F5470E"/>
    <w:rsid w:val="00F5512B"/>
    <w:rsid w:val="00F55B72"/>
    <w:rsid w:val="00F55B90"/>
    <w:rsid w:val="00F55BA5"/>
    <w:rsid w:val="00F55E70"/>
    <w:rsid w:val="00F55FB7"/>
    <w:rsid w:val="00F56213"/>
    <w:rsid w:val="00F563D1"/>
    <w:rsid w:val="00F5696E"/>
    <w:rsid w:val="00F56B10"/>
    <w:rsid w:val="00F56C54"/>
    <w:rsid w:val="00F56D94"/>
    <w:rsid w:val="00F571DD"/>
    <w:rsid w:val="00F57345"/>
    <w:rsid w:val="00F574FA"/>
    <w:rsid w:val="00F57BDA"/>
    <w:rsid w:val="00F57EED"/>
    <w:rsid w:val="00F6000D"/>
    <w:rsid w:val="00F60339"/>
    <w:rsid w:val="00F6094B"/>
    <w:rsid w:val="00F60DE5"/>
    <w:rsid w:val="00F60F7A"/>
    <w:rsid w:val="00F611C5"/>
    <w:rsid w:val="00F61640"/>
    <w:rsid w:val="00F616B1"/>
    <w:rsid w:val="00F61836"/>
    <w:rsid w:val="00F61C5C"/>
    <w:rsid w:val="00F62131"/>
    <w:rsid w:val="00F62341"/>
    <w:rsid w:val="00F623BE"/>
    <w:rsid w:val="00F62693"/>
    <w:rsid w:val="00F62714"/>
    <w:rsid w:val="00F62DC5"/>
    <w:rsid w:val="00F62ECE"/>
    <w:rsid w:val="00F63001"/>
    <w:rsid w:val="00F631A5"/>
    <w:rsid w:val="00F636C6"/>
    <w:rsid w:val="00F63A8B"/>
    <w:rsid w:val="00F63D15"/>
    <w:rsid w:val="00F63FDB"/>
    <w:rsid w:val="00F64674"/>
    <w:rsid w:val="00F6489B"/>
    <w:rsid w:val="00F6489D"/>
    <w:rsid w:val="00F64C08"/>
    <w:rsid w:val="00F64EE1"/>
    <w:rsid w:val="00F6511E"/>
    <w:rsid w:val="00F65AE3"/>
    <w:rsid w:val="00F65BD8"/>
    <w:rsid w:val="00F65E31"/>
    <w:rsid w:val="00F6672D"/>
    <w:rsid w:val="00F66D6E"/>
    <w:rsid w:val="00F66E30"/>
    <w:rsid w:val="00F670E0"/>
    <w:rsid w:val="00F6746B"/>
    <w:rsid w:val="00F67732"/>
    <w:rsid w:val="00F67E78"/>
    <w:rsid w:val="00F70125"/>
    <w:rsid w:val="00F706F8"/>
    <w:rsid w:val="00F7075A"/>
    <w:rsid w:val="00F71818"/>
    <w:rsid w:val="00F71B68"/>
    <w:rsid w:val="00F725FF"/>
    <w:rsid w:val="00F7261B"/>
    <w:rsid w:val="00F72F7A"/>
    <w:rsid w:val="00F73105"/>
    <w:rsid w:val="00F73600"/>
    <w:rsid w:val="00F736AE"/>
    <w:rsid w:val="00F7408B"/>
    <w:rsid w:val="00F7429A"/>
    <w:rsid w:val="00F74624"/>
    <w:rsid w:val="00F74678"/>
    <w:rsid w:val="00F746F9"/>
    <w:rsid w:val="00F74A37"/>
    <w:rsid w:val="00F750C1"/>
    <w:rsid w:val="00F7538B"/>
    <w:rsid w:val="00F7575B"/>
    <w:rsid w:val="00F757A4"/>
    <w:rsid w:val="00F75814"/>
    <w:rsid w:val="00F75AE7"/>
    <w:rsid w:val="00F75B0E"/>
    <w:rsid w:val="00F75B68"/>
    <w:rsid w:val="00F75EEF"/>
    <w:rsid w:val="00F765B7"/>
    <w:rsid w:val="00F7669F"/>
    <w:rsid w:val="00F76856"/>
    <w:rsid w:val="00F769DC"/>
    <w:rsid w:val="00F76B47"/>
    <w:rsid w:val="00F77118"/>
    <w:rsid w:val="00F774CD"/>
    <w:rsid w:val="00F7777E"/>
    <w:rsid w:val="00F77A4C"/>
    <w:rsid w:val="00F77A56"/>
    <w:rsid w:val="00F8004A"/>
    <w:rsid w:val="00F803D1"/>
    <w:rsid w:val="00F809AB"/>
    <w:rsid w:val="00F80A19"/>
    <w:rsid w:val="00F81866"/>
    <w:rsid w:val="00F8198B"/>
    <w:rsid w:val="00F81B83"/>
    <w:rsid w:val="00F81F57"/>
    <w:rsid w:val="00F81FE9"/>
    <w:rsid w:val="00F8237F"/>
    <w:rsid w:val="00F829BE"/>
    <w:rsid w:val="00F82F51"/>
    <w:rsid w:val="00F83232"/>
    <w:rsid w:val="00F83235"/>
    <w:rsid w:val="00F83458"/>
    <w:rsid w:val="00F83D08"/>
    <w:rsid w:val="00F8499E"/>
    <w:rsid w:val="00F84B1D"/>
    <w:rsid w:val="00F84F73"/>
    <w:rsid w:val="00F850A9"/>
    <w:rsid w:val="00F85988"/>
    <w:rsid w:val="00F85A84"/>
    <w:rsid w:val="00F85BE6"/>
    <w:rsid w:val="00F85CD5"/>
    <w:rsid w:val="00F85D52"/>
    <w:rsid w:val="00F85E86"/>
    <w:rsid w:val="00F8639C"/>
    <w:rsid w:val="00F864C7"/>
    <w:rsid w:val="00F868FF"/>
    <w:rsid w:val="00F86BA3"/>
    <w:rsid w:val="00F86BD3"/>
    <w:rsid w:val="00F86D18"/>
    <w:rsid w:val="00F8705A"/>
    <w:rsid w:val="00F8728C"/>
    <w:rsid w:val="00F87B86"/>
    <w:rsid w:val="00F87DD7"/>
    <w:rsid w:val="00F903B0"/>
    <w:rsid w:val="00F903EF"/>
    <w:rsid w:val="00F90490"/>
    <w:rsid w:val="00F90A0F"/>
    <w:rsid w:val="00F90B04"/>
    <w:rsid w:val="00F91220"/>
    <w:rsid w:val="00F914EA"/>
    <w:rsid w:val="00F91C5D"/>
    <w:rsid w:val="00F91D43"/>
    <w:rsid w:val="00F92385"/>
    <w:rsid w:val="00F937D8"/>
    <w:rsid w:val="00F93B4C"/>
    <w:rsid w:val="00F93F2F"/>
    <w:rsid w:val="00F94200"/>
    <w:rsid w:val="00F949DD"/>
    <w:rsid w:val="00F94DD3"/>
    <w:rsid w:val="00F95058"/>
    <w:rsid w:val="00F95663"/>
    <w:rsid w:val="00F95BB8"/>
    <w:rsid w:val="00F9623D"/>
    <w:rsid w:val="00F96431"/>
    <w:rsid w:val="00F96976"/>
    <w:rsid w:val="00F96B85"/>
    <w:rsid w:val="00F96F09"/>
    <w:rsid w:val="00F9708F"/>
    <w:rsid w:val="00F97846"/>
    <w:rsid w:val="00F9798D"/>
    <w:rsid w:val="00F97A31"/>
    <w:rsid w:val="00FA01EF"/>
    <w:rsid w:val="00FA03A2"/>
    <w:rsid w:val="00FA03EB"/>
    <w:rsid w:val="00FA083A"/>
    <w:rsid w:val="00FA0ABB"/>
    <w:rsid w:val="00FA0CEA"/>
    <w:rsid w:val="00FA1B33"/>
    <w:rsid w:val="00FA1FF3"/>
    <w:rsid w:val="00FA212D"/>
    <w:rsid w:val="00FA23D5"/>
    <w:rsid w:val="00FA29FB"/>
    <w:rsid w:val="00FA2EE5"/>
    <w:rsid w:val="00FA2F52"/>
    <w:rsid w:val="00FA3011"/>
    <w:rsid w:val="00FA3640"/>
    <w:rsid w:val="00FA3ACC"/>
    <w:rsid w:val="00FA4AD1"/>
    <w:rsid w:val="00FA4D3F"/>
    <w:rsid w:val="00FA5F5A"/>
    <w:rsid w:val="00FA617F"/>
    <w:rsid w:val="00FA6272"/>
    <w:rsid w:val="00FA6311"/>
    <w:rsid w:val="00FA63A4"/>
    <w:rsid w:val="00FA65D0"/>
    <w:rsid w:val="00FA7102"/>
    <w:rsid w:val="00FA74CA"/>
    <w:rsid w:val="00FA7665"/>
    <w:rsid w:val="00FA7ABF"/>
    <w:rsid w:val="00FB0ABE"/>
    <w:rsid w:val="00FB0E1A"/>
    <w:rsid w:val="00FB13CC"/>
    <w:rsid w:val="00FB153B"/>
    <w:rsid w:val="00FB1908"/>
    <w:rsid w:val="00FB1990"/>
    <w:rsid w:val="00FB1C45"/>
    <w:rsid w:val="00FB1F2A"/>
    <w:rsid w:val="00FB2426"/>
    <w:rsid w:val="00FB2AD2"/>
    <w:rsid w:val="00FB2CBA"/>
    <w:rsid w:val="00FB3305"/>
    <w:rsid w:val="00FB37DE"/>
    <w:rsid w:val="00FB3930"/>
    <w:rsid w:val="00FB3A9B"/>
    <w:rsid w:val="00FB3B23"/>
    <w:rsid w:val="00FB3B60"/>
    <w:rsid w:val="00FB4534"/>
    <w:rsid w:val="00FB4783"/>
    <w:rsid w:val="00FB491F"/>
    <w:rsid w:val="00FB4A2C"/>
    <w:rsid w:val="00FB55D5"/>
    <w:rsid w:val="00FB5BAE"/>
    <w:rsid w:val="00FB6178"/>
    <w:rsid w:val="00FB6575"/>
    <w:rsid w:val="00FB6806"/>
    <w:rsid w:val="00FB6C88"/>
    <w:rsid w:val="00FB7024"/>
    <w:rsid w:val="00FB73AE"/>
    <w:rsid w:val="00FB7605"/>
    <w:rsid w:val="00FB7758"/>
    <w:rsid w:val="00FB778B"/>
    <w:rsid w:val="00FB780A"/>
    <w:rsid w:val="00FC041B"/>
    <w:rsid w:val="00FC05CF"/>
    <w:rsid w:val="00FC093C"/>
    <w:rsid w:val="00FC0AEF"/>
    <w:rsid w:val="00FC0C1E"/>
    <w:rsid w:val="00FC100D"/>
    <w:rsid w:val="00FC106A"/>
    <w:rsid w:val="00FC1B4E"/>
    <w:rsid w:val="00FC1E6E"/>
    <w:rsid w:val="00FC2412"/>
    <w:rsid w:val="00FC2D11"/>
    <w:rsid w:val="00FC3045"/>
    <w:rsid w:val="00FC3326"/>
    <w:rsid w:val="00FC3D54"/>
    <w:rsid w:val="00FC41A7"/>
    <w:rsid w:val="00FC46BE"/>
    <w:rsid w:val="00FC490B"/>
    <w:rsid w:val="00FC495C"/>
    <w:rsid w:val="00FC4971"/>
    <w:rsid w:val="00FC4986"/>
    <w:rsid w:val="00FC4DE2"/>
    <w:rsid w:val="00FC5B04"/>
    <w:rsid w:val="00FC5D71"/>
    <w:rsid w:val="00FC5F71"/>
    <w:rsid w:val="00FC6010"/>
    <w:rsid w:val="00FC6043"/>
    <w:rsid w:val="00FC60B0"/>
    <w:rsid w:val="00FC60DC"/>
    <w:rsid w:val="00FC64C0"/>
    <w:rsid w:val="00FC65E1"/>
    <w:rsid w:val="00FC66FA"/>
    <w:rsid w:val="00FC68F2"/>
    <w:rsid w:val="00FC72C1"/>
    <w:rsid w:val="00FC78AA"/>
    <w:rsid w:val="00FD0137"/>
    <w:rsid w:val="00FD04B6"/>
    <w:rsid w:val="00FD07D9"/>
    <w:rsid w:val="00FD08F4"/>
    <w:rsid w:val="00FD0A81"/>
    <w:rsid w:val="00FD1188"/>
    <w:rsid w:val="00FD128A"/>
    <w:rsid w:val="00FD148D"/>
    <w:rsid w:val="00FD16E7"/>
    <w:rsid w:val="00FD17BA"/>
    <w:rsid w:val="00FD1D3C"/>
    <w:rsid w:val="00FD1FD3"/>
    <w:rsid w:val="00FD29F5"/>
    <w:rsid w:val="00FD2CDD"/>
    <w:rsid w:val="00FD2DA7"/>
    <w:rsid w:val="00FD2E2B"/>
    <w:rsid w:val="00FD2FD0"/>
    <w:rsid w:val="00FD32AA"/>
    <w:rsid w:val="00FD3B69"/>
    <w:rsid w:val="00FD3C8E"/>
    <w:rsid w:val="00FD3E8B"/>
    <w:rsid w:val="00FD4405"/>
    <w:rsid w:val="00FD5271"/>
    <w:rsid w:val="00FD54B0"/>
    <w:rsid w:val="00FD56CD"/>
    <w:rsid w:val="00FD595A"/>
    <w:rsid w:val="00FD5B33"/>
    <w:rsid w:val="00FD5BA9"/>
    <w:rsid w:val="00FD5CE8"/>
    <w:rsid w:val="00FD5FCC"/>
    <w:rsid w:val="00FD6253"/>
    <w:rsid w:val="00FD62D8"/>
    <w:rsid w:val="00FD63B8"/>
    <w:rsid w:val="00FD6429"/>
    <w:rsid w:val="00FD67B4"/>
    <w:rsid w:val="00FD686D"/>
    <w:rsid w:val="00FD7B2A"/>
    <w:rsid w:val="00FD7D28"/>
    <w:rsid w:val="00FE00FF"/>
    <w:rsid w:val="00FE0202"/>
    <w:rsid w:val="00FE05A1"/>
    <w:rsid w:val="00FE0817"/>
    <w:rsid w:val="00FE0BBF"/>
    <w:rsid w:val="00FE0DC6"/>
    <w:rsid w:val="00FE0FEC"/>
    <w:rsid w:val="00FE1010"/>
    <w:rsid w:val="00FE113E"/>
    <w:rsid w:val="00FE1216"/>
    <w:rsid w:val="00FE15A1"/>
    <w:rsid w:val="00FE1B84"/>
    <w:rsid w:val="00FE1FFB"/>
    <w:rsid w:val="00FE2006"/>
    <w:rsid w:val="00FE26AB"/>
    <w:rsid w:val="00FE2725"/>
    <w:rsid w:val="00FE2D9B"/>
    <w:rsid w:val="00FE3154"/>
    <w:rsid w:val="00FE316E"/>
    <w:rsid w:val="00FE3CF8"/>
    <w:rsid w:val="00FE45A8"/>
    <w:rsid w:val="00FE4670"/>
    <w:rsid w:val="00FE4717"/>
    <w:rsid w:val="00FE48F0"/>
    <w:rsid w:val="00FE4B54"/>
    <w:rsid w:val="00FE55A7"/>
    <w:rsid w:val="00FE5647"/>
    <w:rsid w:val="00FE615D"/>
    <w:rsid w:val="00FE6770"/>
    <w:rsid w:val="00FE747A"/>
    <w:rsid w:val="00FE790F"/>
    <w:rsid w:val="00FF0413"/>
    <w:rsid w:val="00FF0AA5"/>
    <w:rsid w:val="00FF15CE"/>
    <w:rsid w:val="00FF234F"/>
    <w:rsid w:val="00FF23DB"/>
    <w:rsid w:val="00FF27B5"/>
    <w:rsid w:val="00FF28F8"/>
    <w:rsid w:val="00FF29B3"/>
    <w:rsid w:val="00FF2FF9"/>
    <w:rsid w:val="00FF31A5"/>
    <w:rsid w:val="00FF37EB"/>
    <w:rsid w:val="00FF3E35"/>
    <w:rsid w:val="00FF3E71"/>
    <w:rsid w:val="00FF3E88"/>
    <w:rsid w:val="00FF42FD"/>
    <w:rsid w:val="00FF454A"/>
    <w:rsid w:val="00FF48AE"/>
    <w:rsid w:val="00FF4A20"/>
    <w:rsid w:val="00FF4FE2"/>
    <w:rsid w:val="00FF5696"/>
    <w:rsid w:val="00FF5E80"/>
    <w:rsid w:val="00FF60DE"/>
    <w:rsid w:val="00FF6108"/>
    <w:rsid w:val="00FF64DA"/>
    <w:rsid w:val="00FF6A60"/>
    <w:rsid w:val="00FF6E41"/>
    <w:rsid w:val="00FF6E7B"/>
    <w:rsid w:val="00FF6E82"/>
    <w:rsid w:val="00FF7A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826DA"/>
  <w15:chartTrackingRefBased/>
  <w15:docId w15:val="{C78C6964-6C58-421A-9328-0128E0790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CD1"/>
    <w:pPr>
      <w:spacing w:after="0" w:line="240" w:lineRule="auto"/>
    </w:pPr>
    <w:rPr>
      <w:rFonts w:ascii="Univers" w:eastAsia="Times New Roman" w:hAnsi="Univers" w:cs="Times New Roman"/>
      <w:sz w:val="28"/>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37BFD"/>
    <w:pPr>
      <w:tabs>
        <w:tab w:val="center" w:pos="4419"/>
        <w:tab w:val="right" w:pos="8838"/>
      </w:tabs>
    </w:pPr>
    <w:rPr>
      <w:rFonts w:ascii="Times New Roman" w:eastAsia="Calibri" w:hAnsi="Times New Roman"/>
      <w:sz w:val="20"/>
      <w:szCs w:val="20"/>
    </w:rPr>
  </w:style>
  <w:style w:type="character" w:customStyle="1" w:styleId="EncabezadoCar">
    <w:name w:val="Encabezado Car"/>
    <w:basedOn w:val="Fuentedeprrafopredeter"/>
    <w:link w:val="Encabezado"/>
    <w:uiPriority w:val="99"/>
    <w:rsid w:val="00C37BFD"/>
    <w:rPr>
      <w:rFonts w:ascii="Times New Roman" w:eastAsia="Calibri" w:hAnsi="Times New Roman" w:cs="Times New Roman"/>
      <w:sz w:val="20"/>
      <w:szCs w:val="20"/>
      <w:lang w:val="es-ES" w:eastAsia="es-ES"/>
    </w:rPr>
  </w:style>
  <w:style w:type="paragraph" w:styleId="Piedepgina">
    <w:name w:val="footer"/>
    <w:basedOn w:val="Normal"/>
    <w:link w:val="PiedepginaCar"/>
    <w:uiPriority w:val="99"/>
    <w:rsid w:val="00C37BFD"/>
    <w:pPr>
      <w:tabs>
        <w:tab w:val="center" w:pos="4419"/>
        <w:tab w:val="right" w:pos="8838"/>
      </w:tabs>
    </w:pPr>
    <w:rPr>
      <w:rFonts w:eastAsia="Calibri"/>
      <w:sz w:val="24"/>
    </w:rPr>
  </w:style>
  <w:style w:type="character" w:customStyle="1" w:styleId="PiedepginaCar">
    <w:name w:val="Pie de página Car"/>
    <w:basedOn w:val="Fuentedeprrafopredeter"/>
    <w:link w:val="Piedepgina"/>
    <w:uiPriority w:val="99"/>
    <w:rsid w:val="00C37BFD"/>
    <w:rPr>
      <w:rFonts w:ascii="Univers" w:eastAsia="Calibri" w:hAnsi="Univers" w:cs="Times New Roman"/>
      <w:sz w:val="24"/>
      <w:szCs w:val="24"/>
      <w:lang w:val="es-ES" w:eastAsia="es-ES"/>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ftref,julio,Ref"/>
    <w:link w:val="4GChar"/>
    <w:uiPriority w:val="99"/>
    <w:qFormat/>
    <w:rsid w:val="00C37BFD"/>
    <w:rPr>
      <w:rFonts w:cs="Times New Roman"/>
      <w:vertAlign w:val="superscript"/>
    </w:rPr>
  </w:style>
  <w:style w:type="paragraph" w:styleId="NormalWeb">
    <w:name w:val="Normal (Web)"/>
    <w:aliases w:val="Normal (Web) Car Car Car,Normal (Web) Car Car Car Car Car,Car Car Ca,Car,C,Car C,Normal (Web) Car1,Normal (Web) Car Car,Normal (Web) Car1 Car Car,Normal (Web) Car Car Car Car Car Car Car Car Car Car,Normal (Web) Car Car Car Car Car Ca, C, "/>
    <w:basedOn w:val="Normal"/>
    <w:link w:val="NormalWebCar"/>
    <w:uiPriority w:val="99"/>
    <w:qFormat/>
    <w:rsid w:val="00C37BFD"/>
    <w:pPr>
      <w:spacing w:before="100" w:beforeAutospacing="1" w:after="100" w:afterAutospacing="1"/>
    </w:pPr>
    <w:rPr>
      <w:rFonts w:ascii="Arial Unicode MS" w:eastAsia="Arial Unicode MS" w:hAnsi="Arial Unicode MS"/>
      <w:sz w:val="24"/>
    </w:rPr>
  </w:style>
  <w:style w:type="character" w:customStyle="1" w:styleId="NormalWebCar">
    <w:name w:val="Normal (Web) Car"/>
    <w:aliases w:val="Normal (Web) Car Car Car Car,Normal (Web) Car Car Car Car Car Car,Car Car Ca Car,Car Car,C Car,Car C Car,Normal (Web) Car1 Car,Normal (Web) Car Car Car1,Normal (Web) Car1 Car Car Car,Normal (Web) Car Car Car Car Car Ca Car, C Car,  Car"/>
    <w:link w:val="NormalWeb"/>
    <w:uiPriority w:val="99"/>
    <w:qFormat/>
    <w:locked/>
    <w:rsid w:val="00C37BFD"/>
    <w:rPr>
      <w:rFonts w:ascii="Arial Unicode MS" w:eastAsia="Arial Unicode MS" w:hAnsi="Arial Unicode MS" w:cs="Times New Roman"/>
      <w:sz w:val="24"/>
      <w:szCs w:val="24"/>
      <w:lang w:val="es-ES"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Ref. de nota al pi"/>
    <w:basedOn w:val="Normal"/>
    <w:link w:val="TextonotapieCar"/>
    <w:uiPriority w:val="99"/>
    <w:qFormat/>
    <w:rsid w:val="00C37BFD"/>
    <w:rPr>
      <w:rFonts w:ascii="Times New Roman" w:eastAsia="Calibri" w:hAnsi="Times New Roman"/>
      <w:sz w:val="20"/>
      <w:szCs w:val="20"/>
      <w:lang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C37BFD"/>
    <w:rPr>
      <w:rFonts w:ascii="Times New Roman" w:eastAsia="Calibri" w:hAnsi="Times New Roman" w:cs="Times New Roman"/>
      <w:sz w:val="20"/>
      <w:szCs w:val="20"/>
      <w:lang w:val="es-ES" w:eastAsia="es-MX"/>
    </w:rPr>
  </w:style>
  <w:style w:type="paragraph" w:styleId="Prrafodelista">
    <w:name w:val="List Paragraph"/>
    <w:aliases w:val="CNBV Parrafo1,Párrafo de lista1,Parrafo 1,Lista multicolor - Énfasis 11,Lista vistosa - Énfasis 11,Cuadrícula media 1 - Énfasis 21,Cita texto,List Paragraph-Thesis,Footnote,AB List 1,Bullet Points,Bullet List,FooterText,numbered,Listas"/>
    <w:basedOn w:val="Normal"/>
    <w:link w:val="PrrafodelistaCar"/>
    <w:uiPriority w:val="34"/>
    <w:qFormat/>
    <w:rsid w:val="00C37BFD"/>
    <w:pPr>
      <w:spacing w:after="200" w:line="276" w:lineRule="auto"/>
      <w:ind w:left="720"/>
      <w:contextualSpacing/>
    </w:pPr>
    <w:rPr>
      <w:rFonts w:ascii="Calibri" w:eastAsia="Calibri" w:hAnsi="Calibri"/>
      <w:sz w:val="22"/>
      <w:szCs w:val="22"/>
      <w:lang w:val="es-MX" w:eastAsia="en-US"/>
    </w:rPr>
  </w:style>
  <w:style w:type="character" w:customStyle="1" w:styleId="PrrafodelistaCar">
    <w:name w:val="Párrafo de lista Car"/>
    <w:aliases w:val="CNBV Parrafo1 Car,Párrafo de lista1 Car,Parrafo 1 Car,Lista multicolor - Énfasis 11 Car,Lista vistosa - Énfasis 11 Car,Cuadrícula media 1 - Énfasis 21 Car,Cita texto Car,List Paragraph-Thesis Car,Footnote Car,AB List 1 Car"/>
    <w:link w:val="Prrafodelista"/>
    <w:uiPriority w:val="34"/>
    <w:qFormat/>
    <w:locked/>
    <w:rsid w:val="00C37BFD"/>
    <w:rPr>
      <w:rFonts w:ascii="Calibri" w:eastAsia="Calibri" w:hAnsi="Calibri" w:cs="Times New Roman"/>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37BFD"/>
    <w:pPr>
      <w:spacing w:after="160" w:line="259" w:lineRule="auto"/>
      <w:jc w:val="both"/>
    </w:pPr>
    <w:rPr>
      <w:rFonts w:asciiTheme="minorHAnsi" w:eastAsiaTheme="minorHAnsi" w:hAnsiTheme="minorHAnsi"/>
      <w:sz w:val="22"/>
      <w:szCs w:val="22"/>
      <w:vertAlign w:val="superscript"/>
      <w:lang w:val="es-MX" w:eastAsia="en-US"/>
    </w:rPr>
  </w:style>
  <w:style w:type="character" w:customStyle="1" w:styleId="Ninguno">
    <w:name w:val="Ninguno"/>
    <w:rsid w:val="00C37BFD"/>
    <w:rPr>
      <w:lang w:val="es-ES_tradnl"/>
    </w:rPr>
  </w:style>
  <w:style w:type="paragraph" w:styleId="Sinespaciado">
    <w:name w:val="No Spacing"/>
    <w:link w:val="SinespaciadoCar"/>
    <w:uiPriority w:val="1"/>
    <w:qFormat/>
    <w:rsid w:val="00C37BFD"/>
    <w:pPr>
      <w:spacing w:after="0"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147B7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47B7E"/>
    <w:rPr>
      <w:rFonts w:ascii="Segoe UI" w:eastAsia="Times New Roman" w:hAnsi="Segoe UI" w:cs="Segoe UI"/>
      <w:sz w:val="18"/>
      <w:szCs w:val="18"/>
      <w:lang w:val="es-ES" w:eastAsia="es-ES"/>
    </w:rPr>
  </w:style>
  <w:style w:type="character" w:customStyle="1" w:styleId="SinespaciadoCar">
    <w:name w:val="Sin espaciado Car"/>
    <w:link w:val="Sinespaciado"/>
    <w:uiPriority w:val="1"/>
    <w:rsid w:val="006724EF"/>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5904D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578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numerado">
    <w:name w:val="numerado"/>
    <w:basedOn w:val="Normal"/>
    <w:qFormat/>
    <w:rsid w:val="00FD5BA9"/>
    <w:pPr>
      <w:widowControl w:val="0"/>
      <w:numPr>
        <w:numId w:val="1"/>
      </w:numPr>
      <w:spacing w:before="240" w:after="240" w:line="360" w:lineRule="auto"/>
      <w:ind w:left="0" w:firstLine="0"/>
      <w:jc w:val="both"/>
    </w:pPr>
    <w:rPr>
      <w:rFonts w:cs="Arial"/>
      <w:szCs w:val="28"/>
      <w:lang w:val="es-MX" w:eastAsia="es-MX"/>
    </w:rPr>
  </w:style>
  <w:style w:type="paragraph" w:customStyle="1" w:styleId="Estilo1">
    <w:name w:val="Estilo1"/>
    <w:basedOn w:val="numerado"/>
    <w:link w:val="Estilo1Car"/>
    <w:qFormat/>
    <w:rsid w:val="00FD5BA9"/>
    <w:pPr>
      <w:widowControl/>
      <w:tabs>
        <w:tab w:val="left" w:pos="426"/>
      </w:tabs>
      <w:spacing w:after="0"/>
      <w:ind w:left="502" w:hanging="360"/>
    </w:pPr>
    <w:rPr>
      <w:lang w:eastAsia="es-ES"/>
    </w:rPr>
  </w:style>
  <w:style w:type="character" w:customStyle="1" w:styleId="Estilo1Car">
    <w:name w:val="Estilo1 Car"/>
    <w:basedOn w:val="Fuentedeprrafopredeter"/>
    <w:link w:val="Estilo1"/>
    <w:rsid w:val="00FD5BA9"/>
    <w:rPr>
      <w:rFonts w:ascii="Univers" w:eastAsia="Times New Roman" w:hAnsi="Univers" w:cs="Arial"/>
      <w:sz w:val="28"/>
      <w:szCs w:val="28"/>
      <w:lang w:eastAsia="es-ES"/>
    </w:rPr>
  </w:style>
  <w:style w:type="character" w:styleId="Refdecomentario">
    <w:name w:val="annotation reference"/>
    <w:basedOn w:val="Fuentedeprrafopredeter"/>
    <w:uiPriority w:val="99"/>
    <w:semiHidden/>
    <w:unhideWhenUsed/>
    <w:rsid w:val="00D85F71"/>
    <w:rPr>
      <w:sz w:val="16"/>
      <w:szCs w:val="16"/>
    </w:rPr>
  </w:style>
  <w:style w:type="paragraph" w:styleId="Textocomentario">
    <w:name w:val="annotation text"/>
    <w:basedOn w:val="Normal"/>
    <w:link w:val="TextocomentarioCar"/>
    <w:uiPriority w:val="99"/>
    <w:semiHidden/>
    <w:unhideWhenUsed/>
    <w:rsid w:val="00D85F71"/>
    <w:rPr>
      <w:sz w:val="20"/>
      <w:szCs w:val="20"/>
    </w:rPr>
  </w:style>
  <w:style w:type="character" w:customStyle="1" w:styleId="TextocomentarioCar">
    <w:name w:val="Texto comentario Car"/>
    <w:basedOn w:val="Fuentedeprrafopredeter"/>
    <w:link w:val="Textocomentario"/>
    <w:uiPriority w:val="99"/>
    <w:semiHidden/>
    <w:rsid w:val="00D85F71"/>
    <w:rPr>
      <w:rFonts w:ascii="Univers" w:eastAsia="Times New Roman" w:hAnsi="Univers"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85F71"/>
    <w:rPr>
      <w:b/>
      <w:bCs/>
    </w:rPr>
  </w:style>
  <w:style w:type="character" w:customStyle="1" w:styleId="AsuntodelcomentarioCar">
    <w:name w:val="Asunto del comentario Car"/>
    <w:basedOn w:val="TextocomentarioCar"/>
    <w:link w:val="Asuntodelcomentario"/>
    <w:uiPriority w:val="99"/>
    <w:semiHidden/>
    <w:rsid w:val="00D85F71"/>
    <w:rPr>
      <w:rFonts w:ascii="Univers" w:eastAsia="Times New Roman" w:hAnsi="Univers" w:cs="Times New Roman"/>
      <w:b/>
      <w:bCs/>
      <w:sz w:val="20"/>
      <w:szCs w:val="20"/>
      <w:lang w:val="es-ES" w:eastAsia="es-ES"/>
    </w:rPr>
  </w:style>
  <w:style w:type="character" w:styleId="Hipervnculo">
    <w:name w:val="Hyperlink"/>
    <w:basedOn w:val="Fuentedeprrafopredeter"/>
    <w:uiPriority w:val="99"/>
    <w:unhideWhenUsed/>
    <w:rsid w:val="00B1385B"/>
    <w:rPr>
      <w:color w:val="0563C1" w:themeColor="hyperlink"/>
      <w:u w:val="single"/>
    </w:rPr>
  </w:style>
  <w:style w:type="character" w:styleId="Mencinsinresolver">
    <w:name w:val="Unresolved Mention"/>
    <w:basedOn w:val="Fuentedeprrafopredeter"/>
    <w:uiPriority w:val="99"/>
    <w:semiHidden/>
    <w:unhideWhenUsed/>
    <w:rsid w:val="00B1385B"/>
    <w:rPr>
      <w:color w:val="605E5C"/>
      <w:shd w:val="clear" w:color="auto" w:fill="E1DFDD"/>
    </w:rPr>
  </w:style>
  <w:style w:type="paragraph" w:styleId="Revisin">
    <w:name w:val="Revision"/>
    <w:hidden/>
    <w:uiPriority w:val="99"/>
    <w:semiHidden/>
    <w:rsid w:val="009C12C2"/>
    <w:pPr>
      <w:spacing w:after="0" w:line="240" w:lineRule="auto"/>
    </w:pPr>
    <w:rPr>
      <w:rFonts w:ascii="Univers" w:eastAsia="Times New Roman" w:hAnsi="Univers" w:cs="Times New Roman"/>
      <w:sz w:val="28"/>
      <w:szCs w:val="24"/>
      <w:lang w:val="es-ES" w:eastAsia="es-ES"/>
    </w:rPr>
  </w:style>
  <w:style w:type="paragraph" w:customStyle="1" w:styleId="Texto">
    <w:name w:val="Texto"/>
    <w:basedOn w:val="Normal"/>
    <w:rsid w:val="00CC1A74"/>
    <w:pPr>
      <w:spacing w:after="101" w:line="216" w:lineRule="exact"/>
      <w:ind w:firstLine="288"/>
      <w:jc w:val="both"/>
    </w:pPr>
    <w:rPr>
      <w:rFonts w:ascii="Arial" w:hAnsi="Arial" w:cs="Arial"/>
      <w:sz w:val="18"/>
      <w:szCs w:val="18"/>
      <w:lang w:val="es-MX"/>
    </w:rPr>
  </w:style>
  <w:style w:type="paragraph" w:customStyle="1" w:styleId="Normalsentencia">
    <w:name w:val="Normal sentencia"/>
    <w:basedOn w:val="Normal"/>
    <w:link w:val="NormalsentenciaCar"/>
    <w:qFormat/>
    <w:rsid w:val="002C0BF3"/>
    <w:pPr>
      <w:numPr>
        <w:numId w:val="2"/>
      </w:numPr>
      <w:spacing w:before="240" w:after="240" w:line="360" w:lineRule="auto"/>
      <w:jc w:val="both"/>
    </w:pPr>
    <w:rPr>
      <w:rFonts w:cs="Arial"/>
      <w:szCs w:val="22"/>
    </w:rPr>
  </w:style>
  <w:style w:type="character" w:customStyle="1" w:styleId="NormalsentenciaCar">
    <w:name w:val="Normal sentencia Car"/>
    <w:link w:val="Normalsentencia"/>
    <w:rsid w:val="002C0BF3"/>
    <w:rPr>
      <w:rFonts w:ascii="Univers" w:eastAsia="Times New Roman" w:hAnsi="Univers" w:cs="Arial"/>
      <w:sz w:val="28"/>
      <w:lang w:val="es-ES" w:eastAsia="es-ES"/>
    </w:rPr>
  </w:style>
  <w:style w:type="paragraph" w:customStyle="1" w:styleId="Default">
    <w:name w:val="Default"/>
    <w:rsid w:val="002C0BF3"/>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562643"/>
    <w:pPr>
      <w:spacing w:before="100" w:beforeAutospacing="1" w:after="100" w:afterAutospacing="1"/>
    </w:pPr>
    <w:rPr>
      <w:rFonts w:ascii="Times New Roman" w:hAnsi="Times New Roman"/>
      <w:sz w:val="24"/>
      <w:lang w:val="es-MX" w:eastAsia="es-MX"/>
    </w:rPr>
  </w:style>
  <w:style w:type="character" w:customStyle="1" w:styleId="normaltextrun">
    <w:name w:val="normaltextrun"/>
    <w:basedOn w:val="Fuentedeprrafopredeter"/>
    <w:rsid w:val="00562643"/>
  </w:style>
  <w:style w:type="character" w:customStyle="1" w:styleId="eop">
    <w:name w:val="eop"/>
    <w:basedOn w:val="Fuentedeprrafopredeter"/>
    <w:rsid w:val="00562643"/>
  </w:style>
  <w:style w:type="table" w:customStyle="1" w:styleId="Tablaconcuadrcula1">
    <w:name w:val="Tabla con cuadrícula1"/>
    <w:basedOn w:val="Tablanormal"/>
    <w:next w:val="Tablaconcuadrcula"/>
    <w:uiPriority w:val="39"/>
    <w:rsid w:val="00752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SENTENCIA">
    <w:name w:val="PARRAFO SENTENCIA"/>
    <w:basedOn w:val="Normal"/>
    <w:link w:val="PARRAFOSENTENCIACar"/>
    <w:qFormat/>
    <w:rsid w:val="006D60E5"/>
    <w:pPr>
      <w:spacing w:before="100" w:beforeAutospacing="1" w:after="100" w:afterAutospacing="1" w:line="360" w:lineRule="auto"/>
      <w:ind w:firstLine="709"/>
      <w:jc w:val="both"/>
    </w:pPr>
    <w:rPr>
      <w:rFonts w:ascii="Arial" w:hAnsi="Arial"/>
      <w:szCs w:val="27"/>
    </w:rPr>
  </w:style>
  <w:style w:type="character" w:customStyle="1" w:styleId="PARRAFOSENTENCIACar">
    <w:name w:val="PARRAFO SENTENCIA Car"/>
    <w:link w:val="PARRAFOSENTENCIA"/>
    <w:rsid w:val="006D60E5"/>
    <w:rPr>
      <w:rFonts w:ascii="Arial" w:eastAsia="Times New Roman" w:hAnsi="Arial" w:cs="Times New Roman"/>
      <w:sz w:val="28"/>
      <w:szCs w:val="27"/>
      <w:lang w:val="es-ES" w:eastAsia="es-ES"/>
    </w:rPr>
  </w:style>
  <w:style w:type="table" w:customStyle="1" w:styleId="Tablaconcuadrcula52">
    <w:name w:val="Tabla con cuadrícula52"/>
    <w:basedOn w:val="Tablanormal"/>
    <w:next w:val="Tablaconcuadrcula"/>
    <w:uiPriority w:val="39"/>
    <w:rsid w:val="00A42308"/>
    <w:pPr>
      <w:spacing w:after="0" w:line="240" w:lineRule="auto"/>
      <w:jc w:val="both"/>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055BA3"/>
    <w:rPr>
      <w:sz w:val="20"/>
      <w:szCs w:val="20"/>
    </w:rPr>
  </w:style>
  <w:style w:type="character" w:customStyle="1" w:styleId="TextonotaalfinalCar">
    <w:name w:val="Texto nota al final Car"/>
    <w:basedOn w:val="Fuentedeprrafopredeter"/>
    <w:link w:val="Textonotaalfinal"/>
    <w:uiPriority w:val="99"/>
    <w:semiHidden/>
    <w:rsid w:val="00055BA3"/>
    <w:rPr>
      <w:rFonts w:ascii="Univers" w:eastAsia="Times New Roman" w:hAnsi="Univers" w:cs="Times New Roman"/>
      <w:sz w:val="20"/>
      <w:szCs w:val="20"/>
      <w:lang w:val="es-ES" w:eastAsia="es-ES"/>
    </w:rPr>
  </w:style>
  <w:style w:type="character" w:styleId="Refdenotaalfinal">
    <w:name w:val="endnote reference"/>
    <w:basedOn w:val="Fuentedeprrafopredeter"/>
    <w:uiPriority w:val="99"/>
    <w:semiHidden/>
    <w:unhideWhenUsed/>
    <w:rsid w:val="00055BA3"/>
    <w:rPr>
      <w:vertAlign w:val="superscript"/>
    </w:rPr>
  </w:style>
  <w:style w:type="table" w:customStyle="1" w:styleId="Tablaconcuadrcula2">
    <w:name w:val="Tabla con cuadrícula2"/>
    <w:basedOn w:val="Tablanormal"/>
    <w:next w:val="Tablaconcuadrcula"/>
    <w:uiPriority w:val="39"/>
    <w:rsid w:val="007F134E"/>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Sentencia">
    <w:name w:val="N. Sentencia"/>
    <w:basedOn w:val="Normalsentencia"/>
    <w:link w:val="NSentenciaCar"/>
    <w:qFormat/>
    <w:rsid w:val="004311FA"/>
    <w:pPr>
      <w:numPr>
        <w:numId w:val="9"/>
      </w:numPr>
    </w:pPr>
    <w:rPr>
      <w:rFonts w:eastAsia="Arial Unicode MS" w:cs="Times New Roman"/>
      <w:bCs/>
      <w:szCs w:val="24"/>
    </w:rPr>
  </w:style>
  <w:style w:type="character" w:customStyle="1" w:styleId="NSentenciaCar">
    <w:name w:val="N. Sentencia Car"/>
    <w:basedOn w:val="NormalsentenciaCar"/>
    <w:link w:val="NSentencia"/>
    <w:rsid w:val="004311FA"/>
    <w:rPr>
      <w:rFonts w:ascii="Univers" w:eastAsia="Arial Unicode MS" w:hAnsi="Univers" w:cs="Times New Roman"/>
      <w:bCs/>
      <w:sz w:val="28"/>
      <w:szCs w:val="24"/>
      <w:lang w:val="es-ES" w:eastAsia="es-ES"/>
    </w:rPr>
  </w:style>
  <w:style w:type="table" w:customStyle="1" w:styleId="Tablaconcuadrcula3">
    <w:name w:val="Tabla con cuadrícula3"/>
    <w:basedOn w:val="Tablanormal"/>
    <w:next w:val="Tablaconcuadrcula"/>
    <w:uiPriority w:val="59"/>
    <w:rsid w:val="00F73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qFormat/>
    <w:rsid w:val="00D72BAA"/>
    <w:pPr>
      <w:spacing w:after="120" w:line="276" w:lineRule="auto"/>
    </w:pPr>
    <w:rPr>
      <w:rFonts w:ascii="Calibri" w:eastAsia="Calibri" w:hAnsi="Calibri"/>
      <w:sz w:val="22"/>
      <w:szCs w:val="22"/>
      <w:lang w:val="es-MX" w:eastAsia="en-US"/>
    </w:rPr>
  </w:style>
  <w:style w:type="character" w:customStyle="1" w:styleId="TextoindependienteCar">
    <w:name w:val="Texto independiente Car"/>
    <w:basedOn w:val="Fuentedeprrafopredeter"/>
    <w:link w:val="Textoindependiente"/>
    <w:uiPriority w:val="99"/>
    <w:rsid w:val="00D72BAA"/>
    <w:rPr>
      <w:rFonts w:ascii="Calibri" w:eastAsia="Calibri" w:hAnsi="Calibri" w:cs="Times New Roman"/>
    </w:rPr>
  </w:style>
  <w:style w:type="character" w:styleId="Hipervnculovisitado">
    <w:name w:val="FollowedHyperlink"/>
    <w:basedOn w:val="Fuentedeprrafopredeter"/>
    <w:uiPriority w:val="99"/>
    <w:semiHidden/>
    <w:unhideWhenUsed/>
    <w:rsid w:val="009B33ED"/>
    <w:rPr>
      <w:color w:val="954F72" w:themeColor="followedHyperlink"/>
      <w:u w:val="single"/>
    </w:rPr>
  </w:style>
  <w:style w:type="table" w:styleId="Tablaconcuadrcula4-nfasis3">
    <w:name w:val="Grid Table 4 Accent 3"/>
    <w:basedOn w:val="Tablanormal"/>
    <w:uiPriority w:val="49"/>
    <w:rsid w:val="00E0140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
    <w:name w:val="Grid Table 1 Light"/>
    <w:basedOn w:val="Tablanormal"/>
    <w:uiPriority w:val="46"/>
    <w:rsid w:val="00E0140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DC1">
    <w:name w:val="toc 1"/>
    <w:basedOn w:val="Normal"/>
    <w:next w:val="Normal"/>
    <w:autoRedefine/>
    <w:uiPriority w:val="39"/>
    <w:unhideWhenUsed/>
    <w:rsid w:val="007046FA"/>
    <w:pPr>
      <w:tabs>
        <w:tab w:val="right" w:leader="dot" w:pos="8546"/>
      </w:tabs>
      <w:spacing w:after="100"/>
    </w:pPr>
  </w:style>
  <w:style w:type="table" w:customStyle="1" w:styleId="Tablaconcuadrcula11">
    <w:name w:val="Tabla con cuadrícula11"/>
    <w:basedOn w:val="Tablanormal"/>
    <w:next w:val="Tablaconcuadrcula"/>
    <w:uiPriority w:val="39"/>
    <w:rsid w:val="00F85988"/>
    <w:pPr>
      <w:spacing w:after="0" w:line="240" w:lineRule="auto"/>
      <w:jc w:val="both"/>
    </w:pPr>
    <w:rPr>
      <w:rFonts w:ascii="Century Gothic" w:hAnsi="Century Gothic" w:cs="Arial"/>
      <w:color w:val="000000" w:themeColor="text1"/>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66012">
      <w:bodyDiv w:val="1"/>
      <w:marLeft w:val="0"/>
      <w:marRight w:val="0"/>
      <w:marTop w:val="0"/>
      <w:marBottom w:val="0"/>
      <w:divBdr>
        <w:top w:val="none" w:sz="0" w:space="0" w:color="auto"/>
        <w:left w:val="none" w:sz="0" w:space="0" w:color="auto"/>
        <w:bottom w:val="none" w:sz="0" w:space="0" w:color="auto"/>
        <w:right w:val="none" w:sz="0" w:space="0" w:color="auto"/>
      </w:divBdr>
    </w:div>
    <w:div w:id="65228645">
      <w:bodyDiv w:val="1"/>
      <w:marLeft w:val="0"/>
      <w:marRight w:val="0"/>
      <w:marTop w:val="0"/>
      <w:marBottom w:val="0"/>
      <w:divBdr>
        <w:top w:val="none" w:sz="0" w:space="0" w:color="auto"/>
        <w:left w:val="none" w:sz="0" w:space="0" w:color="auto"/>
        <w:bottom w:val="none" w:sz="0" w:space="0" w:color="auto"/>
        <w:right w:val="none" w:sz="0" w:space="0" w:color="auto"/>
      </w:divBdr>
    </w:div>
    <w:div w:id="369838742">
      <w:bodyDiv w:val="1"/>
      <w:marLeft w:val="0"/>
      <w:marRight w:val="0"/>
      <w:marTop w:val="0"/>
      <w:marBottom w:val="0"/>
      <w:divBdr>
        <w:top w:val="none" w:sz="0" w:space="0" w:color="auto"/>
        <w:left w:val="none" w:sz="0" w:space="0" w:color="auto"/>
        <w:bottom w:val="none" w:sz="0" w:space="0" w:color="auto"/>
        <w:right w:val="none" w:sz="0" w:space="0" w:color="auto"/>
      </w:divBdr>
      <w:divsChild>
        <w:div w:id="1446387054">
          <w:marLeft w:val="0"/>
          <w:marRight w:val="0"/>
          <w:marTop w:val="0"/>
          <w:marBottom w:val="0"/>
          <w:divBdr>
            <w:top w:val="none" w:sz="0" w:space="0" w:color="auto"/>
            <w:left w:val="none" w:sz="0" w:space="0" w:color="auto"/>
            <w:bottom w:val="none" w:sz="0" w:space="0" w:color="auto"/>
            <w:right w:val="none" w:sz="0" w:space="0" w:color="auto"/>
          </w:divBdr>
          <w:divsChild>
            <w:div w:id="2103378062">
              <w:marLeft w:val="-225"/>
              <w:marRight w:val="-225"/>
              <w:marTop w:val="0"/>
              <w:marBottom w:val="0"/>
              <w:divBdr>
                <w:top w:val="none" w:sz="0" w:space="0" w:color="auto"/>
                <w:left w:val="none" w:sz="0" w:space="0" w:color="auto"/>
                <w:bottom w:val="none" w:sz="0" w:space="0" w:color="auto"/>
                <w:right w:val="none" w:sz="0" w:space="0" w:color="auto"/>
              </w:divBdr>
              <w:divsChild>
                <w:div w:id="1210649307">
                  <w:marLeft w:val="0"/>
                  <w:marRight w:val="0"/>
                  <w:marTop w:val="0"/>
                  <w:marBottom w:val="0"/>
                  <w:divBdr>
                    <w:top w:val="none" w:sz="0" w:space="0" w:color="auto"/>
                    <w:left w:val="none" w:sz="0" w:space="0" w:color="auto"/>
                    <w:bottom w:val="none" w:sz="0" w:space="0" w:color="auto"/>
                    <w:right w:val="none" w:sz="0" w:space="0" w:color="auto"/>
                  </w:divBdr>
                  <w:divsChild>
                    <w:div w:id="307394293">
                      <w:marLeft w:val="-225"/>
                      <w:marRight w:val="-225"/>
                      <w:marTop w:val="0"/>
                      <w:marBottom w:val="0"/>
                      <w:divBdr>
                        <w:top w:val="none" w:sz="0" w:space="0" w:color="auto"/>
                        <w:left w:val="none" w:sz="0" w:space="0" w:color="auto"/>
                        <w:bottom w:val="none" w:sz="0" w:space="0" w:color="auto"/>
                        <w:right w:val="none" w:sz="0" w:space="0" w:color="auto"/>
                      </w:divBdr>
                      <w:divsChild>
                        <w:div w:id="1374650027">
                          <w:marLeft w:val="0"/>
                          <w:marRight w:val="0"/>
                          <w:marTop w:val="0"/>
                          <w:marBottom w:val="0"/>
                          <w:divBdr>
                            <w:top w:val="none" w:sz="0" w:space="0" w:color="auto"/>
                            <w:left w:val="none" w:sz="0" w:space="0" w:color="auto"/>
                            <w:bottom w:val="none" w:sz="0" w:space="0" w:color="auto"/>
                            <w:right w:val="none" w:sz="0" w:space="0" w:color="auto"/>
                          </w:divBdr>
                          <w:divsChild>
                            <w:div w:id="1601332817">
                              <w:marLeft w:val="-225"/>
                              <w:marRight w:val="-225"/>
                              <w:marTop w:val="0"/>
                              <w:marBottom w:val="0"/>
                              <w:divBdr>
                                <w:top w:val="none" w:sz="0" w:space="0" w:color="auto"/>
                                <w:left w:val="none" w:sz="0" w:space="0" w:color="auto"/>
                                <w:bottom w:val="none" w:sz="0" w:space="0" w:color="auto"/>
                                <w:right w:val="none" w:sz="0" w:space="0" w:color="auto"/>
                              </w:divBdr>
                              <w:divsChild>
                                <w:div w:id="1733187883">
                                  <w:marLeft w:val="0"/>
                                  <w:marRight w:val="0"/>
                                  <w:marTop w:val="0"/>
                                  <w:marBottom w:val="0"/>
                                  <w:divBdr>
                                    <w:top w:val="none" w:sz="0" w:space="0" w:color="auto"/>
                                    <w:left w:val="none" w:sz="0" w:space="0" w:color="auto"/>
                                    <w:bottom w:val="none" w:sz="0" w:space="0" w:color="auto"/>
                                    <w:right w:val="none" w:sz="0" w:space="0" w:color="auto"/>
                                  </w:divBdr>
                                  <w:divsChild>
                                    <w:div w:id="1865823986">
                                      <w:marLeft w:val="-225"/>
                                      <w:marRight w:val="-225"/>
                                      <w:marTop w:val="0"/>
                                      <w:marBottom w:val="1125"/>
                                      <w:divBdr>
                                        <w:top w:val="none" w:sz="0" w:space="0" w:color="auto"/>
                                        <w:left w:val="none" w:sz="0" w:space="0" w:color="auto"/>
                                        <w:bottom w:val="none" w:sz="0" w:space="0" w:color="auto"/>
                                        <w:right w:val="none" w:sz="0" w:space="0" w:color="auto"/>
                                      </w:divBdr>
                                      <w:divsChild>
                                        <w:div w:id="1579904628">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476186">
      <w:bodyDiv w:val="1"/>
      <w:marLeft w:val="0"/>
      <w:marRight w:val="0"/>
      <w:marTop w:val="0"/>
      <w:marBottom w:val="0"/>
      <w:divBdr>
        <w:top w:val="none" w:sz="0" w:space="0" w:color="auto"/>
        <w:left w:val="none" w:sz="0" w:space="0" w:color="auto"/>
        <w:bottom w:val="none" w:sz="0" w:space="0" w:color="auto"/>
        <w:right w:val="none" w:sz="0" w:space="0" w:color="auto"/>
      </w:divBdr>
      <w:divsChild>
        <w:div w:id="752778663">
          <w:marLeft w:val="0"/>
          <w:marRight w:val="0"/>
          <w:marTop w:val="0"/>
          <w:marBottom w:val="0"/>
          <w:divBdr>
            <w:top w:val="none" w:sz="0" w:space="0" w:color="auto"/>
            <w:left w:val="none" w:sz="0" w:space="0" w:color="auto"/>
            <w:bottom w:val="none" w:sz="0" w:space="0" w:color="auto"/>
            <w:right w:val="none" w:sz="0" w:space="0" w:color="auto"/>
          </w:divBdr>
          <w:divsChild>
            <w:div w:id="1795978269">
              <w:marLeft w:val="-225"/>
              <w:marRight w:val="-225"/>
              <w:marTop w:val="0"/>
              <w:marBottom w:val="0"/>
              <w:divBdr>
                <w:top w:val="none" w:sz="0" w:space="0" w:color="auto"/>
                <w:left w:val="none" w:sz="0" w:space="0" w:color="auto"/>
                <w:bottom w:val="none" w:sz="0" w:space="0" w:color="auto"/>
                <w:right w:val="none" w:sz="0" w:space="0" w:color="auto"/>
              </w:divBdr>
              <w:divsChild>
                <w:div w:id="98648892">
                  <w:marLeft w:val="0"/>
                  <w:marRight w:val="0"/>
                  <w:marTop w:val="0"/>
                  <w:marBottom w:val="0"/>
                  <w:divBdr>
                    <w:top w:val="none" w:sz="0" w:space="0" w:color="auto"/>
                    <w:left w:val="none" w:sz="0" w:space="0" w:color="auto"/>
                    <w:bottom w:val="none" w:sz="0" w:space="0" w:color="auto"/>
                    <w:right w:val="none" w:sz="0" w:space="0" w:color="auto"/>
                  </w:divBdr>
                  <w:divsChild>
                    <w:div w:id="1603882523">
                      <w:marLeft w:val="-225"/>
                      <w:marRight w:val="-225"/>
                      <w:marTop w:val="0"/>
                      <w:marBottom w:val="0"/>
                      <w:divBdr>
                        <w:top w:val="none" w:sz="0" w:space="0" w:color="auto"/>
                        <w:left w:val="none" w:sz="0" w:space="0" w:color="auto"/>
                        <w:bottom w:val="none" w:sz="0" w:space="0" w:color="auto"/>
                        <w:right w:val="none" w:sz="0" w:space="0" w:color="auto"/>
                      </w:divBdr>
                      <w:divsChild>
                        <w:div w:id="36318857">
                          <w:marLeft w:val="0"/>
                          <w:marRight w:val="0"/>
                          <w:marTop w:val="0"/>
                          <w:marBottom w:val="0"/>
                          <w:divBdr>
                            <w:top w:val="none" w:sz="0" w:space="0" w:color="auto"/>
                            <w:left w:val="none" w:sz="0" w:space="0" w:color="auto"/>
                            <w:bottom w:val="none" w:sz="0" w:space="0" w:color="auto"/>
                            <w:right w:val="none" w:sz="0" w:space="0" w:color="auto"/>
                          </w:divBdr>
                          <w:divsChild>
                            <w:div w:id="363408537">
                              <w:marLeft w:val="-225"/>
                              <w:marRight w:val="-225"/>
                              <w:marTop w:val="0"/>
                              <w:marBottom w:val="0"/>
                              <w:divBdr>
                                <w:top w:val="none" w:sz="0" w:space="0" w:color="auto"/>
                                <w:left w:val="none" w:sz="0" w:space="0" w:color="auto"/>
                                <w:bottom w:val="none" w:sz="0" w:space="0" w:color="auto"/>
                                <w:right w:val="none" w:sz="0" w:space="0" w:color="auto"/>
                              </w:divBdr>
                              <w:divsChild>
                                <w:div w:id="656345583">
                                  <w:marLeft w:val="0"/>
                                  <w:marRight w:val="0"/>
                                  <w:marTop w:val="0"/>
                                  <w:marBottom w:val="0"/>
                                  <w:divBdr>
                                    <w:top w:val="none" w:sz="0" w:space="0" w:color="auto"/>
                                    <w:left w:val="none" w:sz="0" w:space="0" w:color="auto"/>
                                    <w:bottom w:val="none" w:sz="0" w:space="0" w:color="auto"/>
                                    <w:right w:val="none" w:sz="0" w:space="0" w:color="auto"/>
                                  </w:divBdr>
                                  <w:divsChild>
                                    <w:div w:id="1457989893">
                                      <w:marLeft w:val="-225"/>
                                      <w:marRight w:val="-225"/>
                                      <w:marTop w:val="0"/>
                                      <w:marBottom w:val="1125"/>
                                      <w:divBdr>
                                        <w:top w:val="none" w:sz="0" w:space="0" w:color="auto"/>
                                        <w:left w:val="none" w:sz="0" w:space="0" w:color="auto"/>
                                        <w:bottom w:val="none" w:sz="0" w:space="0" w:color="auto"/>
                                        <w:right w:val="none" w:sz="0" w:space="0" w:color="auto"/>
                                      </w:divBdr>
                                      <w:divsChild>
                                        <w:div w:id="951400597">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4859095">
      <w:bodyDiv w:val="1"/>
      <w:marLeft w:val="0"/>
      <w:marRight w:val="0"/>
      <w:marTop w:val="0"/>
      <w:marBottom w:val="0"/>
      <w:divBdr>
        <w:top w:val="none" w:sz="0" w:space="0" w:color="auto"/>
        <w:left w:val="none" w:sz="0" w:space="0" w:color="auto"/>
        <w:bottom w:val="none" w:sz="0" w:space="0" w:color="auto"/>
        <w:right w:val="none" w:sz="0" w:space="0" w:color="auto"/>
      </w:divBdr>
    </w:div>
    <w:div w:id="521942843">
      <w:bodyDiv w:val="1"/>
      <w:marLeft w:val="0"/>
      <w:marRight w:val="0"/>
      <w:marTop w:val="0"/>
      <w:marBottom w:val="0"/>
      <w:divBdr>
        <w:top w:val="none" w:sz="0" w:space="0" w:color="auto"/>
        <w:left w:val="none" w:sz="0" w:space="0" w:color="auto"/>
        <w:bottom w:val="none" w:sz="0" w:space="0" w:color="auto"/>
        <w:right w:val="none" w:sz="0" w:space="0" w:color="auto"/>
      </w:divBdr>
      <w:divsChild>
        <w:div w:id="1161509936">
          <w:marLeft w:val="0"/>
          <w:marRight w:val="0"/>
          <w:marTop w:val="0"/>
          <w:marBottom w:val="0"/>
          <w:divBdr>
            <w:top w:val="none" w:sz="0" w:space="0" w:color="auto"/>
            <w:left w:val="none" w:sz="0" w:space="0" w:color="auto"/>
            <w:bottom w:val="none" w:sz="0" w:space="0" w:color="auto"/>
            <w:right w:val="none" w:sz="0" w:space="0" w:color="auto"/>
          </w:divBdr>
        </w:div>
      </w:divsChild>
    </w:div>
    <w:div w:id="533888526">
      <w:bodyDiv w:val="1"/>
      <w:marLeft w:val="0"/>
      <w:marRight w:val="0"/>
      <w:marTop w:val="0"/>
      <w:marBottom w:val="0"/>
      <w:divBdr>
        <w:top w:val="none" w:sz="0" w:space="0" w:color="auto"/>
        <w:left w:val="none" w:sz="0" w:space="0" w:color="auto"/>
        <w:bottom w:val="none" w:sz="0" w:space="0" w:color="auto"/>
        <w:right w:val="none" w:sz="0" w:space="0" w:color="auto"/>
      </w:divBdr>
    </w:div>
    <w:div w:id="648097357">
      <w:bodyDiv w:val="1"/>
      <w:marLeft w:val="0"/>
      <w:marRight w:val="0"/>
      <w:marTop w:val="0"/>
      <w:marBottom w:val="0"/>
      <w:divBdr>
        <w:top w:val="none" w:sz="0" w:space="0" w:color="auto"/>
        <w:left w:val="none" w:sz="0" w:space="0" w:color="auto"/>
        <w:bottom w:val="none" w:sz="0" w:space="0" w:color="auto"/>
        <w:right w:val="none" w:sz="0" w:space="0" w:color="auto"/>
      </w:divBdr>
      <w:divsChild>
        <w:div w:id="1218207078">
          <w:marLeft w:val="0"/>
          <w:marRight w:val="0"/>
          <w:marTop w:val="0"/>
          <w:marBottom w:val="0"/>
          <w:divBdr>
            <w:top w:val="none" w:sz="0" w:space="0" w:color="auto"/>
            <w:left w:val="none" w:sz="0" w:space="0" w:color="auto"/>
            <w:bottom w:val="none" w:sz="0" w:space="0" w:color="auto"/>
            <w:right w:val="none" w:sz="0" w:space="0" w:color="auto"/>
          </w:divBdr>
          <w:divsChild>
            <w:div w:id="1858083947">
              <w:marLeft w:val="-225"/>
              <w:marRight w:val="-225"/>
              <w:marTop w:val="0"/>
              <w:marBottom w:val="0"/>
              <w:divBdr>
                <w:top w:val="none" w:sz="0" w:space="0" w:color="auto"/>
                <w:left w:val="none" w:sz="0" w:space="0" w:color="auto"/>
                <w:bottom w:val="none" w:sz="0" w:space="0" w:color="auto"/>
                <w:right w:val="none" w:sz="0" w:space="0" w:color="auto"/>
              </w:divBdr>
              <w:divsChild>
                <w:div w:id="1396778259">
                  <w:marLeft w:val="0"/>
                  <w:marRight w:val="0"/>
                  <w:marTop w:val="0"/>
                  <w:marBottom w:val="0"/>
                  <w:divBdr>
                    <w:top w:val="none" w:sz="0" w:space="0" w:color="auto"/>
                    <w:left w:val="none" w:sz="0" w:space="0" w:color="auto"/>
                    <w:bottom w:val="none" w:sz="0" w:space="0" w:color="auto"/>
                    <w:right w:val="none" w:sz="0" w:space="0" w:color="auto"/>
                  </w:divBdr>
                  <w:divsChild>
                    <w:div w:id="574895633">
                      <w:marLeft w:val="-225"/>
                      <w:marRight w:val="-225"/>
                      <w:marTop w:val="0"/>
                      <w:marBottom w:val="0"/>
                      <w:divBdr>
                        <w:top w:val="none" w:sz="0" w:space="0" w:color="auto"/>
                        <w:left w:val="none" w:sz="0" w:space="0" w:color="auto"/>
                        <w:bottom w:val="none" w:sz="0" w:space="0" w:color="auto"/>
                        <w:right w:val="none" w:sz="0" w:space="0" w:color="auto"/>
                      </w:divBdr>
                      <w:divsChild>
                        <w:div w:id="2117630678">
                          <w:marLeft w:val="0"/>
                          <w:marRight w:val="0"/>
                          <w:marTop w:val="0"/>
                          <w:marBottom w:val="0"/>
                          <w:divBdr>
                            <w:top w:val="none" w:sz="0" w:space="0" w:color="auto"/>
                            <w:left w:val="none" w:sz="0" w:space="0" w:color="auto"/>
                            <w:bottom w:val="none" w:sz="0" w:space="0" w:color="auto"/>
                            <w:right w:val="none" w:sz="0" w:space="0" w:color="auto"/>
                          </w:divBdr>
                          <w:divsChild>
                            <w:div w:id="696660015">
                              <w:marLeft w:val="-225"/>
                              <w:marRight w:val="-225"/>
                              <w:marTop w:val="0"/>
                              <w:marBottom w:val="0"/>
                              <w:divBdr>
                                <w:top w:val="none" w:sz="0" w:space="0" w:color="auto"/>
                                <w:left w:val="none" w:sz="0" w:space="0" w:color="auto"/>
                                <w:bottom w:val="none" w:sz="0" w:space="0" w:color="auto"/>
                                <w:right w:val="none" w:sz="0" w:space="0" w:color="auto"/>
                              </w:divBdr>
                              <w:divsChild>
                                <w:div w:id="1507355877">
                                  <w:marLeft w:val="0"/>
                                  <w:marRight w:val="0"/>
                                  <w:marTop w:val="0"/>
                                  <w:marBottom w:val="0"/>
                                  <w:divBdr>
                                    <w:top w:val="none" w:sz="0" w:space="0" w:color="auto"/>
                                    <w:left w:val="none" w:sz="0" w:space="0" w:color="auto"/>
                                    <w:bottom w:val="none" w:sz="0" w:space="0" w:color="auto"/>
                                    <w:right w:val="none" w:sz="0" w:space="0" w:color="auto"/>
                                  </w:divBdr>
                                  <w:divsChild>
                                    <w:div w:id="1594432656">
                                      <w:marLeft w:val="-225"/>
                                      <w:marRight w:val="-225"/>
                                      <w:marTop w:val="0"/>
                                      <w:marBottom w:val="1125"/>
                                      <w:divBdr>
                                        <w:top w:val="none" w:sz="0" w:space="0" w:color="auto"/>
                                        <w:left w:val="none" w:sz="0" w:space="0" w:color="auto"/>
                                        <w:bottom w:val="none" w:sz="0" w:space="0" w:color="auto"/>
                                        <w:right w:val="none" w:sz="0" w:space="0" w:color="auto"/>
                                      </w:divBdr>
                                      <w:divsChild>
                                        <w:div w:id="810173447">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8648496">
      <w:bodyDiv w:val="1"/>
      <w:marLeft w:val="0"/>
      <w:marRight w:val="0"/>
      <w:marTop w:val="0"/>
      <w:marBottom w:val="0"/>
      <w:divBdr>
        <w:top w:val="none" w:sz="0" w:space="0" w:color="auto"/>
        <w:left w:val="none" w:sz="0" w:space="0" w:color="auto"/>
        <w:bottom w:val="none" w:sz="0" w:space="0" w:color="auto"/>
        <w:right w:val="none" w:sz="0" w:space="0" w:color="auto"/>
      </w:divBdr>
    </w:div>
    <w:div w:id="765078072">
      <w:bodyDiv w:val="1"/>
      <w:marLeft w:val="0"/>
      <w:marRight w:val="0"/>
      <w:marTop w:val="0"/>
      <w:marBottom w:val="0"/>
      <w:divBdr>
        <w:top w:val="none" w:sz="0" w:space="0" w:color="auto"/>
        <w:left w:val="none" w:sz="0" w:space="0" w:color="auto"/>
        <w:bottom w:val="none" w:sz="0" w:space="0" w:color="auto"/>
        <w:right w:val="none" w:sz="0" w:space="0" w:color="auto"/>
      </w:divBdr>
    </w:div>
    <w:div w:id="807553713">
      <w:bodyDiv w:val="1"/>
      <w:marLeft w:val="0"/>
      <w:marRight w:val="0"/>
      <w:marTop w:val="0"/>
      <w:marBottom w:val="0"/>
      <w:divBdr>
        <w:top w:val="none" w:sz="0" w:space="0" w:color="auto"/>
        <w:left w:val="none" w:sz="0" w:space="0" w:color="auto"/>
        <w:bottom w:val="none" w:sz="0" w:space="0" w:color="auto"/>
        <w:right w:val="none" w:sz="0" w:space="0" w:color="auto"/>
      </w:divBdr>
    </w:div>
    <w:div w:id="820930497">
      <w:bodyDiv w:val="1"/>
      <w:marLeft w:val="0"/>
      <w:marRight w:val="0"/>
      <w:marTop w:val="0"/>
      <w:marBottom w:val="0"/>
      <w:divBdr>
        <w:top w:val="none" w:sz="0" w:space="0" w:color="auto"/>
        <w:left w:val="none" w:sz="0" w:space="0" w:color="auto"/>
        <w:bottom w:val="none" w:sz="0" w:space="0" w:color="auto"/>
        <w:right w:val="none" w:sz="0" w:space="0" w:color="auto"/>
      </w:divBdr>
      <w:divsChild>
        <w:div w:id="1506749758">
          <w:marLeft w:val="0"/>
          <w:marRight w:val="0"/>
          <w:marTop w:val="0"/>
          <w:marBottom w:val="0"/>
          <w:divBdr>
            <w:top w:val="none" w:sz="0" w:space="0" w:color="auto"/>
            <w:left w:val="none" w:sz="0" w:space="0" w:color="auto"/>
            <w:bottom w:val="none" w:sz="0" w:space="0" w:color="auto"/>
            <w:right w:val="none" w:sz="0" w:space="0" w:color="auto"/>
          </w:divBdr>
          <w:divsChild>
            <w:div w:id="1391684314">
              <w:marLeft w:val="-225"/>
              <w:marRight w:val="-225"/>
              <w:marTop w:val="0"/>
              <w:marBottom w:val="0"/>
              <w:divBdr>
                <w:top w:val="none" w:sz="0" w:space="0" w:color="auto"/>
                <w:left w:val="none" w:sz="0" w:space="0" w:color="auto"/>
                <w:bottom w:val="none" w:sz="0" w:space="0" w:color="auto"/>
                <w:right w:val="none" w:sz="0" w:space="0" w:color="auto"/>
              </w:divBdr>
              <w:divsChild>
                <w:div w:id="1658069533">
                  <w:marLeft w:val="0"/>
                  <w:marRight w:val="0"/>
                  <w:marTop w:val="0"/>
                  <w:marBottom w:val="0"/>
                  <w:divBdr>
                    <w:top w:val="none" w:sz="0" w:space="0" w:color="auto"/>
                    <w:left w:val="none" w:sz="0" w:space="0" w:color="auto"/>
                    <w:bottom w:val="none" w:sz="0" w:space="0" w:color="auto"/>
                    <w:right w:val="none" w:sz="0" w:space="0" w:color="auto"/>
                  </w:divBdr>
                  <w:divsChild>
                    <w:div w:id="1065254513">
                      <w:marLeft w:val="-225"/>
                      <w:marRight w:val="-225"/>
                      <w:marTop w:val="0"/>
                      <w:marBottom w:val="0"/>
                      <w:divBdr>
                        <w:top w:val="none" w:sz="0" w:space="0" w:color="auto"/>
                        <w:left w:val="none" w:sz="0" w:space="0" w:color="auto"/>
                        <w:bottom w:val="none" w:sz="0" w:space="0" w:color="auto"/>
                        <w:right w:val="none" w:sz="0" w:space="0" w:color="auto"/>
                      </w:divBdr>
                      <w:divsChild>
                        <w:div w:id="1045182086">
                          <w:marLeft w:val="0"/>
                          <w:marRight w:val="0"/>
                          <w:marTop w:val="0"/>
                          <w:marBottom w:val="0"/>
                          <w:divBdr>
                            <w:top w:val="none" w:sz="0" w:space="0" w:color="auto"/>
                            <w:left w:val="none" w:sz="0" w:space="0" w:color="auto"/>
                            <w:bottom w:val="none" w:sz="0" w:space="0" w:color="auto"/>
                            <w:right w:val="none" w:sz="0" w:space="0" w:color="auto"/>
                          </w:divBdr>
                          <w:divsChild>
                            <w:div w:id="146408330">
                              <w:marLeft w:val="-225"/>
                              <w:marRight w:val="-225"/>
                              <w:marTop w:val="0"/>
                              <w:marBottom w:val="0"/>
                              <w:divBdr>
                                <w:top w:val="none" w:sz="0" w:space="0" w:color="auto"/>
                                <w:left w:val="none" w:sz="0" w:space="0" w:color="auto"/>
                                <w:bottom w:val="none" w:sz="0" w:space="0" w:color="auto"/>
                                <w:right w:val="none" w:sz="0" w:space="0" w:color="auto"/>
                              </w:divBdr>
                              <w:divsChild>
                                <w:div w:id="1917786714">
                                  <w:marLeft w:val="0"/>
                                  <w:marRight w:val="0"/>
                                  <w:marTop w:val="0"/>
                                  <w:marBottom w:val="0"/>
                                  <w:divBdr>
                                    <w:top w:val="none" w:sz="0" w:space="0" w:color="auto"/>
                                    <w:left w:val="none" w:sz="0" w:space="0" w:color="auto"/>
                                    <w:bottom w:val="none" w:sz="0" w:space="0" w:color="auto"/>
                                    <w:right w:val="none" w:sz="0" w:space="0" w:color="auto"/>
                                  </w:divBdr>
                                  <w:divsChild>
                                    <w:div w:id="1700620739">
                                      <w:marLeft w:val="-225"/>
                                      <w:marRight w:val="-225"/>
                                      <w:marTop w:val="0"/>
                                      <w:marBottom w:val="1125"/>
                                      <w:divBdr>
                                        <w:top w:val="none" w:sz="0" w:space="0" w:color="auto"/>
                                        <w:left w:val="none" w:sz="0" w:space="0" w:color="auto"/>
                                        <w:bottom w:val="none" w:sz="0" w:space="0" w:color="auto"/>
                                        <w:right w:val="none" w:sz="0" w:space="0" w:color="auto"/>
                                      </w:divBdr>
                                      <w:divsChild>
                                        <w:div w:id="1772553736">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162749">
      <w:bodyDiv w:val="1"/>
      <w:marLeft w:val="0"/>
      <w:marRight w:val="0"/>
      <w:marTop w:val="0"/>
      <w:marBottom w:val="0"/>
      <w:divBdr>
        <w:top w:val="none" w:sz="0" w:space="0" w:color="auto"/>
        <w:left w:val="none" w:sz="0" w:space="0" w:color="auto"/>
        <w:bottom w:val="none" w:sz="0" w:space="0" w:color="auto"/>
        <w:right w:val="none" w:sz="0" w:space="0" w:color="auto"/>
      </w:divBdr>
      <w:divsChild>
        <w:div w:id="1308437798">
          <w:marLeft w:val="0"/>
          <w:marRight w:val="0"/>
          <w:marTop w:val="0"/>
          <w:marBottom w:val="0"/>
          <w:divBdr>
            <w:top w:val="none" w:sz="0" w:space="0" w:color="auto"/>
            <w:left w:val="none" w:sz="0" w:space="0" w:color="auto"/>
            <w:bottom w:val="none" w:sz="0" w:space="0" w:color="auto"/>
            <w:right w:val="none" w:sz="0" w:space="0" w:color="auto"/>
          </w:divBdr>
        </w:div>
      </w:divsChild>
    </w:div>
    <w:div w:id="840512919">
      <w:bodyDiv w:val="1"/>
      <w:marLeft w:val="0"/>
      <w:marRight w:val="0"/>
      <w:marTop w:val="0"/>
      <w:marBottom w:val="0"/>
      <w:divBdr>
        <w:top w:val="none" w:sz="0" w:space="0" w:color="auto"/>
        <w:left w:val="none" w:sz="0" w:space="0" w:color="auto"/>
        <w:bottom w:val="none" w:sz="0" w:space="0" w:color="auto"/>
        <w:right w:val="none" w:sz="0" w:space="0" w:color="auto"/>
      </w:divBdr>
    </w:div>
    <w:div w:id="891968560">
      <w:bodyDiv w:val="1"/>
      <w:marLeft w:val="0"/>
      <w:marRight w:val="0"/>
      <w:marTop w:val="0"/>
      <w:marBottom w:val="0"/>
      <w:divBdr>
        <w:top w:val="none" w:sz="0" w:space="0" w:color="auto"/>
        <w:left w:val="none" w:sz="0" w:space="0" w:color="auto"/>
        <w:bottom w:val="none" w:sz="0" w:space="0" w:color="auto"/>
        <w:right w:val="none" w:sz="0" w:space="0" w:color="auto"/>
      </w:divBdr>
      <w:divsChild>
        <w:div w:id="893277568">
          <w:marLeft w:val="0"/>
          <w:marRight w:val="0"/>
          <w:marTop w:val="0"/>
          <w:marBottom w:val="0"/>
          <w:divBdr>
            <w:top w:val="none" w:sz="0" w:space="0" w:color="auto"/>
            <w:left w:val="none" w:sz="0" w:space="0" w:color="auto"/>
            <w:bottom w:val="none" w:sz="0" w:space="0" w:color="auto"/>
            <w:right w:val="none" w:sz="0" w:space="0" w:color="auto"/>
          </w:divBdr>
        </w:div>
      </w:divsChild>
    </w:div>
    <w:div w:id="898827185">
      <w:bodyDiv w:val="1"/>
      <w:marLeft w:val="0"/>
      <w:marRight w:val="0"/>
      <w:marTop w:val="0"/>
      <w:marBottom w:val="0"/>
      <w:divBdr>
        <w:top w:val="none" w:sz="0" w:space="0" w:color="auto"/>
        <w:left w:val="none" w:sz="0" w:space="0" w:color="auto"/>
        <w:bottom w:val="none" w:sz="0" w:space="0" w:color="auto"/>
        <w:right w:val="none" w:sz="0" w:space="0" w:color="auto"/>
      </w:divBdr>
    </w:div>
    <w:div w:id="1109469361">
      <w:bodyDiv w:val="1"/>
      <w:marLeft w:val="0"/>
      <w:marRight w:val="0"/>
      <w:marTop w:val="0"/>
      <w:marBottom w:val="0"/>
      <w:divBdr>
        <w:top w:val="none" w:sz="0" w:space="0" w:color="auto"/>
        <w:left w:val="none" w:sz="0" w:space="0" w:color="auto"/>
        <w:bottom w:val="none" w:sz="0" w:space="0" w:color="auto"/>
        <w:right w:val="none" w:sz="0" w:space="0" w:color="auto"/>
      </w:divBdr>
      <w:divsChild>
        <w:div w:id="664474333">
          <w:marLeft w:val="0"/>
          <w:marRight w:val="0"/>
          <w:marTop w:val="0"/>
          <w:marBottom w:val="0"/>
          <w:divBdr>
            <w:top w:val="none" w:sz="0" w:space="0" w:color="auto"/>
            <w:left w:val="none" w:sz="0" w:space="0" w:color="auto"/>
            <w:bottom w:val="none" w:sz="0" w:space="0" w:color="auto"/>
            <w:right w:val="none" w:sz="0" w:space="0" w:color="auto"/>
          </w:divBdr>
          <w:divsChild>
            <w:div w:id="441921287">
              <w:marLeft w:val="-225"/>
              <w:marRight w:val="-225"/>
              <w:marTop w:val="0"/>
              <w:marBottom w:val="0"/>
              <w:divBdr>
                <w:top w:val="none" w:sz="0" w:space="0" w:color="auto"/>
                <w:left w:val="none" w:sz="0" w:space="0" w:color="auto"/>
                <w:bottom w:val="none" w:sz="0" w:space="0" w:color="auto"/>
                <w:right w:val="none" w:sz="0" w:space="0" w:color="auto"/>
              </w:divBdr>
              <w:divsChild>
                <w:div w:id="738402504">
                  <w:marLeft w:val="0"/>
                  <w:marRight w:val="0"/>
                  <w:marTop w:val="0"/>
                  <w:marBottom w:val="0"/>
                  <w:divBdr>
                    <w:top w:val="none" w:sz="0" w:space="0" w:color="auto"/>
                    <w:left w:val="none" w:sz="0" w:space="0" w:color="auto"/>
                    <w:bottom w:val="none" w:sz="0" w:space="0" w:color="auto"/>
                    <w:right w:val="none" w:sz="0" w:space="0" w:color="auto"/>
                  </w:divBdr>
                  <w:divsChild>
                    <w:div w:id="514271703">
                      <w:marLeft w:val="-225"/>
                      <w:marRight w:val="-225"/>
                      <w:marTop w:val="0"/>
                      <w:marBottom w:val="0"/>
                      <w:divBdr>
                        <w:top w:val="none" w:sz="0" w:space="0" w:color="auto"/>
                        <w:left w:val="none" w:sz="0" w:space="0" w:color="auto"/>
                        <w:bottom w:val="none" w:sz="0" w:space="0" w:color="auto"/>
                        <w:right w:val="none" w:sz="0" w:space="0" w:color="auto"/>
                      </w:divBdr>
                      <w:divsChild>
                        <w:div w:id="1006402182">
                          <w:marLeft w:val="0"/>
                          <w:marRight w:val="0"/>
                          <w:marTop w:val="0"/>
                          <w:marBottom w:val="0"/>
                          <w:divBdr>
                            <w:top w:val="none" w:sz="0" w:space="0" w:color="auto"/>
                            <w:left w:val="none" w:sz="0" w:space="0" w:color="auto"/>
                            <w:bottom w:val="none" w:sz="0" w:space="0" w:color="auto"/>
                            <w:right w:val="none" w:sz="0" w:space="0" w:color="auto"/>
                          </w:divBdr>
                          <w:divsChild>
                            <w:div w:id="418067725">
                              <w:marLeft w:val="-225"/>
                              <w:marRight w:val="-225"/>
                              <w:marTop w:val="0"/>
                              <w:marBottom w:val="0"/>
                              <w:divBdr>
                                <w:top w:val="none" w:sz="0" w:space="0" w:color="auto"/>
                                <w:left w:val="none" w:sz="0" w:space="0" w:color="auto"/>
                                <w:bottom w:val="none" w:sz="0" w:space="0" w:color="auto"/>
                                <w:right w:val="none" w:sz="0" w:space="0" w:color="auto"/>
                              </w:divBdr>
                              <w:divsChild>
                                <w:div w:id="1044251992">
                                  <w:marLeft w:val="0"/>
                                  <w:marRight w:val="0"/>
                                  <w:marTop w:val="0"/>
                                  <w:marBottom w:val="0"/>
                                  <w:divBdr>
                                    <w:top w:val="none" w:sz="0" w:space="0" w:color="auto"/>
                                    <w:left w:val="none" w:sz="0" w:space="0" w:color="auto"/>
                                    <w:bottom w:val="none" w:sz="0" w:space="0" w:color="auto"/>
                                    <w:right w:val="none" w:sz="0" w:space="0" w:color="auto"/>
                                  </w:divBdr>
                                  <w:divsChild>
                                    <w:div w:id="318578785">
                                      <w:marLeft w:val="-225"/>
                                      <w:marRight w:val="-225"/>
                                      <w:marTop w:val="0"/>
                                      <w:marBottom w:val="1125"/>
                                      <w:divBdr>
                                        <w:top w:val="none" w:sz="0" w:space="0" w:color="auto"/>
                                        <w:left w:val="none" w:sz="0" w:space="0" w:color="auto"/>
                                        <w:bottom w:val="none" w:sz="0" w:space="0" w:color="auto"/>
                                        <w:right w:val="none" w:sz="0" w:space="0" w:color="auto"/>
                                      </w:divBdr>
                                      <w:divsChild>
                                        <w:div w:id="714308233">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3522804">
      <w:bodyDiv w:val="1"/>
      <w:marLeft w:val="0"/>
      <w:marRight w:val="0"/>
      <w:marTop w:val="0"/>
      <w:marBottom w:val="0"/>
      <w:divBdr>
        <w:top w:val="none" w:sz="0" w:space="0" w:color="auto"/>
        <w:left w:val="none" w:sz="0" w:space="0" w:color="auto"/>
        <w:bottom w:val="none" w:sz="0" w:space="0" w:color="auto"/>
        <w:right w:val="none" w:sz="0" w:space="0" w:color="auto"/>
      </w:divBdr>
      <w:divsChild>
        <w:div w:id="999819339">
          <w:marLeft w:val="0"/>
          <w:marRight w:val="0"/>
          <w:marTop w:val="0"/>
          <w:marBottom w:val="0"/>
          <w:divBdr>
            <w:top w:val="none" w:sz="0" w:space="0" w:color="auto"/>
            <w:left w:val="none" w:sz="0" w:space="0" w:color="auto"/>
            <w:bottom w:val="none" w:sz="0" w:space="0" w:color="auto"/>
            <w:right w:val="none" w:sz="0" w:space="0" w:color="auto"/>
          </w:divBdr>
        </w:div>
      </w:divsChild>
    </w:div>
    <w:div w:id="1129664990">
      <w:bodyDiv w:val="1"/>
      <w:marLeft w:val="0"/>
      <w:marRight w:val="0"/>
      <w:marTop w:val="0"/>
      <w:marBottom w:val="0"/>
      <w:divBdr>
        <w:top w:val="none" w:sz="0" w:space="0" w:color="auto"/>
        <w:left w:val="none" w:sz="0" w:space="0" w:color="auto"/>
        <w:bottom w:val="none" w:sz="0" w:space="0" w:color="auto"/>
        <w:right w:val="none" w:sz="0" w:space="0" w:color="auto"/>
      </w:divBdr>
      <w:divsChild>
        <w:div w:id="804127309">
          <w:marLeft w:val="0"/>
          <w:marRight w:val="0"/>
          <w:marTop w:val="0"/>
          <w:marBottom w:val="0"/>
          <w:divBdr>
            <w:top w:val="none" w:sz="0" w:space="0" w:color="auto"/>
            <w:left w:val="none" w:sz="0" w:space="0" w:color="auto"/>
            <w:bottom w:val="none" w:sz="0" w:space="0" w:color="auto"/>
            <w:right w:val="none" w:sz="0" w:space="0" w:color="auto"/>
          </w:divBdr>
          <w:divsChild>
            <w:div w:id="622149618">
              <w:marLeft w:val="-225"/>
              <w:marRight w:val="-225"/>
              <w:marTop w:val="0"/>
              <w:marBottom w:val="0"/>
              <w:divBdr>
                <w:top w:val="none" w:sz="0" w:space="0" w:color="auto"/>
                <w:left w:val="none" w:sz="0" w:space="0" w:color="auto"/>
                <w:bottom w:val="none" w:sz="0" w:space="0" w:color="auto"/>
                <w:right w:val="none" w:sz="0" w:space="0" w:color="auto"/>
              </w:divBdr>
              <w:divsChild>
                <w:div w:id="632448495">
                  <w:marLeft w:val="0"/>
                  <w:marRight w:val="0"/>
                  <w:marTop w:val="0"/>
                  <w:marBottom w:val="0"/>
                  <w:divBdr>
                    <w:top w:val="none" w:sz="0" w:space="0" w:color="auto"/>
                    <w:left w:val="none" w:sz="0" w:space="0" w:color="auto"/>
                    <w:bottom w:val="none" w:sz="0" w:space="0" w:color="auto"/>
                    <w:right w:val="none" w:sz="0" w:space="0" w:color="auto"/>
                  </w:divBdr>
                  <w:divsChild>
                    <w:div w:id="1246956863">
                      <w:marLeft w:val="-225"/>
                      <w:marRight w:val="-225"/>
                      <w:marTop w:val="0"/>
                      <w:marBottom w:val="0"/>
                      <w:divBdr>
                        <w:top w:val="none" w:sz="0" w:space="0" w:color="auto"/>
                        <w:left w:val="none" w:sz="0" w:space="0" w:color="auto"/>
                        <w:bottom w:val="none" w:sz="0" w:space="0" w:color="auto"/>
                        <w:right w:val="none" w:sz="0" w:space="0" w:color="auto"/>
                      </w:divBdr>
                      <w:divsChild>
                        <w:div w:id="1734616125">
                          <w:marLeft w:val="0"/>
                          <w:marRight w:val="0"/>
                          <w:marTop w:val="0"/>
                          <w:marBottom w:val="0"/>
                          <w:divBdr>
                            <w:top w:val="none" w:sz="0" w:space="0" w:color="auto"/>
                            <w:left w:val="none" w:sz="0" w:space="0" w:color="auto"/>
                            <w:bottom w:val="none" w:sz="0" w:space="0" w:color="auto"/>
                            <w:right w:val="none" w:sz="0" w:space="0" w:color="auto"/>
                          </w:divBdr>
                          <w:divsChild>
                            <w:div w:id="1063913131">
                              <w:marLeft w:val="-225"/>
                              <w:marRight w:val="-225"/>
                              <w:marTop w:val="0"/>
                              <w:marBottom w:val="0"/>
                              <w:divBdr>
                                <w:top w:val="none" w:sz="0" w:space="0" w:color="auto"/>
                                <w:left w:val="none" w:sz="0" w:space="0" w:color="auto"/>
                                <w:bottom w:val="none" w:sz="0" w:space="0" w:color="auto"/>
                                <w:right w:val="none" w:sz="0" w:space="0" w:color="auto"/>
                              </w:divBdr>
                              <w:divsChild>
                                <w:div w:id="107313536">
                                  <w:marLeft w:val="0"/>
                                  <w:marRight w:val="0"/>
                                  <w:marTop w:val="0"/>
                                  <w:marBottom w:val="0"/>
                                  <w:divBdr>
                                    <w:top w:val="none" w:sz="0" w:space="0" w:color="auto"/>
                                    <w:left w:val="none" w:sz="0" w:space="0" w:color="auto"/>
                                    <w:bottom w:val="none" w:sz="0" w:space="0" w:color="auto"/>
                                    <w:right w:val="none" w:sz="0" w:space="0" w:color="auto"/>
                                  </w:divBdr>
                                  <w:divsChild>
                                    <w:div w:id="940067498">
                                      <w:marLeft w:val="-225"/>
                                      <w:marRight w:val="-225"/>
                                      <w:marTop w:val="0"/>
                                      <w:marBottom w:val="1125"/>
                                      <w:divBdr>
                                        <w:top w:val="none" w:sz="0" w:space="0" w:color="auto"/>
                                        <w:left w:val="none" w:sz="0" w:space="0" w:color="auto"/>
                                        <w:bottom w:val="none" w:sz="0" w:space="0" w:color="auto"/>
                                        <w:right w:val="none" w:sz="0" w:space="0" w:color="auto"/>
                                      </w:divBdr>
                                      <w:divsChild>
                                        <w:div w:id="1975138766">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738137">
      <w:bodyDiv w:val="1"/>
      <w:marLeft w:val="0"/>
      <w:marRight w:val="0"/>
      <w:marTop w:val="0"/>
      <w:marBottom w:val="0"/>
      <w:divBdr>
        <w:top w:val="none" w:sz="0" w:space="0" w:color="auto"/>
        <w:left w:val="none" w:sz="0" w:space="0" w:color="auto"/>
        <w:bottom w:val="none" w:sz="0" w:space="0" w:color="auto"/>
        <w:right w:val="none" w:sz="0" w:space="0" w:color="auto"/>
      </w:divBdr>
    </w:div>
    <w:div w:id="1260216651">
      <w:bodyDiv w:val="1"/>
      <w:marLeft w:val="0"/>
      <w:marRight w:val="0"/>
      <w:marTop w:val="0"/>
      <w:marBottom w:val="0"/>
      <w:divBdr>
        <w:top w:val="none" w:sz="0" w:space="0" w:color="auto"/>
        <w:left w:val="none" w:sz="0" w:space="0" w:color="auto"/>
        <w:bottom w:val="none" w:sz="0" w:space="0" w:color="auto"/>
        <w:right w:val="none" w:sz="0" w:space="0" w:color="auto"/>
      </w:divBdr>
    </w:div>
    <w:div w:id="1328022902">
      <w:bodyDiv w:val="1"/>
      <w:marLeft w:val="0"/>
      <w:marRight w:val="0"/>
      <w:marTop w:val="0"/>
      <w:marBottom w:val="0"/>
      <w:divBdr>
        <w:top w:val="none" w:sz="0" w:space="0" w:color="auto"/>
        <w:left w:val="none" w:sz="0" w:space="0" w:color="auto"/>
        <w:bottom w:val="none" w:sz="0" w:space="0" w:color="auto"/>
        <w:right w:val="none" w:sz="0" w:space="0" w:color="auto"/>
      </w:divBdr>
    </w:div>
    <w:div w:id="1328512326">
      <w:bodyDiv w:val="1"/>
      <w:marLeft w:val="0"/>
      <w:marRight w:val="0"/>
      <w:marTop w:val="0"/>
      <w:marBottom w:val="0"/>
      <w:divBdr>
        <w:top w:val="none" w:sz="0" w:space="0" w:color="auto"/>
        <w:left w:val="none" w:sz="0" w:space="0" w:color="auto"/>
        <w:bottom w:val="none" w:sz="0" w:space="0" w:color="auto"/>
        <w:right w:val="none" w:sz="0" w:space="0" w:color="auto"/>
      </w:divBdr>
      <w:divsChild>
        <w:div w:id="1249929182">
          <w:marLeft w:val="0"/>
          <w:marRight w:val="0"/>
          <w:marTop w:val="0"/>
          <w:marBottom w:val="0"/>
          <w:divBdr>
            <w:top w:val="none" w:sz="0" w:space="0" w:color="auto"/>
            <w:left w:val="none" w:sz="0" w:space="0" w:color="auto"/>
            <w:bottom w:val="none" w:sz="0" w:space="0" w:color="auto"/>
            <w:right w:val="none" w:sz="0" w:space="0" w:color="auto"/>
          </w:divBdr>
        </w:div>
      </w:divsChild>
    </w:div>
    <w:div w:id="1641763125">
      <w:bodyDiv w:val="1"/>
      <w:marLeft w:val="0"/>
      <w:marRight w:val="0"/>
      <w:marTop w:val="0"/>
      <w:marBottom w:val="0"/>
      <w:divBdr>
        <w:top w:val="none" w:sz="0" w:space="0" w:color="auto"/>
        <w:left w:val="none" w:sz="0" w:space="0" w:color="auto"/>
        <w:bottom w:val="none" w:sz="0" w:space="0" w:color="auto"/>
        <w:right w:val="none" w:sz="0" w:space="0" w:color="auto"/>
      </w:divBdr>
    </w:div>
    <w:div w:id="1688486013">
      <w:bodyDiv w:val="1"/>
      <w:marLeft w:val="0"/>
      <w:marRight w:val="0"/>
      <w:marTop w:val="0"/>
      <w:marBottom w:val="0"/>
      <w:divBdr>
        <w:top w:val="none" w:sz="0" w:space="0" w:color="auto"/>
        <w:left w:val="none" w:sz="0" w:space="0" w:color="auto"/>
        <w:bottom w:val="none" w:sz="0" w:space="0" w:color="auto"/>
        <w:right w:val="none" w:sz="0" w:space="0" w:color="auto"/>
      </w:divBdr>
    </w:div>
    <w:div w:id="1733431298">
      <w:bodyDiv w:val="1"/>
      <w:marLeft w:val="0"/>
      <w:marRight w:val="0"/>
      <w:marTop w:val="0"/>
      <w:marBottom w:val="0"/>
      <w:divBdr>
        <w:top w:val="none" w:sz="0" w:space="0" w:color="auto"/>
        <w:left w:val="none" w:sz="0" w:space="0" w:color="auto"/>
        <w:bottom w:val="none" w:sz="0" w:space="0" w:color="auto"/>
        <w:right w:val="none" w:sz="0" w:space="0" w:color="auto"/>
      </w:divBdr>
    </w:div>
    <w:div w:id="1743945412">
      <w:bodyDiv w:val="1"/>
      <w:marLeft w:val="0"/>
      <w:marRight w:val="0"/>
      <w:marTop w:val="0"/>
      <w:marBottom w:val="0"/>
      <w:divBdr>
        <w:top w:val="none" w:sz="0" w:space="0" w:color="auto"/>
        <w:left w:val="none" w:sz="0" w:space="0" w:color="auto"/>
        <w:bottom w:val="none" w:sz="0" w:space="0" w:color="auto"/>
        <w:right w:val="none" w:sz="0" w:space="0" w:color="auto"/>
      </w:divBdr>
      <w:divsChild>
        <w:div w:id="1735814368">
          <w:marLeft w:val="0"/>
          <w:marRight w:val="0"/>
          <w:marTop w:val="0"/>
          <w:marBottom w:val="0"/>
          <w:divBdr>
            <w:top w:val="none" w:sz="0" w:space="0" w:color="auto"/>
            <w:left w:val="none" w:sz="0" w:space="0" w:color="auto"/>
            <w:bottom w:val="none" w:sz="0" w:space="0" w:color="auto"/>
            <w:right w:val="none" w:sz="0" w:space="0" w:color="auto"/>
          </w:divBdr>
          <w:divsChild>
            <w:div w:id="634799188">
              <w:marLeft w:val="-225"/>
              <w:marRight w:val="-225"/>
              <w:marTop w:val="0"/>
              <w:marBottom w:val="0"/>
              <w:divBdr>
                <w:top w:val="none" w:sz="0" w:space="0" w:color="auto"/>
                <w:left w:val="none" w:sz="0" w:space="0" w:color="auto"/>
                <w:bottom w:val="none" w:sz="0" w:space="0" w:color="auto"/>
                <w:right w:val="none" w:sz="0" w:space="0" w:color="auto"/>
              </w:divBdr>
              <w:divsChild>
                <w:div w:id="1690831744">
                  <w:marLeft w:val="0"/>
                  <w:marRight w:val="0"/>
                  <w:marTop w:val="0"/>
                  <w:marBottom w:val="0"/>
                  <w:divBdr>
                    <w:top w:val="none" w:sz="0" w:space="0" w:color="auto"/>
                    <w:left w:val="none" w:sz="0" w:space="0" w:color="auto"/>
                    <w:bottom w:val="none" w:sz="0" w:space="0" w:color="auto"/>
                    <w:right w:val="none" w:sz="0" w:space="0" w:color="auto"/>
                  </w:divBdr>
                  <w:divsChild>
                    <w:div w:id="1926256138">
                      <w:marLeft w:val="-225"/>
                      <w:marRight w:val="-225"/>
                      <w:marTop w:val="0"/>
                      <w:marBottom w:val="0"/>
                      <w:divBdr>
                        <w:top w:val="none" w:sz="0" w:space="0" w:color="auto"/>
                        <w:left w:val="none" w:sz="0" w:space="0" w:color="auto"/>
                        <w:bottom w:val="none" w:sz="0" w:space="0" w:color="auto"/>
                        <w:right w:val="none" w:sz="0" w:space="0" w:color="auto"/>
                      </w:divBdr>
                      <w:divsChild>
                        <w:div w:id="1526213234">
                          <w:marLeft w:val="0"/>
                          <w:marRight w:val="0"/>
                          <w:marTop w:val="0"/>
                          <w:marBottom w:val="0"/>
                          <w:divBdr>
                            <w:top w:val="none" w:sz="0" w:space="0" w:color="auto"/>
                            <w:left w:val="none" w:sz="0" w:space="0" w:color="auto"/>
                            <w:bottom w:val="none" w:sz="0" w:space="0" w:color="auto"/>
                            <w:right w:val="none" w:sz="0" w:space="0" w:color="auto"/>
                          </w:divBdr>
                          <w:divsChild>
                            <w:div w:id="169294124">
                              <w:marLeft w:val="-225"/>
                              <w:marRight w:val="-225"/>
                              <w:marTop w:val="0"/>
                              <w:marBottom w:val="0"/>
                              <w:divBdr>
                                <w:top w:val="none" w:sz="0" w:space="0" w:color="auto"/>
                                <w:left w:val="none" w:sz="0" w:space="0" w:color="auto"/>
                                <w:bottom w:val="none" w:sz="0" w:space="0" w:color="auto"/>
                                <w:right w:val="none" w:sz="0" w:space="0" w:color="auto"/>
                              </w:divBdr>
                              <w:divsChild>
                                <w:div w:id="813180864">
                                  <w:marLeft w:val="0"/>
                                  <w:marRight w:val="0"/>
                                  <w:marTop w:val="0"/>
                                  <w:marBottom w:val="0"/>
                                  <w:divBdr>
                                    <w:top w:val="none" w:sz="0" w:space="0" w:color="auto"/>
                                    <w:left w:val="none" w:sz="0" w:space="0" w:color="auto"/>
                                    <w:bottom w:val="none" w:sz="0" w:space="0" w:color="auto"/>
                                    <w:right w:val="none" w:sz="0" w:space="0" w:color="auto"/>
                                  </w:divBdr>
                                  <w:divsChild>
                                    <w:div w:id="1327439008">
                                      <w:marLeft w:val="-225"/>
                                      <w:marRight w:val="-225"/>
                                      <w:marTop w:val="0"/>
                                      <w:marBottom w:val="1125"/>
                                      <w:divBdr>
                                        <w:top w:val="none" w:sz="0" w:space="0" w:color="auto"/>
                                        <w:left w:val="none" w:sz="0" w:space="0" w:color="auto"/>
                                        <w:bottom w:val="none" w:sz="0" w:space="0" w:color="auto"/>
                                        <w:right w:val="none" w:sz="0" w:space="0" w:color="auto"/>
                                      </w:divBdr>
                                      <w:divsChild>
                                        <w:div w:id="902377611">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342461">
      <w:bodyDiv w:val="1"/>
      <w:marLeft w:val="0"/>
      <w:marRight w:val="0"/>
      <w:marTop w:val="0"/>
      <w:marBottom w:val="0"/>
      <w:divBdr>
        <w:top w:val="none" w:sz="0" w:space="0" w:color="auto"/>
        <w:left w:val="none" w:sz="0" w:space="0" w:color="auto"/>
        <w:bottom w:val="none" w:sz="0" w:space="0" w:color="auto"/>
        <w:right w:val="none" w:sz="0" w:space="0" w:color="auto"/>
      </w:divBdr>
      <w:divsChild>
        <w:div w:id="544173100">
          <w:marLeft w:val="0"/>
          <w:marRight w:val="0"/>
          <w:marTop w:val="0"/>
          <w:marBottom w:val="0"/>
          <w:divBdr>
            <w:top w:val="none" w:sz="0" w:space="0" w:color="auto"/>
            <w:left w:val="none" w:sz="0" w:space="0" w:color="auto"/>
            <w:bottom w:val="none" w:sz="0" w:space="0" w:color="auto"/>
            <w:right w:val="none" w:sz="0" w:space="0" w:color="auto"/>
          </w:divBdr>
          <w:divsChild>
            <w:div w:id="180777112">
              <w:marLeft w:val="-225"/>
              <w:marRight w:val="-225"/>
              <w:marTop w:val="0"/>
              <w:marBottom w:val="0"/>
              <w:divBdr>
                <w:top w:val="none" w:sz="0" w:space="0" w:color="auto"/>
                <w:left w:val="none" w:sz="0" w:space="0" w:color="auto"/>
                <w:bottom w:val="none" w:sz="0" w:space="0" w:color="auto"/>
                <w:right w:val="none" w:sz="0" w:space="0" w:color="auto"/>
              </w:divBdr>
              <w:divsChild>
                <w:div w:id="1718696691">
                  <w:marLeft w:val="0"/>
                  <w:marRight w:val="0"/>
                  <w:marTop w:val="0"/>
                  <w:marBottom w:val="0"/>
                  <w:divBdr>
                    <w:top w:val="none" w:sz="0" w:space="0" w:color="auto"/>
                    <w:left w:val="none" w:sz="0" w:space="0" w:color="auto"/>
                    <w:bottom w:val="none" w:sz="0" w:space="0" w:color="auto"/>
                    <w:right w:val="none" w:sz="0" w:space="0" w:color="auto"/>
                  </w:divBdr>
                  <w:divsChild>
                    <w:div w:id="1821920624">
                      <w:marLeft w:val="-225"/>
                      <w:marRight w:val="-225"/>
                      <w:marTop w:val="0"/>
                      <w:marBottom w:val="0"/>
                      <w:divBdr>
                        <w:top w:val="none" w:sz="0" w:space="0" w:color="auto"/>
                        <w:left w:val="none" w:sz="0" w:space="0" w:color="auto"/>
                        <w:bottom w:val="none" w:sz="0" w:space="0" w:color="auto"/>
                        <w:right w:val="none" w:sz="0" w:space="0" w:color="auto"/>
                      </w:divBdr>
                      <w:divsChild>
                        <w:div w:id="795568572">
                          <w:marLeft w:val="0"/>
                          <w:marRight w:val="0"/>
                          <w:marTop w:val="0"/>
                          <w:marBottom w:val="0"/>
                          <w:divBdr>
                            <w:top w:val="none" w:sz="0" w:space="0" w:color="auto"/>
                            <w:left w:val="none" w:sz="0" w:space="0" w:color="auto"/>
                            <w:bottom w:val="none" w:sz="0" w:space="0" w:color="auto"/>
                            <w:right w:val="none" w:sz="0" w:space="0" w:color="auto"/>
                          </w:divBdr>
                          <w:divsChild>
                            <w:div w:id="1912806386">
                              <w:marLeft w:val="-225"/>
                              <w:marRight w:val="-225"/>
                              <w:marTop w:val="0"/>
                              <w:marBottom w:val="0"/>
                              <w:divBdr>
                                <w:top w:val="none" w:sz="0" w:space="0" w:color="auto"/>
                                <w:left w:val="none" w:sz="0" w:space="0" w:color="auto"/>
                                <w:bottom w:val="none" w:sz="0" w:space="0" w:color="auto"/>
                                <w:right w:val="none" w:sz="0" w:space="0" w:color="auto"/>
                              </w:divBdr>
                              <w:divsChild>
                                <w:div w:id="1016613502">
                                  <w:marLeft w:val="0"/>
                                  <w:marRight w:val="0"/>
                                  <w:marTop w:val="0"/>
                                  <w:marBottom w:val="0"/>
                                  <w:divBdr>
                                    <w:top w:val="none" w:sz="0" w:space="0" w:color="auto"/>
                                    <w:left w:val="none" w:sz="0" w:space="0" w:color="auto"/>
                                    <w:bottom w:val="none" w:sz="0" w:space="0" w:color="auto"/>
                                    <w:right w:val="none" w:sz="0" w:space="0" w:color="auto"/>
                                  </w:divBdr>
                                  <w:divsChild>
                                    <w:div w:id="1467969208">
                                      <w:marLeft w:val="-225"/>
                                      <w:marRight w:val="-225"/>
                                      <w:marTop w:val="0"/>
                                      <w:marBottom w:val="1125"/>
                                      <w:divBdr>
                                        <w:top w:val="none" w:sz="0" w:space="0" w:color="auto"/>
                                        <w:left w:val="none" w:sz="0" w:space="0" w:color="auto"/>
                                        <w:bottom w:val="none" w:sz="0" w:space="0" w:color="auto"/>
                                        <w:right w:val="none" w:sz="0" w:space="0" w:color="auto"/>
                                      </w:divBdr>
                                      <w:divsChild>
                                        <w:div w:id="1743483958">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3538843">
      <w:bodyDiv w:val="1"/>
      <w:marLeft w:val="0"/>
      <w:marRight w:val="0"/>
      <w:marTop w:val="0"/>
      <w:marBottom w:val="0"/>
      <w:divBdr>
        <w:top w:val="none" w:sz="0" w:space="0" w:color="auto"/>
        <w:left w:val="none" w:sz="0" w:space="0" w:color="auto"/>
        <w:bottom w:val="none" w:sz="0" w:space="0" w:color="auto"/>
        <w:right w:val="none" w:sz="0" w:space="0" w:color="auto"/>
      </w:divBdr>
    </w:div>
    <w:div w:id="1895726407">
      <w:bodyDiv w:val="1"/>
      <w:marLeft w:val="0"/>
      <w:marRight w:val="0"/>
      <w:marTop w:val="0"/>
      <w:marBottom w:val="0"/>
      <w:divBdr>
        <w:top w:val="none" w:sz="0" w:space="0" w:color="auto"/>
        <w:left w:val="none" w:sz="0" w:space="0" w:color="auto"/>
        <w:bottom w:val="none" w:sz="0" w:space="0" w:color="auto"/>
        <w:right w:val="none" w:sz="0" w:space="0" w:color="auto"/>
      </w:divBdr>
    </w:div>
    <w:div w:id="1898972805">
      <w:bodyDiv w:val="1"/>
      <w:marLeft w:val="0"/>
      <w:marRight w:val="0"/>
      <w:marTop w:val="0"/>
      <w:marBottom w:val="0"/>
      <w:divBdr>
        <w:top w:val="none" w:sz="0" w:space="0" w:color="auto"/>
        <w:left w:val="none" w:sz="0" w:space="0" w:color="auto"/>
        <w:bottom w:val="none" w:sz="0" w:space="0" w:color="auto"/>
        <w:right w:val="none" w:sz="0" w:space="0" w:color="auto"/>
      </w:divBdr>
    </w:div>
    <w:div w:id="1901553605">
      <w:bodyDiv w:val="1"/>
      <w:marLeft w:val="0"/>
      <w:marRight w:val="0"/>
      <w:marTop w:val="0"/>
      <w:marBottom w:val="0"/>
      <w:divBdr>
        <w:top w:val="none" w:sz="0" w:space="0" w:color="auto"/>
        <w:left w:val="none" w:sz="0" w:space="0" w:color="auto"/>
        <w:bottom w:val="none" w:sz="0" w:space="0" w:color="auto"/>
        <w:right w:val="none" w:sz="0" w:space="0" w:color="auto"/>
      </w:divBdr>
      <w:divsChild>
        <w:div w:id="1107191558">
          <w:marLeft w:val="0"/>
          <w:marRight w:val="0"/>
          <w:marTop w:val="0"/>
          <w:marBottom w:val="0"/>
          <w:divBdr>
            <w:top w:val="none" w:sz="0" w:space="0" w:color="auto"/>
            <w:left w:val="none" w:sz="0" w:space="0" w:color="auto"/>
            <w:bottom w:val="none" w:sz="0" w:space="0" w:color="auto"/>
            <w:right w:val="none" w:sz="0" w:space="0" w:color="auto"/>
          </w:divBdr>
          <w:divsChild>
            <w:div w:id="1386567454">
              <w:marLeft w:val="-225"/>
              <w:marRight w:val="-225"/>
              <w:marTop w:val="0"/>
              <w:marBottom w:val="0"/>
              <w:divBdr>
                <w:top w:val="none" w:sz="0" w:space="0" w:color="auto"/>
                <w:left w:val="none" w:sz="0" w:space="0" w:color="auto"/>
                <w:bottom w:val="none" w:sz="0" w:space="0" w:color="auto"/>
                <w:right w:val="none" w:sz="0" w:space="0" w:color="auto"/>
              </w:divBdr>
              <w:divsChild>
                <w:div w:id="851916766">
                  <w:marLeft w:val="0"/>
                  <w:marRight w:val="0"/>
                  <w:marTop w:val="0"/>
                  <w:marBottom w:val="0"/>
                  <w:divBdr>
                    <w:top w:val="none" w:sz="0" w:space="0" w:color="auto"/>
                    <w:left w:val="none" w:sz="0" w:space="0" w:color="auto"/>
                    <w:bottom w:val="none" w:sz="0" w:space="0" w:color="auto"/>
                    <w:right w:val="none" w:sz="0" w:space="0" w:color="auto"/>
                  </w:divBdr>
                  <w:divsChild>
                    <w:div w:id="2144422888">
                      <w:marLeft w:val="-225"/>
                      <w:marRight w:val="-225"/>
                      <w:marTop w:val="0"/>
                      <w:marBottom w:val="0"/>
                      <w:divBdr>
                        <w:top w:val="none" w:sz="0" w:space="0" w:color="auto"/>
                        <w:left w:val="none" w:sz="0" w:space="0" w:color="auto"/>
                        <w:bottom w:val="none" w:sz="0" w:space="0" w:color="auto"/>
                        <w:right w:val="none" w:sz="0" w:space="0" w:color="auto"/>
                      </w:divBdr>
                      <w:divsChild>
                        <w:div w:id="1251937281">
                          <w:marLeft w:val="0"/>
                          <w:marRight w:val="0"/>
                          <w:marTop w:val="0"/>
                          <w:marBottom w:val="0"/>
                          <w:divBdr>
                            <w:top w:val="none" w:sz="0" w:space="0" w:color="auto"/>
                            <w:left w:val="none" w:sz="0" w:space="0" w:color="auto"/>
                            <w:bottom w:val="none" w:sz="0" w:space="0" w:color="auto"/>
                            <w:right w:val="none" w:sz="0" w:space="0" w:color="auto"/>
                          </w:divBdr>
                          <w:divsChild>
                            <w:div w:id="810559533">
                              <w:marLeft w:val="-225"/>
                              <w:marRight w:val="-225"/>
                              <w:marTop w:val="0"/>
                              <w:marBottom w:val="0"/>
                              <w:divBdr>
                                <w:top w:val="none" w:sz="0" w:space="0" w:color="auto"/>
                                <w:left w:val="none" w:sz="0" w:space="0" w:color="auto"/>
                                <w:bottom w:val="none" w:sz="0" w:space="0" w:color="auto"/>
                                <w:right w:val="none" w:sz="0" w:space="0" w:color="auto"/>
                              </w:divBdr>
                              <w:divsChild>
                                <w:div w:id="677460390">
                                  <w:marLeft w:val="0"/>
                                  <w:marRight w:val="0"/>
                                  <w:marTop w:val="0"/>
                                  <w:marBottom w:val="0"/>
                                  <w:divBdr>
                                    <w:top w:val="none" w:sz="0" w:space="0" w:color="auto"/>
                                    <w:left w:val="none" w:sz="0" w:space="0" w:color="auto"/>
                                    <w:bottom w:val="none" w:sz="0" w:space="0" w:color="auto"/>
                                    <w:right w:val="none" w:sz="0" w:space="0" w:color="auto"/>
                                  </w:divBdr>
                                  <w:divsChild>
                                    <w:div w:id="1201745677">
                                      <w:marLeft w:val="-225"/>
                                      <w:marRight w:val="-225"/>
                                      <w:marTop w:val="0"/>
                                      <w:marBottom w:val="1125"/>
                                      <w:divBdr>
                                        <w:top w:val="none" w:sz="0" w:space="0" w:color="auto"/>
                                        <w:left w:val="none" w:sz="0" w:space="0" w:color="auto"/>
                                        <w:bottom w:val="none" w:sz="0" w:space="0" w:color="auto"/>
                                        <w:right w:val="none" w:sz="0" w:space="0" w:color="auto"/>
                                      </w:divBdr>
                                      <w:divsChild>
                                        <w:div w:id="173419214">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959309">
      <w:bodyDiv w:val="1"/>
      <w:marLeft w:val="0"/>
      <w:marRight w:val="0"/>
      <w:marTop w:val="0"/>
      <w:marBottom w:val="0"/>
      <w:divBdr>
        <w:top w:val="none" w:sz="0" w:space="0" w:color="auto"/>
        <w:left w:val="none" w:sz="0" w:space="0" w:color="auto"/>
        <w:bottom w:val="none" w:sz="0" w:space="0" w:color="auto"/>
        <w:right w:val="none" w:sz="0" w:space="0" w:color="auto"/>
      </w:divBdr>
      <w:divsChild>
        <w:div w:id="536238603">
          <w:marLeft w:val="0"/>
          <w:marRight w:val="0"/>
          <w:marTop w:val="0"/>
          <w:marBottom w:val="0"/>
          <w:divBdr>
            <w:top w:val="none" w:sz="0" w:space="0" w:color="auto"/>
            <w:left w:val="none" w:sz="0" w:space="0" w:color="auto"/>
            <w:bottom w:val="none" w:sz="0" w:space="0" w:color="auto"/>
            <w:right w:val="none" w:sz="0" w:space="0" w:color="auto"/>
          </w:divBdr>
        </w:div>
      </w:divsChild>
    </w:div>
    <w:div w:id="1938368766">
      <w:bodyDiv w:val="1"/>
      <w:marLeft w:val="0"/>
      <w:marRight w:val="0"/>
      <w:marTop w:val="0"/>
      <w:marBottom w:val="0"/>
      <w:divBdr>
        <w:top w:val="none" w:sz="0" w:space="0" w:color="auto"/>
        <w:left w:val="none" w:sz="0" w:space="0" w:color="auto"/>
        <w:bottom w:val="none" w:sz="0" w:space="0" w:color="auto"/>
        <w:right w:val="none" w:sz="0" w:space="0" w:color="auto"/>
      </w:divBdr>
    </w:div>
    <w:div w:id="1939753009">
      <w:bodyDiv w:val="1"/>
      <w:marLeft w:val="0"/>
      <w:marRight w:val="0"/>
      <w:marTop w:val="0"/>
      <w:marBottom w:val="0"/>
      <w:divBdr>
        <w:top w:val="none" w:sz="0" w:space="0" w:color="auto"/>
        <w:left w:val="none" w:sz="0" w:space="0" w:color="auto"/>
        <w:bottom w:val="none" w:sz="0" w:space="0" w:color="auto"/>
        <w:right w:val="none" w:sz="0" w:space="0" w:color="auto"/>
      </w:divBdr>
      <w:divsChild>
        <w:div w:id="987246541">
          <w:marLeft w:val="0"/>
          <w:marRight w:val="0"/>
          <w:marTop w:val="0"/>
          <w:marBottom w:val="0"/>
          <w:divBdr>
            <w:top w:val="none" w:sz="0" w:space="0" w:color="auto"/>
            <w:left w:val="none" w:sz="0" w:space="0" w:color="auto"/>
            <w:bottom w:val="none" w:sz="0" w:space="0" w:color="auto"/>
            <w:right w:val="none" w:sz="0" w:space="0" w:color="auto"/>
          </w:divBdr>
        </w:div>
      </w:divsChild>
    </w:div>
    <w:div w:id="2023311359">
      <w:bodyDiv w:val="1"/>
      <w:marLeft w:val="0"/>
      <w:marRight w:val="0"/>
      <w:marTop w:val="0"/>
      <w:marBottom w:val="0"/>
      <w:divBdr>
        <w:top w:val="none" w:sz="0" w:space="0" w:color="auto"/>
        <w:left w:val="none" w:sz="0" w:space="0" w:color="auto"/>
        <w:bottom w:val="none" w:sz="0" w:space="0" w:color="auto"/>
        <w:right w:val="none" w:sz="0" w:space="0" w:color="auto"/>
      </w:divBdr>
      <w:divsChild>
        <w:div w:id="1787504165">
          <w:marLeft w:val="0"/>
          <w:marRight w:val="0"/>
          <w:marTop w:val="0"/>
          <w:marBottom w:val="0"/>
          <w:divBdr>
            <w:top w:val="none" w:sz="0" w:space="0" w:color="auto"/>
            <w:left w:val="none" w:sz="0" w:space="0" w:color="auto"/>
            <w:bottom w:val="none" w:sz="0" w:space="0" w:color="auto"/>
            <w:right w:val="none" w:sz="0" w:space="0" w:color="auto"/>
          </w:divBdr>
          <w:divsChild>
            <w:div w:id="278924765">
              <w:marLeft w:val="-225"/>
              <w:marRight w:val="-225"/>
              <w:marTop w:val="0"/>
              <w:marBottom w:val="0"/>
              <w:divBdr>
                <w:top w:val="none" w:sz="0" w:space="0" w:color="auto"/>
                <w:left w:val="none" w:sz="0" w:space="0" w:color="auto"/>
                <w:bottom w:val="none" w:sz="0" w:space="0" w:color="auto"/>
                <w:right w:val="none" w:sz="0" w:space="0" w:color="auto"/>
              </w:divBdr>
              <w:divsChild>
                <w:div w:id="1450006017">
                  <w:marLeft w:val="0"/>
                  <w:marRight w:val="0"/>
                  <w:marTop w:val="0"/>
                  <w:marBottom w:val="0"/>
                  <w:divBdr>
                    <w:top w:val="none" w:sz="0" w:space="0" w:color="auto"/>
                    <w:left w:val="none" w:sz="0" w:space="0" w:color="auto"/>
                    <w:bottom w:val="none" w:sz="0" w:space="0" w:color="auto"/>
                    <w:right w:val="none" w:sz="0" w:space="0" w:color="auto"/>
                  </w:divBdr>
                  <w:divsChild>
                    <w:div w:id="1917007891">
                      <w:marLeft w:val="-225"/>
                      <w:marRight w:val="-225"/>
                      <w:marTop w:val="0"/>
                      <w:marBottom w:val="0"/>
                      <w:divBdr>
                        <w:top w:val="none" w:sz="0" w:space="0" w:color="auto"/>
                        <w:left w:val="none" w:sz="0" w:space="0" w:color="auto"/>
                        <w:bottom w:val="none" w:sz="0" w:space="0" w:color="auto"/>
                        <w:right w:val="none" w:sz="0" w:space="0" w:color="auto"/>
                      </w:divBdr>
                      <w:divsChild>
                        <w:div w:id="945888958">
                          <w:marLeft w:val="0"/>
                          <w:marRight w:val="0"/>
                          <w:marTop w:val="0"/>
                          <w:marBottom w:val="0"/>
                          <w:divBdr>
                            <w:top w:val="none" w:sz="0" w:space="0" w:color="auto"/>
                            <w:left w:val="none" w:sz="0" w:space="0" w:color="auto"/>
                            <w:bottom w:val="none" w:sz="0" w:space="0" w:color="auto"/>
                            <w:right w:val="none" w:sz="0" w:space="0" w:color="auto"/>
                          </w:divBdr>
                          <w:divsChild>
                            <w:div w:id="1363094672">
                              <w:marLeft w:val="-225"/>
                              <w:marRight w:val="-225"/>
                              <w:marTop w:val="0"/>
                              <w:marBottom w:val="0"/>
                              <w:divBdr>
                                <w:top w:val="none" w:sz="0" w:space="0" w:color="auto"/>
                                <w:left w:val="none" w:sz="0" w:space="0" w:color="auto"/>
                                <w:bottom w:val="none" w:sz="0" w:space="0" w:color="auto"/>
                                <w:right w:val="none" w:sz="0" w:space="0" w:color="auto"/>
                              </w:divBdr>
                              <w:divsChild>
                                <w:div w:id="1848447039">
                                  <w:marLeft w:val="0"/>
                                  <w:marRight w:val="0"/>
                                  <w:marTop w:val="0"/>
                                  <w:marBottom w:val="0"/>
                                  <w:divBdr>
                                    <w:top w:val="none" w:sz="0" w:space="0" w:color="auto"/>
                                    <w:left w:val="none" w:sz="0" w:space="0" w:color="auto"/>
                                    <w:bottom w:val="none" w:sz="0" w:space="0" w:color="auto"/>
                                    <w:right w:val="none" w:sz="0" w:space="0" w:color="auto"/>
                                  </w:divBdr>
                                  <w:divsChild>
                                    <w:div w:id="949974107">
                                      <w:marLeft w:val="-225"/>
                                      <w:marRight w:val="-225"/>
                                      <w:marTop w:val="0"/>
                                      <w:marBottom w:val="1125"/>
                                      <w:divBdr>
                                        <w:top w:val="none" w:sz="0" w:space="0" w:color="auto"/>
                                        <w:left w:val="none" w:sz="0" w:space="0" w:color="auto"/>
                                        <w:bottom w:val="none" w:sz="0" w:space="0" w:color="auto"/>
                                        <w:right w:val="none" w:sz="0" w:space="0" w:color="auto"/>
                                      </w:divBdr>
                                      <w:divsChild>
                                        <w:div w:id="858352829">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4935759">
      <w:bodyDiv w:val="1"/>
      <w:marLeft w:val="0"/>
      <w:marRight w:val="0"/>
      <w:marTop w:val="0"/>
      <w:marBottom w:val="0"/>
      <w:divBdr>
        <w:top w:val="none" w:sz="0" w:space="0" w:color="auto"/>
        <w:left w:val="none" w:sz="0" w:space="0" w:color="auto"/>
        <w:bottom w:val="none" w:sz="0" w:space="0" w:color="auto"/>
        <w:right w:val="none" w:sz="0" w:space="0" w:color="auto"/>
      </w:divBdr>
      <w:divsChild>
        <w:div w:id="280305960">
          <w:marLeft w:val="0"/>
          <w:marRight w:val="0"/>
          <w:marTop w:val="0"/>
          <w:marBottom w:val="0"/>
          <w:divBdr>
            <w:top w:val="none" w:sz="0" w:space="0" w:color="auto"/>
            <w:left w:val="none" w:sz="0" w:space="0" w:color="auto"/>
            <w:bottom w:val="none" w:sz="0" w:space="0" w:color="auto"/>
            <w:right w:val="none" w:sz="0" w:space="0" w:color="auto"/>
          </w:divBdr>
          <w:divsChild>
            <w:div w:id="732581540">
              <w:marLeft w:val="-225"/>
              <w:marRight w:val="-225"/>
              <w:marTop w:val="0"/>
              <w:marBottom w:val="0"/>
              <w:divBdr>
                <w:top w:val="none" w:sz="0" w:space="0" w:color="auto"/>
                <w:left w:val="none" w:sz="0" w:space="0" w:color="auto"/>
                <w:bottom w:val="none" w:sz="0" w:space="0" w:color="auto"/>
                <w:right w:val="none" w:sz="0" w:space="0" w:color="auto"/>
              </w:divBdr>
              <w:divsChild>
                <w:div w:id="508251990">
                  <w:marLeft w:val="0"/>
                  <w:marRight w:val="0"/>
                  <w:marTop w:val="0"/>
                  <w:marBottom w:val="0"/>
                  <w:divBdr>
                    <w:top w:val="none" w:sz="0" w:space="0" w:color="auto"/>
                    <w:left w:val="none" w:sz="0" w:space="0" w:color="auto"/>
                    <w:bottom w:val="none" w:sz="0" w:space="0" w:color="auto"/>
                    <w:right w:val="none" w:sz="0" w:space="0" w:color="auto"/>
                  </w:divBdr>
                  <w:divsChild>
                    <w:div w:id="1392650620">
                      <w:marLeft w:val="-225"/>
                      <w:marRight w:val="-225"/>
                      <w:marTop w:val="0"/>
                      <w:marBottom w:val="0"/>
                      <w:divBdr>
                        <w:top w:val="none" w:sz="0" w:space="0" w:color="auto"/>
                        <w:left w:val="none" w:sz="0" w:space="0" w:color="auto"/>
                        <w:bottom w:val="none" w:sz="0" w:space="0" w:color="auto"/>
                        <w:right w:val="none" w:sz="0" w:space="0" w:color="auto"/>
                      </w:divBdr>
                      <w:divsChild>
                        <w:div w:id="1828982904">
                          <w:marLeft w:val="0"/>
                          <w:marRight w:val="0"/>
                          <w:marTop w:val="0"/>
                          <w:marBottom w:val="0"/>
                          <w:divBdr>
                            <w:top w:val="none" w:sz="0" w:space="0" w:color="auto"/>
                            <w:left w:val="none" w:sz="0" w:space="0" w:color="auto"/>
                            <w:bottom w:val="none" w:sz="0" w:space="0" w:color="auto"/>
                            <w:right w:val="none" w:sz="0" w:space="0" w:color="auto"/>
                          </w:divBdr>
                          <w:divsChild>
                            <w:div w:id="23212936">
                              <w:marLeft w:val="-225"/>
                              <w:marRight w:val="-225"/>
                              <w:marTop w:val="0"/>
                              <w:marBottom w:val="0"/>
                              <w:divBdr>
                                <w:top w:val="none" w:sz="0" w:space="0" w:color="auto"/>
                                <w:left w:val="none" w:sz="0" w:space="0" w:color="auto"/>
                                <w:bottom w:val="none" w:sz="0" w:space="0" w:color="auto"/>
                                <w:right w:val="none" w:sz="0" w:space="0" w:color="auto"/>
                              </w:divBdr>
                              <w:divsChild>
                                <w:div w:id="731389901">
                                  <w:marLeft w:val="0"/>
                                  <w:marRight w:val="0"/>
                                  <w:marTop w:val="0"/>
                                  <w:marBottom w:val="0"/>
                                  <w:divBdr>
                                    <w:top w:val="none" w:sz="0" w:space="0" w:color="auto"/>
                                    <w:left w:val="none" w:sz="0" w:space="0" w:color="auto"/>
                                    <w:bottom w:val="none" w:sz="0" w:space="0" w:color="auto"/>
                                    <w:right w:val="none" w:sz="0" w:space="0" w:color="auto"/>
                                  </w:divBdr>
                                  <w:divsChild>
                                    <w:div w:id="2022656296">
                                      <w:marLeft w:val="-225"/>
                                      <w:marRight w:val="-225"/>
                                      <w:marTop w:val="0"/>
                                      <w:marBottom w:val="1125"/>
                                      <w:divBdr>
                                        <w:top w:val="none" w:sz="0" w:space="0" w:color="auto"/>
                                        <w:left w:val="none" w:sz="0" w:space="0" w:color="auto"/>
                                        <w:bottom w:val="none" w:sz="0" w:space="0" w:color="auto"/>
                                        <w:right w:val="none" w:sz="0" w:space="0" w:color="auto"/>
                                      </w:divBdr>
                                      <w:divsChild>
                                        <w:div w:id="1275745072">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te.gob.mx/ius2021/" TargetMode="External"/><Relationship Id="rId13" Type="http://schemas.openxmlformats.org/officeDocument/2006/relationships/hyperlink" Target="https://www.te.gob.mx/ius2021/" TargetMode="External"/><Relationship Id="rId18" Type="http://schemas.openxmlformats.org/officeDocument/2006/relationships/hyperlink" Target="https://www.te.gob.mx/ius2021/" TargetMode="External"/><Relationship Id="rId3" Type="http://schemas.openxmlformats.org/officeDocument/2006/relationships/hyperlink" Target="https://www.tee-nl.org.mx/sentencias.php?frSentencia=6343&amp;frBuscar=14&amp;frPagina=1" TargetMode="External"/><Relationship Id="rId7" Type="http://schemas.openxmlformats.org/officeDocument/2006/relationships/hyperlink" Target="https://www.te.gob.mx/ius2021/" TargetMode="External"/><Relationship Id="rId12" Type="http://schemas.openxmlformats.org/officeDocument/2006/relationships/hyperlink" Target="https://www.te.gob.mx/ius2021/" TargetMode="External"/><Relationship Id="rId17" Type="http://schemas.openxmlformats.org/officeDocument/2006/relationships/hyperlink" Target="https://www.te.gob.mx/ius2021/" TargetMode="External"/><Relationship Id="rId2" Type="http://schemas.openxmlformats.org/officeDocument/2006/relationships/hyperlink" Target="https://www.te.gob.mx/media/SentenciasN/pdf/monterrey/SM-JG-0014-2026.pdf" TargetMode="External"/><Relationship Id="rId16" Type="http://schemas.openxmlformats.org/officeDocument/2006/relationships/hyperlink" Target="https://www.te.gob.mx/ius2021/" TargetMode="External"/><Relationship Id="rId1" Type="http://schemas.openxmlformats.org/officeDocument/2006/relationships/hyperlink" Target="https://www.tee-nl.org.mx/sentencias.php?frSentencia=6343&amp;frBuscar=14&amp;frPagina=1" TargetMode="External"/><Relationship Id="rId6" Type="http://schemas.openxmlformats.org/officeDocument/2006/relationships/hyperlink" Target="https://www.te.gob.mx/ius2021/" TargetMode="External"/><Relationship Id="rId11" Type="http://schemas.openxmlformats.org/officeDocument/2006/relationships/hyperlink" Target="https://www.te.gob.mx/ius2021/" TargetMode="External"/><Relationship Id="rId5" Type="http://schemas.openxmlformats.org/officeDocument/2006/relationships/hyperlink" Target="https://www.te.gob.mx/ius2021/" TargetMode="External"/><Relationship Id="rId15" Type="http://schemas.openxmlformats.org/officeDocument/2006/relationships/hyperlink" Target="https://www.te.gob.mx/ius2021/" TargetMode="External"/><Relationship Id="rId10" Type="http://schemas.openxmlformats.org/officeDocument/2006/relationships/hyperlink" Target="https://www.te.gob.mx/sentenciasHTML/convertir/expediente/SUP-REC-00057-2012" TargetMode="External"/><Relationship Id="rId19" Type="http://schemas.openxmlformats.org/officeDocument/2006/relationships/hyperlink" Target="https://www.te.gob.mx/ius2021/" TargetMode="External"/><Relationship Id="rId4" Type="http://schemas.openxmlformats.org/officeDocument/2006/relationships/hyperlink" Target="http://www.te.gob.mx/EE/SM/2026/JG/24/SM_2026_JG_24-1721454.pdf" TargetMode="External"/><Relationship Id="rId9" Type="http://schemas.openxmlformats.org/officeDocument/2006/relationships/hyperlink" Target="https://www.te.gob.mx/ius2021/" TargetMode="External"/><Relationship Id="rId14" Type="http://schemas.openxmlformats.org/officeDocument/2006/relationships/hyperlink" Target="https://www.te.gob.mx/ius202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56C93D355A6E34B9A293FB80C74AD7D" ma:contentTypeVersion="13" ma:contentTypeDescription="Crear nuevo documento." ma:contentTypeScope="" ma:versionID="453a177e688f3f8001b21b2cfab3790f">
  <xsd:schema xmlns:xsd="http://www.w3.org/2001/XMLSchema" xmlns:xs="http://www.w3.org/2001/XMLSchema" xmlns:p="http://schemas.microsoft.com/office/2006/metadata/properties" xmlns:ns3="bf61acff-11c4-4299-ad38-4549625cb6e2" xmlns:ns4="cc42933e-1fbb-4257-8b79-3f9dfaba70fe" targetNamespace="http://schemas.microsoft.com/office/2006/metadata/properties" ma:root="true" ma:fieldsID="b501d402ec6f175ca785d5a0aef8f45d" ns3:_="" ns4:_="">
    <xsd:import namespace="bf61acff-11c4-4299-ad38-4549625cb6e2"/>
    <xsd:import namespace="cc42933e-1fbb-4257-8b79-3f9dfaba70f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1acff-11c4-4299-ad38-4549625cb6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42933e-1fbb-4257-8b79-3f9dfaba70fe"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SharingHintHash" ma:index="18"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F33E3-9391-4399-BF58-9722321D5E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DC609A-0EFC-4AFD-B267-220C64FC2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1acff-11c4-4299-ad38-4549625cb6e2"/>
    <ds:schemaRef ds:uri="cc42933e-1fbb-4257-8b79-3f9dfaba7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6B32F7-A815-40BB-A69A-0962762D6812}">
  <ds:schemaRefs>
    <ds:schemaRef ds:uri="http://schemas.microsoft.com/sharepoint/v3/contenttype/forms"/>
  </ds:schemaRefs>
</ds:datastoreItem>
</file>

<file path=customXml/itemProps4.xml><?xml version="1.0" encoding="utf-8"?>
<ds:datastoreItem xmlns:ds="http://schemas.openxmlformats.org/officeDocument/2006/customXml" ds:itemID="{4376C7C1-C0D6-4ECF-809E-6E656ACC0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2954</Words>
  <Characters>16247</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Cesar Pale Beristain</dc:creator>
  <cp:keywords/>
  <dc:description/>
  <cp:lastModifiedBy>Carmelo Maldonado Hernández</cp:lastModifiedBy>
  <cp:revision>5</cp:revision>
  <cp:lastPrinted>2026-05-18T23:39:00Z</cp:lastPrinted>
  <dcterms:created xsi:type="dcterms:W3CDTF">2026-07-01T18:47:00Z</dcterms:created>
  <dcterms:modified xsi:type="dcterms:W3CDTF">2026-07-01T18:47:00Z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0x010100D56C93D355A6E34B9A293FB80C74AD7D</vt:lpwstr>
  </property>
  <property fmtid="{D5CDD505-2E9C-101B-9397-08002B2CF9AE}" pid="3" name="_NewReviewCycle">
    <vt:lpwstr/>
  </property>
</Properties>
</file>