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2E11" w14:textId="77777777" w:rsidR="000D0D0F" w:rsidRPr="00C26D22" w:rsidRDefault="000D0D0F" w:rsidP="00C33B6F">
      <w:pPr>
        <w:spacing w:before="200" w:after="200"/>
        <w:ind w:left="3402"/>
        <w:jc w:val="both"/>
        <w:rPr>
          <w:rFonts w:cs="Arial"/>
          <w:b/>
          <w:bCs/>
          <w:szCs w:val="24"/>
        </w:rPr>
      </w:pPr>
      <w:r w:rsidRPr="00C26D22">
        <w:rPr>
          <w:rFonts w:cs="Arial"/>
          <w:b/>
          <w:bCs/>
          <w:szCs w:val="24"/>
        </w:rPr>
        <w:t>RECURSO DE RECONSIDERACIÓN</w:t>
      </w:r>
    </w:p>
    <w:p w14:paraId="60AA102D" w14:textId="40E9150D" w:rsidR="000D0D0F" w:rsidRPr="00C26D22" w:rsidRDefault="000D0D0F" w:rsidP="00C33B6F">
      <w:pPr>
        <w:pStyle w:val="Rubro"/>
        <w:tabs>
          <w:tab w:val="clear" w:pos="1215"/>
        </w:tabs>
        <w:spacing w:before="200" w:after="200"/>
        <w:ind w:left="3402"/>
        <w:rPr>
          <w:b w:val="0"/>
          <w:bCs w:val="0"/>
          <w:lang w:val="es-MX"/>
        </w:rPr>
      </w:pPr>
      <w:r w:rsidRPr="00C26D22">
        <w:rPr>
          <w:lang w:val="es-MX"/>
        </w:rPr>
        <w:t>EXPEDIENTE:</w:t>
      </w:r>
      <w:r w:rsidRPr="00C26D22">
        <w:rPr>
          <w:b w:val="0"/>
          <w:bCs w:val="0"/>
          <w:lang w:val="es-MX"/>
        </w:rPr>
        <w:t xml:space="preserve"> SUP-REC-</w:t>
      </w:r>
      <w:r w:rsidR="007F5BCF">
        <w:rPr>
          <w:b w:val="0"/>
          <w:bCs w:val="0"/>
          <w:lang w:val="es-MX"/>
        </w:rPr>
        <w:t>314</w:t>
      </w:r>
      <w:r w:rsidRPr="00C26D22">
        <w:rPr>
          <w:b w:val="0"/>
          <w:bCs w:val="0"/>
          <w:lang w:val="es-MX"/>
        </w:rPr>
        <w:t>/202</w:t>
      </w:r>
      <w:r w:rsidR="005B5B58" w:rsidRPr="00C26D22">
        <w:rPr>
          <w:b w:val="0"/>
          <w:bCs w:val="0"/>
          <w:lang w:val="es-MX"/>
        </w:rPr>
        <w:t>6</w:t>
      </w:r>
    </w:p>
    <w:p w14:paraId="58E1BFD0" w14:textId="42D97B0E" w:rsidR="009616B7" w:rsidRPr="00C26D22" w:rsidRDefault="000D0D0F" w:rsidP="00C33B6F">
      <w:pPr>
        <w:pStyle w:val="Rubro"/>
        <w:tabs>
          <w:tab w:val="clear" w:pos="1215"/>
        </w:tabs>
        <w:spacing w:before="200" w:after="200"/>
        <w:ind w:left="3402"/>
        <w:rPr>
          <w:b w:val="0"/>
          <w:lang w:val="es-MX"/>
        </w:rPr>
      </w:pPr>
      <w:r w:rsidRPr="00C26D22">
        <w:rPr>
          <w:lang w:val="es-MX"/>
        </w:rPr>
        <w:t>RECURRENTE:</w:t>
      </w:r>
      <w:r w:rsidR="004C7CD4">
        <w:rPr>
          <w:b w:val="0"/>
          <w:color w:val="EE0000"/>
          <w:szCs w:val="26"/>
          <w:lang w:val="es-MX"/>
        </w:rPr>
        <w:t xml:space="preserve"> </w:t>
      </w:r>
      <w:r w:rsidR="004C7CD4" w:rsidRPr="00B117B9">
        <w:rPr>
          <w:b w:val="0"/>
          <w:color w:val="FFFFFF" w:themeColor="background1"/>
          <w:szCs w:val="26"/>
          <w:shd w:val="clear" w:color="auto" w:fill="000000" w:themeFill="text1"/>
          <w:lang w:val="es-MX"/>
        </w:rPr>
        <w:t>DATO PROTEGIDO</w:t>
      </w:r>
      <w:r w:rsidR="007F2101" w:rsidRPr="00410665">
        <w:rPr>
          <w:rStyle w:val="Refdenotaalpie"/>
          <w:b w:val="0"/>
          <w:szCs w:val="26"/>
          <w:lang w:val="es-MX"/>
        </w:rPr>
        <w:footnoteReference w:id="1"/>
      </w:r>
    </w:p>
    <w:p w14:paraId="1FD23266" w14:textId="030CF40B" w:rsidR="008354FC" w:rsidRPr="00C26D22" w:rsidRDefault="000D0D0F" w:rsidP="00C33B6F">
      <w:pPr>
        <w:pStyle w:val="Rubro"/>
        <w:tabs>
          <w:tab w:val="clear" w:pos="1215"/>
        </w:tabs>
        <w:spacing w:before="200" w:after="200"/>
        <w:ind w:left="3402"/>
        <w:rPr>
          <w:b w:val="0"/>
          <w:bCs w:val="0"/>
        </w:rPr>
      </w:pPr>
      <w:r w:rsidRPr="00C26D22">
        <w:rPr>
          <w:caps w:val="0"/>
          <w:lang w:val="es-MX"/>
        </w:rPr>
        <w:t>AUTORIDAD RESPONSABLE:</w:t>
      </w:r>
      <w:r w:rsidRPr="00C26D22">
        <w:rPr>
          <w:b w:val="0"/>
          <w:bCs w:val="0"/>
          <w:caps w:val="0"/>
          <w:lang w:val="es-MX"/>
        </w:rPr>
        <w:t xml:space="preserve"> </w:t>
      </w:r>
      <w:r w:rsidRPr="00C26D22">
        <w:rPr>
          <w:b w:val="0"/>
          <w:bCs w:val="0"/>
        </w:rPr>
        <w:t xml:space="preserve">SALA REGIONAL DEL TRIBUNAL ELECTORAL DEL PODER JUDICIAL DE LA FEDERACIÓN, CORRESPONDIENTE A LA </w:t>
      </w:r>
      <w:r w:rsidR="00016D0F">
        <w:rPr>
          <w:b w:val="0"/>
          <w:bCs w:val="0"/>
        </w:rPr>
        <w:t xml:space="preserve">cuarta </w:t>
      </w:r>
      <w:r w:rsidR="003C7338" w:rsidRPr="00C26D22">
        <w:rPr>
          <w:b w:val="0"/>
          <w:bCs w:val="0"/>
        </w:rPr>
        <w:t>c</w:t>
      </w:r>
      <w:r w:rsidRPr="00C26D22">
        <w:rPr>
          <w:b w:val="0"/>
          <w:bCs w:val="0"/>
        </w:rPr>
        <w:t xml:space="preserve">IRCUNSCRIPCIÓN PLURINOMINAL, CON SEDE EN </w:t>
      </w:r>
      <w:r w:rsidR="00016D0F">
        <w:rPr>
          <w:b w:val="0"/>
          <w:bCs w:val="0"/>
        </w:rPr>
        <w:t>Toluca</w:t>
      </w:r>
    </w:p>
    <w:p w14:paraId="5D9567B7" w14:textId="77777777" w:rsidR="000D0D0F" w:rsidRPr="00C26D22" w:rsidRDefault="000D0D0F" w:rsidP="00C33B6F">
      <w:pPr>
        <w:pStyle w:val="Rubro"/>
        <w:tabs>
          <w:tab w:val="clear" w:pos="1215"/>
        </w:tabs>
        <w:spacing w:before="200" w:after="200"/>
        <w:ind w:left="3402"/>
        <w:rPr>
          <w:b w:val="0"/>
          <w:bCs w:val="0"/>
          <w:lang w:val="es-MX"/>
        </w:rPr>
      </w:pPr>
      <w:r w:rsidRPr="00C26D22">
        <w:rPr>
          <w:lang w:val="es-MX"/>
        </w:rPr>
        <w:t>MAGISTRADA PONENTE:</w:t>
      </w:r>
      <w:r w:rsidRPr="00C26D22">
        <w:rPr>
          <w:b w:val="0"/>
          <w:bCs w:val="0"/>
          <w:lang w:val="es-MX"/>
        </w:rPr>
        <w:t xml:space="preserve"> CLAUDIA VALLE AGUILASOCHO</w:t>
      </w:r>
    </w:p>
    <w:p w14:paraId="3F85324A" w14:textId="0888EDCA" w:rsidR="008354FC" w:rsidRDefault="000D0D0F" w:rsidP="00C33B6F">
      <w:pPr>
        <w:pStyle w:val="Rubro"/>
        <w:spacing w:before="200" w:after="200"/>
        <w:ind w:left="3402"/>
        <w:rPr>
          <w:b w:val="0"/>
          <w:bCs w:val="0"/>
          <w:lang w:val="es-MX"/>
        </w:rPr>
      </w:pPr>
      <w:r w:rsidRPr="00C26D22">
        <w:rPr>
          <w:lang w:val="es-MX"/>
        </w:rPr>
        <w:t>SECRETARI</w:t>
      </w:r>
      <w:r w:rsidR="008354FC" w:rsidRPr="00C26D22">
        <w:rPr>
          <w:lang w:val="es-MX"/>
        </w:rPr>
        <w:t>A</w:t>
      </w:r>
      <w:r w:rsidR="006F6C22" w:rsidRPr="00C26D22">
        <w:rPr>
          <w:lang w:val="es-MX"/>
        </w:rPr>
        <w:t>DO</w:t>
      </w:r>
      <w:r w:rsidRPr="00C26D22">
        <w:rPr>
          <w:lang w:val="es-MX"/>
        </w:rPr>
        <w:t xml:space="preserve">: </w:t>
      </w:r>
      <w:r w:rsidR="00AC4A72" w:rsidRPr="00C26D22">
        <w:rPr>
          <w:b w:val="0"/>
          <w:bCs w:val="0"/>
          <w:lang w:val="es-MX"/>
        </w:rPr>
        <w:t>JOSÉ LUIS ORTIZ SUMANO</w:t>
      </w:r>
      <w:r w:rsidR="00282020">
        <w:rPr>
          <w:b w:val="0"/>
          <w:bCs w:val="0"/>
          <w:lang w:val="es-MX"/>
        </w:rPr>
        <w:t xml:space="preserve"> y GEORGINA </w:t>
      </w:r>
      <w:r w:rsidR="00BD44AB">
        <w:rPr>
          <w:b w:val="0"/>
          <w:bCs w:val="0"/>
          <w:lang w:val="es-MX"/>
        </w:rPr>
        <w:t>RÍOS González</w:t>
      </w:r>
    </w:p>
    <w:p w14:paraId="122B5903" w14:textId="77777777" w:rsidR="00300755" w:rsidRPr="00300755" w:rsidRDefault="00300755" w:rsidP="002039C4">
      <w:pPr>
        <w:pStyle w:val="NormalWeb"/>
        <w:spacing w:before="200" w:beforeAutospacing="0" w:after="200" w:afterAutospacing="0" w:line="360" w:lineRule="auto"/>
        <w:jc w:val="both"/>
        <w:rPr>
          <w:rFonts w:ascii="Arial" w:hAnsi="Arial" w:cs="Arial"/>
          <w:spacing w:val="4"/>
          <w:sz w:val="16"/>
          <w:szCs w:val="16"/>
          <w:lang w:val="es-MX"/>
        </w:rPr>
      </w:pPr>
    </w:p>
    <w:p w14:paraId="1DC4BC70" w14:textId="4D9F4E8B" w:rsidR="000D0D0F" w:rsidRPr="00C26D22" w:rsidRDefault="000D0D0F" w:rsidP="002039C4">
      <w:pPr>
        <w:pStyle w:val="NormalWeb"/>
        <w:spacing w:before="200" w:beforeAutospacing="0" w:after="200" w:afterAutospacing="0" w:line="360" w:lineRule="auto"/>
        <w:jc w:val="both"/>
        <w:rPr>
          <w:rFonts w:ascii="Arial" w:hAnsi="Arial" w:cs="Arial"/>
          <w:spacing w:val="4"/>
          <w:szCs w:val="24"/>
          <w:lang w:val="es-MX"/>
        </w:rPr>
      </w:pPr>
      <w:r w:rsidRPr="00C26D22">
        <w:rPr>
          <w:rFonts w:ascii="Arial" w:hAnsi="Arial" w:cs="Arial"/>
          <w:spacing w:val="4"/>
          <w:szCs w:val="24"/>
          <w:lang w:val="es-MX"/>
        </w:rPr>
        <w:t>Ciudad de México, a</w:t>
      </w:r>
      <w:r w:rsidR="005F3425" w:rsidRPr="00C26D22">
        <w:rPr>
          <w:rFonts w:ascii="Arial" w:hAnsi="Arial" w:cs="Arial"/>
          <w:spacing w:val="4"/>
          <w:szCs w:val="24"/>
          <w:lang w:val="es-MX"/>
        </w:rPr>
        <w:t xml:space="preserve"> </w:t>
      </w:r>
      <w:r w:rsidR="00E80D0A">
        <w:rPr>
          <w:rFonts w:ascii="Arial" w:hAnsi="Arial" w:cs="Arial"/>
          <w:spacing w:val="4"/>
          <w:szCs w:val="24"/>
          <w:lang w:val="es-MX"/>
        </w:rPr>
        <w:t>veintinueve</w:t>
      </w:r>
      <w:r w:rsidR="003F57D7" w:rsidRPr="00C26D22">
        <w:rPr>
          <w:rFonts w:ascii="Arial" w:hAnsi="Arial" w:cs="Arial"/>
          <w:spacing w:val="4"/>
          <w:szCs w:val="24"/>
          <w:lang w:val="es-MX"/>
        </w:rPr>
        <w:t xml:space="preserve"> de </w:t>
      </w:r>
      <w:r w:rsidR="003C7338" w:rsidRPr="00C26D22">
        <w:rPr>
          <w:rFonts w:ascii="Arial" w:hAnsi="Arial" w:cs="Arial"/>
          <w:spacing w:val="4"/>
          <w:szCs w:val="24"/>
          <w:lang w:val="es-MX"/>
        </w:rPr>
        <w:t>ju</w:t>
      </w:r>
      <w:r w:rsidR="00A13C7A" w:rsidRPr="00C26D22">
        <w:rPr>
          <w:rFonts w:ascii="Arial" w:hAnsi="Arial" w:cs="Arial"/>
          <w:spacing w:val="4"/>
          <w:szCs w:val="24"/>
          <w:lang w:val="es-MX"/>
        </w:rPr>
        <w:t>l</w:t>
      </w:r>
      <w:r w:rsidR="003C7338" w:rsidRPr="00C26D22">
        <w:rPr>
          <w:rFonts w:ascii="Arial" w:hAnsi="Arial" w:cs="Arial"/>
          <w:spacing w:val="4"/>
          <w:szCs w:val="24"/>
          <w:lang w:val="es-MX"/>
        </w:rPr>
        <w:t xml:space="preserve">io </w:t>
      </w:r>
      <w:r w:rsidRPr="00C26D22">
        <w:rPr>
          <w:rFonts w:ascii="Arial" w:hAnsi="Arial" w:cs="Arial"/>
          <w:spacing w:val="4"/>
          <w:szCs w:val="24"/>
          <w:lang w:val="es-MX"/>
        </w:rPr>
        <w:t>de dos mil veinti</w:t>
      </w:r>
      <w:r w:rsidR="006B70C4" w:rsidRPr="00C26D22">
        <w:rPr>
          <w:rFonts w:ascii="Arial" w:hAnsi="Arial" w:cs="Arial"/>
          <w:spacing w:val="4"/>
          <w:szCs w:val="24"/>
          <w:lang w:val="es-MX"/>
        </w:rPr>
        <w:t>séis</w:t>
      </w:r>
      <w:r w:rsidRPr="00C26D22">
        <w:rPr>
          <w:rStyle w:val="Refdenotaalpie"/>
          <w:rFonts w:ascii="Arial" w:hAnsi="Arial" w:cs="Arial"/>
          <w:spacing w:val="4"/>
          <w:szCs w:val="24"/>
          <w:lang w:val="es-MX"/>
        </w:rPr>
        <w:footnoteReference w:id="2"/>
      </w:r>
      <w:r w:rsidR="006B5F04" w:rsidRPr="00C26D22">
        <w:rPr>
          <w:rFonts w:ascii="Arial" w:hAnsi="Arial" w:cs="Arial"/>
          <w:spacing w:val="4"/>
          <w:szCs w:val="24"/>
          <w:lang w:val="es-MX"/>
        </w:rPr>
        <w:t>.</w:t>
      </w:r>
    </w:p>
    <w:p w14:paraId="45BAFD6A" w14:textId="21B9EBE7" w:rsidR="002039C4" w:rsidRPr="00C26D22" w:rsidRDefault="000D0D0F" w:rsidP="000D0D0F">
      <w:pPr>
        <w:spacing w:before="200" w:after="200" w:line="360" w:lineRule="auto"/>
        <w:jc w:val="both"/>
        <w:rPr>
          <w:rFonts w:cs="Arial"/>
          <w:b/>
          <w:bCs/>
          <w:szCs w:val="24"/>
        </w:rPr>
      </w:pPr>
      <w:r w:rsidRPr="000B119E">
        <w:rPr>
          <w:rFonts w:cs="Arial"/>
          <w:b/>
          <w:bCs/>
          <w:szCs w:val="24"/>
        </w:rPr>
        <w:t>Sentencia definitiva</w:t>
      </w:r>
      <w:r w:rsidRPr="000B119E">
        <w:rPr>
          <w:rFonts w:cs="Arial"/>
          <w:szCs w:val="24"/>
        </w:rPr>
        <w:t xml:space="preserve"> </w:t>
      </w:r>
      <w:r w:rsidR="00550201" w:rsidRPr="000B119E">
        <w:rPr>
          <w:rFonts w:cs="Arial"/>
          <w:szCs w:val="24"/>
        </w:rPr>
        <w:t xml:space="preserve">de la Sala Superior del Tribunal Electoral del Poder Judicial de la Federación </w:t>
      </w:r>
      <w:r w:rsidRPr="000B119E">
        <w:rPr>
          <w:rFonts w:cs="Arial"/>
          <w:szCs w:val="24"/>
        </w:rPr>
        <w:t xml:space="preserve">que </w:t>
      </w:r>
      <w:r w:rsidRPr="000B119E">
        <w:rPr>
          <w:rFonts w:cs="Arial"/>
          <w:b/>
          <w:bCs/>
          <w:szCs w:val="24"/>
        </w:rPr>
        <w:t xml:space="preserve">desecha de plano </w:t>
      </w:r>
      <w:r w:rsidRPr="000B119E">
        <w:rPr>
          <w:rFonts w:cs="Arial"/>
          <w:szCs w:val="24"/>
        </w:rPr>
        <w:t>la demanda del recurso de reconsideración, al no cumplirse el requisito especial de procedencia.</w:t>
      </w:r>
    </w:p>
    <w:sdt>
      <w:sdtPr>
        <w:rPr>
          <w:rFonts w:eastAsiaTheme="minorHAnsi" w:cs="Arial"/>
          <w:b/>
          <w:bCs/>
          <w:noProof/>
          <w:sz w:val="20"/>
          <w:szCs w:val="24"/>
          <w:lang w:eastAsia="en-US" w:bidi="en-US"/>
        </w:rPr>
        <w:id w:val="751545205"/>
        <w:docPartObj>
          <w:docPartGallery w:val="Table of Contents"/>
          <w:docPartUnique/>
        </w:docPartObj>
      </w:sdtPr>
      <w:sdtEndPr>
        <w:rPr>
          <w:szCs w:val="20"/>
        </w:rPr>
      </w:sdtEndPr>
      <w:sdtContent>
        <w:p w14:paraId="391E31CA" w14:textId="77777777" w:rsidR="000D0D0F" w:rsidRPr="00EA70D6" w:rsidRDefault="000D0D0F" w:rsidP="00EA70D6">
          <w:pPr>
            <w:keepNext/>
            <w:keepLines/>
            <w:jc w:val="center"/>
            <w:rPr>
              <w:rFonts w:eastAsiaTheme="majorEastAsia" w:cs="Arial"/>
              <w:szCs w:val="24"/>
            </w:rPr>
          </w:pPr>
          <w:r w:rsidRPr="00EA70D6">
            <w:rPr>
              <w:rFonts w:cs="Arial"/>
              <w:szCs w:val="24"/>
            </w:rPr>
            <w:t>ÍNDICE</w:t>
          </w:r>
        </w:p>
        <w:p w14:paraId="7D9EA949" w14:textId="6F53C0EE" w:rsidR="00EA70D6" w:rsidRPr="00EA70D6" w:rsidRDefault="000D0D0F" w:rsidP="00EA70D6">
          <w:pPr>
            <w:pStyle w:val="TDC1"/>
            <w:rPr>
              <w:rFonts w:asciiTheme="minorHAnsi" w:eastAsiaTheme="minorEastAsia" w:hAnsiTheme="minorHAnsi" w:cstheme="minorBidi"/>
              <w:b w:val="0"/>
              <w:bCs w:val="0"/>
              <w:kern w:val="2"/>
              <w:sz w:val="24"/>
              <w:szCs w:val="24"/>
              <w:lang w:eastAsia="es-MX" w:bidi="ar-SA"/>
              <w14:ligatures w14:val="standardContextual"/>
            </w:rPr>
          </w:pPr>
          <w:r w:rsidRPr="00EA70D6">
            <w:rPr>
              <w:b w:val="0"/>
              <w:bCs w:val="0"/>
            </w:rPr>
            <w:fldChar w:fldCharType="begin"/>
          </w:r>
          <w:r w:rsidRPr="00EA70D6">
            <w:rPr>
              <w:b w:val="0"/>
              <w:bCs w:val="0"/>
            </w:rPr>
            <w:instrText xml:space="preserve"> TOC \o "1-4" \h \z \u </w:instrText>
          </w:r>
          <w:r w:rsidRPr="00EA70D6">
            <w:rPr>
              <w:b w:val="0"/>
              <w:bCs w:val="0"/>
            </w:rPr>
            <w:fldChar w:fldCharType="separate"/>
          </w:r>
          <w:hyperlink w:anchor="_Toc235708174" w:history="1">
            <w:r w:rsidR="00EA70D6" w:rsidRPr="00EA70D6">
              <w:rPr>
                <w:rStyle w:val="Hipervnculo"/>
                <w:b w:val="0"/>
                <w:bCs w:val="0"/>
              </w:rPr>
              <w:t>GLOSARIO</w:t>
            </w:r>
            <w:r w:rsidR="00EA70D6" w:rsidRPr="00EA70D6">
              <w:rPr>
                <w:b w:val="0"/>
                <w:bCs w:val="0"/>
                <w:webHidden/>
              </w:rPr>
              <w:tab/>
            </w:r>
            <w:r w:rsidR="00EA70D6" w:rsidRPr="00EA70D6">
              <w:rPr>
                <w:b w:val="0"/>
                <w:bCs w:val="0"/>
                <w:webHidden/>
              </w:rPr>
              <w:fldChar w:fldCharType="begin"/>
            </w:r>
            <w:r w:rsidR="00EA70D6" w:rsidRPr="00EA70D6">
              <w:rPr>
                <w:b w:val="0"/>
                <w:bCs w:val="0"/>
                <w:webHidden/>
              </w:rPr>
              <w:instrText xml:space="preserve"> PAGEREF _Toc235708174 \h </w:instrText>
            </w:r>
            <w:r w:rsidR="00EA70D6" w:rsidRPr="00EA70D6">
              <w:rPr>
                <w:b w:val="0"/>
                <w:bCs w:val="0"/>
                <w:webHidden/>
              </w:rPr>
            </w:r>
            <w:r w:rsidR="00EA70D6" w:rsidRPr="00EA70D6">
              <w:rPr>
                <w:b w:val="0"/>
                <w:bCs w:val="0"/>
                <w:webHidden/>
              </w:rPr>
              <w:fldChar w:fldCharType="separate"/>
            </w:r>
            <w:r w:rsidR="00EA70D6" w:rsidRPr="00EA70D6">
              <w:rPr>
                <w:b w:val="0"/>
                <w:bCs w:val="0"/>
                <w:webHidden/>
              </w:rPr>
              <w:t>1</w:t>
            </w:r>
            <w:r w:rsidR="00EA70D6" w:rsidRPr="00EA70D6">
              <w:rPr>
                <w:b w:val="0"/>
                <w:bCs w:val="0"/>
                <w:webHidden/>
              </w:rPr>
              <w:fldChar w:fldCharType="end"/>
            </w:r>
          </w:hyperlink>
        </w:p>
        <w:p w14:paraId="4AD161B6" w14:textId="2F924FF6" w:rsidR="00EA70D6" w:rsidRPr="00EA70D6" w:rsidRDefault="00EA70D6" w:rsidP="00EA70D6">
          <w:pPr>
            <w:pStyle w:val="TDC1"/>
            <w:rPr>
              <w:rFonts w:asciiTheme="minorHAnsi" w:eastAsiaTheme="minorEastAsia" w:hAnsiTheme="minorHAnsi" w:cstheme="minorBidi"/>
              <w:b w:val="0"/>
              <w:bCs w:val="0"/>
              <w:kern w:val="2"/>
              <w:sz w:val="24"/>
              <w:szCs w:val="24"/>
              <w:lang w:eastAsia="es-MX" w:bidi="ar-SA"/>
              <w14:ligatures w14:val="standardContextual"/>
            </w:rPr>
          </w:pPr>
          <w:hyperlink w:anchor="_Toc235708175" w:history="1">
            <w:r w:rsidRPr="00EA70D6">
              <w:rPr>
                <w:rStyle w:val="Hipervnculo"/>
                <w:b w:val="0"/>
                <w:bCs w:val="0"/>
              </w:rPr>
              <w:t>1.</w:t>
            </w:r>
            <w:r w:rsidRPr="00EA70D6">
              <w:rPr>
                <w:rFonts w:asciiTheme="minorHAnsi" w:eastAsiaTheme="minorEastAsia" w:hAnsiTheme="minorHAnsi" w:cstheme="minorBidi"/>
                <w:b w:val="0"/>
                <w:bCs w:val="0"/>
                <w:kern w:val="2"/>
                <w:sz w:val="24"/>
                <w:szCs w:val="24"/>
                <w:lang w:eastAsia="es-MX" w:bidi="ar-SA"/>
                <w14:ligatures w14:val="standardContextual"/>
              </w:rPr>
              <w:tab/>
            </w:r>
            <w:r w:rsidRPr="00EA70D6">
              <w:rPr>
                <w:rStyle w:val="Hipervnculo"/>
                <w:b w:val="0"/>
                <w:bCs w:val="0"/>
              </w:rPr>
              <w:t>ANTECEDENTES</w:t>
            </w:r>
            <w:r w:rsidRPr="00EA70D6">
              <w:rPr>
                <w:b w:val="0"/>
                <w:bCs w:val="0"/>
                <w:webHidden/>
              </w:rPr>
              <w:tab/>
            </w:r>
            <w:r w:rsidRPr="00EA70D6">
              <w:rPr>
                <w:b w:val="0"/>
                <w:bCs w:val="0"/>
                <w:webHidden/>
              </w:rPr>
              <w:fldChar w:fldCharType="begin"/>
            </w:r>
            <w:r w:rsidRPr="00EA70D6">
              <w:rPr>
                <w:b w:val="0"/>
                <w:bCs w:val="0"/>
                <w:webHidden/>
              </w:rPr>
              <w:instrText xml:space="preserve"> PAGEREF _Toc235708175 \h </w:instrText>
            </w:r>
            <w:r w:rsidRPr="00EA70D6">
              <w:rPr>
                <w:b w:val="0"/>
                <w:bCs w:val="0"/>
                <w:webHidden/>
              </w:rPr>
            </w:r>
            <w:r w:rsidRPr="00EA70D6">
              <w:rPr>
                <w:b w:val="0"/>
                <w:bCs w:val="0"/>
                <w:webHidden/>
              </w:rPr>
              <w:fldChar w:fldCharType="separate"/>
            </w:r>
            <w:r w:rsidRPr="00EA70D6">
              <w:rPr>
                <w:b w:val="0"/>
                <w:bCs w:val="0"/>
                <w:webHidden/>
              </w:rPr>
              <w:t>2</w:t>
            </w:r>
            <w:r w:rsidRPr="00EA70D6">
              <w:rPr>
                <w:b w:val="0"/>
                <w:bCs w:val="0"/>
                <w:webHidden/>
              </w:rPr>
              <w:fldChar w:fldCharType="end"/>
            </w:r>
          </w:hyperlink>
        </w:p>
        <w:p w14:paraId="5D9E5743" w14:textId="2A9E5AA7" w:rsidR="00EA70D6" w:rsidRPr="00EA70D6" w:rsidRDefault="00EA70D6" w:rsidP="00EA70D6">
          <w:pPr>
            <w:pStyle w:val="TDC1"/>
            <w:rPr>
              <w:rFonts w:asciiTheme="minorHAnsi" w:eastAsiaTheme="minorEastAsia" w:hAnsiTheme="minorHAnsi" w:cstheme="minorBidi"/>
              <w:b w:val="0"/>
              <w:bCs w:val="0"/>
              <w:kern w:val="2"/>
              <w:sz w:val="24"/>
              <w:szCs w:val="24"/>
              <w:lang w:eastAsia="es-MX" w:bidi="ar-SA"/>
              <w14:ligatures w14:val="standardContextual"/>
            </w:rPr>
          </w:pPr>
          <w:hyperlink w:anchor="_Toc235708176" w:history="1">
            <w:r w:rsidRPr="00EA70D6">
              <w:rPr>
                <w:rStyle w:val="Hipervnculo"/>
                <w:b w:val="0"/>
                <w:bCs w:val="0"/>
              </w:rPr>
              <w:t>2.</w:t>
            </w:r>
            <w:r w:rsidRPr="00EA70D6">
              <w:rPr>
                <w:rFonts w:asciiTheme="minorHAnsi" w:eastAsiaTheme="minorEastAsia" w:hAnsiTheme="minorHAnsi" w:cstheme="minorBidi"/>
                <w:b w:val="0"/>
                <w:bCs w:val="0"/>
                <w:kern w:val="2"/>
                <w:sz w:val="24"/>
                <w:szCs w:val="24"/>
                <w:lang w:eastAsia="es-MX" w:bidi="ar-SA"/>
                <w14:ligatures w14:val="standardContextual"/>
              </w:rPr>
              <w:tab/>
            </w:r>
            <w:r w:rsidRPr="00EA70D6">
              <w:rPr>
                <w:rStyle w:val="Hipervnculo"/>
                <w:b w:val="0"/>
                <w:bCs w:val="0"/>
              </w:rPr>
              <w:t>COMPETENCIA</w:t>
            </w:r>
            <w:r w:rsidRPr="00EA70D6">
              <w:rPr>
                <w:b w:val="0"/>
                <w:bCs w:val="0"/>
                <w:webHidden/>
              </w:rPr>
              <w:tab/>
            </w:r>
            <w:r w:rsidRPr="00EA70D6">
              <w:rPr>
                <w:b w:val="0"/>
                <w:bCs w:val="0"/>
                <w:webHidden/>
              </w:rPr>
              <w:fldChar w:fldCharType="begin"/>
            </w:r>
            <w:r w:rsidRPr="00EA70D6">
              <w:rPr>
                <w:b w:val="0"/>
                <w:bCs w:val="0"/>
                <w:webHidden/>
              </w:rPr>
              <w:instrText xml:space="preserve"> PAGEREF _Toc235708176 \h </w:instrText>
            </w:r>
            <w:r w:rsidRPr="00EA70D6">
              <w:rPr>
                <w:b w:val="0"/>
                <w:bCs w:val="0"/>
                <w:webHidden/>
              </w:rPr>
            </w:r>
            <w:r w:rsidRPr="00EA70D6">
              <w:rPr>
                <w:b w:val="0"/>
                <w:bCs w:val="0"/>
                <w:webHidden/>
              </w:rPr>
              <w:fldChar w:fldCharType="separate"/>
            </w:r>
            <w:r w:rsidRPr="00EA70D6">
              <w:rPr>
                <w:b w:val="0"/>
                <w:bCs w:val="0"/>
                <w:webHidden/>
              </w:rPr>
              <w:t>3</w:t>
            </w:r>
            <w:r w:rsidRPr="00EA70D6">
              <w:rPr>
                <w:b w:val="0"/>
                <w:bCs w:val="0"/>
                <w:webHidden/>
              </w:rPr>
              <w:fldChar w:fldCharType="end"/>
            </w:r>
          </w:hyperlink>
        </w:p>
        <w:p w14:paraId="1E867E82" w14:textId="1C1D1493" w:rsidR="00EA70D6" w:rsidRPr="00EA70D6" w:rsidRDefault="00EA70D6" w:rsidP="00EA70D6">
          <w:pPr>
            <w:pStyle w:val="TDC1"/>
            <w:rPr>
              <w:rFonts w:asciiTheme="minorHAnsi" w:eastAsiaTheme="minorEastAsia" w:hAnsiTheme="minorHAnsi" w:cstheme="minorBidi"/>
              <w:b w:val="0"/>
              <w:bCs w:val="0"/>
              <w:kern w:val="2"/>
              <w:sz w:val="24"/>
              <w:szCs w:val="24"/>
              <w:lang w:eastAsia="es-MX" w:bidi="ar-SA"/>
              <w14:ligatures w14:val="standardContextual"/>
            </w:rPr>
          </w:pPr>
          <w:hyperlink w:anchor="_Toc235708177" w:history="1">
            <w:r w:rsidRPr="00EA70D6">
              <w:rPr>
                <w:rStyle w:val="Hipervnculo"/>
                <w:b w:val="0"/>
                <w:bCs w:val="0"/>
              </w:rPr>
              <w:t>3.</w:t>
            </w:r>
            <w:r w:rsidRPr="00EA70D6">
              <w:rPr>
                <w:rFonts w:asciiTheme="minorHAnsi" w:eastAsiaTheme="minorEastAsia" w:hAnsiTheme="minorHAnsi" w:cstheme="minorBidi"/>
                <w:b w:val="0"/>
                <w:bCs w:val="0"/>
                <w:kern w:val="2"/>
                <w:sz w:val="24"/>
                <w:szCs w:val="24"/>
                <w:lang w:eastAsia="es-MX" w:bidi="ar-SA"/>
                <w14:ligatures w14:val="standardContextual"/>
              </w:rPr>
              <w:tab/>
            </w:r>
            <w:r w:rsidRPr="00EA70D6">
              <w:rPr>
                <w:rStyle w:val="Hipervnculo"/>
                <w:b w:val="0"/>
                <w:bCs w:val="0"/>
              </w:rPr>
              <w:t>IMPROCEDENCIA</w:t>
            </w:r>
            <w:r w:rsidRPr="00EA70D6">
              <w:rPr>
                <w:b w:val="0"/>
                <w:bCs w:val="0"/>
                <w:webHidden/>
              </w:rPr>
              <w:tab/>
            </w:r>
            <w:r w:rsidRPr="00EA70D6">
              <w:rPr>
                <w:b w:val="0"/>
                <w:bCs w:val="0"/>
                <w:webHidden/>
              </w:rPr>
              <w:fldChar w:fldCharType="begin"/>
            </w:r>
            <w:r w:rsidRPr="00EA70D6">
              <w:rPr>
                <w:b w:val="0"/>
                <w:bCs w:val="0"/>
                <w:webHidden/>
              </w:rPr>
              <w:instrText xml:space="preserve"> PAGEREF _Toc235708177 \h </w:instrText>
            </w:r>
            <w:r w:rsidRPr="00EA70D6">
              <w:rPr>
                <w:b w:val="0"/>
                <w:bCs w:val="0"/>
                <w:webHidden/>
              </w:rPr>
            </w:r>
            <w:r w:rsidRPr="00EA70D6">
              <w:rPr>
                <w:b w:val="0"/>
                <w:bCs w:val="0"/>
                <w:webHidden/>
              </w:rPr>
              <w:fldChar w:fldCharType="separate"/>
            </w:r>
            <w:r w:rsidRPr="00EA70D6">
              <w:rPr>
                <w:b w:val="0"/>
                <w:bCs w:val="0"/>
                <w:webHidden/>
              </w:rPr>
              <w:t>3</w:t>
            </w:r>
            <w:r w:rsidRPr="00EA70D6">
              <w:rPr>
                <w:b w:val="0"/>
                <w:bCs w:val="0"/>
                <w:webHidden/>
              </w:rPr>
              <w:fldChar w:fldCharType="end"/>
            </w:r>
          </w:hyperlink>
        </w:p>
        <w:p w14:paraId="28AFFA8C" w14:textId="15514BCB" w:rsidR="00EA70D6" w:rsidRPr="00EA70D6" w:rsidRDefault="00EA70D6" w:rsidP="00EA70D6">
          <w:pPr>
            <w:pStyle w:val="TDC1"/>
            <w:rPr>
              <w:rFonts w:asciiTheme="minorHAnsi" w:eastAsiaTheme="minorEastAsia" w:hAnsiTheme="minorHAnsi" w:cstheme="minorBidi"/>
              <w:b w:val="0"/>
              <w:bCs w:val="0"/>
              <w:kern w:val="2"/>
              <w:sz w:val="24"/>
              <w:szCs w:val="24"/>
              <w:lang w:eastAsia="es-MX" w:bidi="ar-SA"/>
              <w14:ligatures w14:val="standardContextual"/>
            </w:rPr>
          </w:pPr>
          <w:hyperlink w:anchor="_Toc235708178" w:history="1">
            <w:r w:rsidRPr="00EA70D6">
              <w:rPr>
                <w:rStyle w:val="Hipervnculo"/>
                <w:b w:val="0"/>
                <w:bCs w:val="0"/>
              </w:rPr>
              <w:t>4.</w:t>
            </w:r>
            <w:r w:rsidRPr="00EA70D6">
              <w:rPr>
                <w:rFonts w:asciiTheme="minorHAnsi" w:eastAsiaTheme="minorEastAsia" w:hAnsiTheme="minorHAnsi" w:cstheme="minorBidi"/>
                <w:b w:val="0"/>
                <w:bCs w:val="0"/>
                <w:kern w:val="2"/>
                <w:sz w:val="24"/>
                <w:szCs w:val="24"/>
                <w:lang w:eastAsia="es-MX" w:bidi="ar-SA"/>
                <w14:ligatures w14:val="standardContextual"/>
              </w:rPr>
              <w:tab/>
            </w:r>
            <w:r w:rsidRPr="00EA70D6">
              <w:rPr>
                <w:rStyle w:val="Hipervnculo"/>
                <w:b w:val="0"/>
                <w:bCs w:val="0"/>
              </w:rPr>
              <w:t>JUSTIFICACIÓN</w:t>
            </w:r>
            <w:r w:rsidRPr="00EA70D6">
              <w:rPr>
                <w:b w:val="0"/>
                <w:bCs w:val="0"/>
                <w:webHidden/>
              </w:rPr>
              <w:tab/>
            </w:r>
            <w:r w:rsidRPr="00EA70D6">
              <w:rPr>
                <w:b w:val="0"/>
                <w:bCs w:val="0"/>
                <w:webHidden/>
              </w:rPr>
              <w:fldChar w:fldCharType="begin"/>
            </w:r>
            <w:r w:rsidRPr="00EA70D6">
              <w:rPr>
                <w:b w:val="0"/>
                <w:bCs w:val="0"/>
                <w:webHidden/>
              </w:rPr>
              <w:instrText xml:space="preserve"> PAGEREF _Toc235708178 \h </w:instrText>
            </w:r>
            <w:r w:rsidRPr="00EA70D6">
              <w:rPr>
                <w:b w:val="0"/>
                <w:bCs w:val="0"/>
                <w:webHidden/>
              </w:rPr>
            </w:r>
            <w:r w:rsidRPr="00EA70D6">
              <w:rPr>
                <w:b w:val="0"/>
                <w:bCs w:val="0"/>
                <w:webHidden/>
              </w:rPr>
              <w:fldChar w:fldCharType="separate"/>
            </w:r>
            <w:r w:rsidRPr="00EA70D6">
              <w:rPr>
                <w:b w:val="0"/>
                <w:bCs w:val="0"/>
                <w:webHidden/>
              </w:rPr>
              <w:t>3</w:t>
            </w:r>
            <w:r w:rsidRPr="00EA70D6">
              <w:rPr>
                <w:b w:val="0"/>
                <w:bCs w:val="0"/>
                <w:webHidden/>
              </w:rPr>
              <w:fldChar w:fldCharType="end"/>
            </w:r>
          </w:hyperlink>
        </w:p>
        <w:p w14:paraId="022BA4FB" w14:textId="166FC3AD" w:rsidR="00EA70D6" w:rsidRPr="00EA70D6" w:rsidRDefault="00EA70D6" w:rsidP="00EA70D6">
          <w:pPr>
            <w:pStyle w:val="TDC2"/>
            <w:spacing w:after="0"/>
            <w:rPr>
              <w:rFonts w:asciiTheme="minorHAnsi" w:eastAsiaTheme="minorEastAsia" w:hAnsiTheme="minorHAnsi" w:cstheme="minorBidi"/>
              <w:b w:val="0"/>
              <w:kern w:val="2"/>
              <w:sz w:val="24"/>
              <w:szCs w:val="24"/>
              <w:lang w:val="es-MX" w:eastAsia="es-MX"/>
              <w14:ligatures w14:val="standardContextual"/>
            </w:rPr>
          </w:pPr>
          <w:hyperlink w:anchor="_Toc235708179" w:history="1">
            <w:r w:rsidRPr="00EA70D6">
              <w:rPr>
                <w:rStyle w:val="Hipervnculo"/>
                <w:b w:val="0"/>
              </w:rPr>
              <w:t>4.1. Marco normativo</w:t>
            </w:r>
            <w:r w:rsidRPr="00EA70D6">
              <w:rPr>
                <w:b w:val="0"/>
                <w:webHidden/>
              </w:rPr>
              <w:tab/>
            </w:r>
            <w:r w:rsidRPr="00EA70D6">
              <w:rPr>
                <w:b w:val="0"/>
                <w:webHidden/>
              </w:rPr>
              <w:fldChar w:fldCharType="begin"/>
            </w:r>
            <w:r w:rsidRPr="00EA70D6">
              <w:rPr>
                <w:b w:val="0"/>
                <w:webHidden/>
              </w:rPr>
              <w:instrText xml:space="preserve"> PAGEREF _Toc235708179 \h </w:instrText>
            </w:r>
            <w:r w:rsidRPr="00EA70D6">
              <w:rPr>
                <w:b w:val="0"/>
                <w:webHidden/>
              </w:rPr>
            </w:r>
            <w:r w:rsidRPr="00EA70D6">
              <w:rPr>
                <w:b w:val="0"/>
                <w:webHidden/>
              </w:rPr>
              <w:fldChar w:fldCharType="separate"/>
            </w:r>
            <w:r w:rsidRPr="00EA70D6">
              <w:rPr>
                <w:b w:val="0"/>
                <w:webHidden/>
              </w:rPr>
              <w:t>3</w:t>
            </w:r>
            <w:r w:rsidRPr="00EA70D6">
              <w:rPr>
                <w:b w:val="0"/>
                <w:webHidden/>
              </w:rPr>
              <w:fldChar w:fldCharType="end"/>
            </w:r>
          </w:hyperlink>
        </w:p>
        <w:p w14:paraId="5F64D5AC" w14:textId="51F478AF" w:rsidR="00EA70D6" w:rsidRPr="00EA70D6" w:rsidRDefault="00EA70D6" w:rsidP="00EA70D6">
          <w:pPr>
            <w:pStyle w:val="TDC2"/>
            <w:spacing w:after="0"/>
            <w:rPr>
              <w:rFonts w:asciiTheme="minorHAnsi" w:eastAsiaTheme="minorEastAsia" w:hAnsiTheme="minorHAnsi" w:cstheme="minorBidi"/>
              <w:b w:val="0"/>
              <w:kern w:val="2"/>
              <w:sz w:val="24"/>
              <w:szCs w:val="24"/>
              <w:lang w:val="es-MX" w:eastAsia="es-MX"/>
              <w14:ligatures w14:val="standardContextual"/>
            </w:rPr>
          </w:pPr>
          <w:hyperlink w:anchor="_Toc235708180" w:history="1">
            <w:r w:rsidRPr="00EA70D6">
              <w:rPr>
                <w:rStyle w:val="Hipervnculo"/>
                <w:b w:val="0"/>
              </w:rPr>
              <w:t>4.2. Sentencia impugnada</w:t>
            </w:r>
            <w:r w:rsidRPr="00EA70D6">
              <w:rPr>
                <w:b w:val="0"/>
                <w:webHidden/>
              </w:rPr>
              <w:tab/>
            </w:r>
            <w:r w:rsidRPr="00EA70D6">
              <w:rPr>
                <w:b w:val="0"/>
                <w:webHidden/>
              </w:rPr>
              <w:fldChar w:fldCharType="begin"/>
            </w:r>
            <w:r w:rsidRPr="00EA70D6">
              <w:rPr>
                <w:b w:val="0"/>
                <w:webHidden/>
              </w:rPr>
              <w:instrText xml:space="preserve"> PAGEREF _Toc235708180 \h </w:instrText>
            </w:r>
            <w:r w:rsidRPr="00EA70D6">
              <w:rPr>
                <w:b w:val="0"/>
                <w:webHidden/>
              </w:rPr>
            </w:r>
            <w:r w:rsidRPr="00EA70D6">
              <w:rPr>
                <w:b w:val="0"/>
                <w:webHidden/>
              </w:rPr>
              <w:fldChar w:fldCharType="separate"/>
            </w:r>
            <w:r w:rsidRPr="00EA70D6">
              <w:rPr>
                <w:b w:val="0"/>
                <w:webHidden/>
              </w:rPr>
              <w:t>6</w:t>
            </w:r>
            <w:r w:rsidRPr="00EA70D6">
              <w:rPr>
                <w:b w:val="0"/>
                <w:webHidden/>
              </w:rPr>
              <w:fldChar w:fldCharType="end"/>
            </w:r>
          </w:hyperlink>
        </w:p>
        <w:p w14:paraId="3A6612EF" w14:textId="25D56EB6" w:rsidR="00EA70D6" w:rsidRPr="00EA70D6" w:rsidRDefault="00EA70D6" w:rsidP="00EA70D6">
          <w:pPr>
            <w:pStyle w:val="TDC2"/>
            <w:spacing w:after="0"/>
            <w:rPr>
              <w:rFonts w:asciiTheme="minorHAnsi" w:eastAsiaTheme="minorEastAsia" w:hAnsiTheme="minorHAnsi" w:cstheme="minorBidi"/>
              <w:b w:val="0"/>
              <w:kern w:val="2"/>
              <w:sz w:val="24"/>
              <w:szCs w:val="24"/>
              <w:lang w:val="es-MX" w:eastAsia="es-MX"/>
              <w14:ligatures w14:val="standardContextual"/>
            </w:rPr>
          </w:pPr>
          <w:hyperlink w:anchor="_Toc235708181" w:history="1">
            <w:r w:rsidRPr="00EA70D6">
              <w:rPr>
                <w:rStyle w:val="Hipervnculo"/>
                <w:b w:val="0"/>
              </w:rPr>
              <w:t>4.3. Agravios ante esta Sala Superior</w:t>
            </w:r>
            <w:r w:rsidRPr="00EA70D6">
              <w:rPr>
                <w:b w:val="0"/>
                <w:webHidden/>
              </w:rPr>
              <w:tab/>
            </w:r>
            <w:r w:rsidRPr="00EA70D6">
              <w:rPr>
                <w:b w:val="0"/>
                <w:webHidden/>
              </w:rPr>
              <w:fldChar w:fldCharType="begin"/>
            </w:r>
            <w:r w:rsidRPr="00EA70D6">
              <w:rPr>
                <w:b w:val="0"/>
                <w:webHidden/>
              </w:rPr>
              <w:instrText xml:space="preserve"> PAGEREF _Toc235708181 \h </w:instrText>
            </w:r>
            <w:r w:rsidRPr="00EA70D6">
              <w:rPr>
                <w:b w:val="0"/>
                <w:webHidden/>
              </w:rPr>
            </w:r>
            <w:r w:rsidRPr="00EA70D6">
              <w:rPr>
                <w:b w:val="0"/>
                <w:webHidden/>
              </w:rPr>
              <w:fldChar w:fldCharType="separate"/>
            </w:r>
            <w:r w:rsidRPr="00EA70D6">
              <w:rPr>
                <w:b w:val="0"/>
                <w:webHidden/>
              </w:rPr>
              <w:t>11</w:t>
            </w:r>
            <w:r w:rsidRPr="00EA70D6">
              <w:rPr>
                <w:b w:val="0"/>
                <w:webHidden/>
              </w:rPr>
              <w:fldChar w:fldCharType="end"/>
            </w:r>
          </w:hyperlink>
        </w:p>
        <w:p w14:paraId="78F1376F" w14:textId="4467BDDA" w:rsidR="00EA70D6" w:rsidRPr="00EA70D6" w:rsidRDefault="00EA70D6" w:rsidP="00EA70D6">
          <w:pPr>
            <w:pStyle w:val="TDC2"/>
            <w:spacing w:after="0"/>
            <w:rPr>
              <w:rFonts w:asciiTheme="minorHAnsi" w:eastAsiaTheme="minorEastAsia" w:hAnsiTheme="minorHAnsi" w:cstheme="minorBidi"/>
              <w:b w:val="0"/>
              <w:kern w:val="2"/>
              <w:sz w:val="24"/>
              <w:szCs w:val="24"/>
              <w:lang w:val="es-MX" w:eastAsia="es-MX"/>
              <w14:ligatures w14:val="standardContextual"/>
            </w:rPr>
          </w:pPr>
          <w:hyperlink w:anchor="_Toc235708182" w:history="1">
            <w:r w:rsidRPr="00EA70D6">
              <w:rPr>
                <w:rStyle w:val="Hipervnculo"/>
                <w:b w:val="0"/>
              </w:rPr>
              <w:t>4.4. Razones que sustentan la decisión de esta Sala Superior</w:t>
            </w:r>
            <w:r w:rsidRPr="00EA70D6">
              <w:rPr>
                <w:b w:val="0"/>
                <w:webHidden/>
              </w:rPr>
              <w:tab/>
            </w:r>
            <w:r w:rsidRPr="00EA70D6">
              <w:rPr>
                <w:b w:val="0"/>
                <w:webHidden/>
              </w:rPr>
              <w:fldChar w:fldCharType="begin"/>
            </w:r>
            <w:r w:rsidRPr="00EA70D6">
              <w:rPr>
                <w:b w:val="0"/>
                <w:webHidden/>
              </w:rPr>
              <w:instrText xml:space="preserve"> PAGEREF _Toc235708182 \h </w:instrText>
            </w:r>
            <w:r w:rsidRPr="00EA70D6">
              <w:rPr>
                <w:b w:val="0"/>
                <w:webHidden/>
              </w:rPr>
            </w:r>
            <w:r w:rsidRPr="00EA70D6">
              <w:rPr>
                <w:b w:val="0"/>
                <w:webHidden/>
              </w:rPr>
              <w:fldChar w:fldCharType="separate"/>
            </w:r>
            <w:r w:rsidRPr="00EA70D6">
              <w:rPr>
                <w:b w:val="0"/>
                <w:webHidden/>
              </w:rPr>
              <w:t>14</w:t>
            </w:r>
            <w:r w:rsidRPr="00EA70D6">
              <w:rPr>
                <w:b w:val="0"/>
                <w:webHidden/>
              </w:rPr>
              <w:fldChar w:fldCharType="end"/>
            </w:r>
          </w:hyperlink>
        </w:p>
        <w:p w14:paraId="58E88AA5" w14:textId="09DC31C2" w:rsidR="00EA70D6" w:rsidRPr="00EA70D6" w:rsidRDefault="00EA70D6" w:rsidP="00EA70D6">
          <w:pPr>
            <w:pStyle w:val="TDC1"/>
            <w:rPr>
              <w:rFonts w:asciiTheme="minorHAnsi" w:eastAsiaTheme="minorEastAsia" w:hAnsiTheme="minorHAnsi" w:cstheme="minorBidi"/>
              <w:b w:val="0"/>
              <w:bCs w:val="0"/>
              <w:kern w:val="2"/>
              <w:sz w:val="24"/>
              <w:szCs w:val="24"/>
              <w:lang w:eastAsia="es-MX" w:bidi="ar-SA"/>
              <w14:ligatures w14:val="standardContextual"/>
            </w:rPr>
          </w:pPr>
          <w:hyperlink w:anchor="_Toc235708183" w:history="1">
            <w:r w:rsidRPr="00EA70D6">
              <w:rPr>
                <w:rStyle w:val="Hipervnculo"/>
                <w:b w:val="0"/>
                <w:bCs w:val="0"/>
              </w:rPr>
              <w:t>5.</w:t>
            </w:r>
            <w:r w:rsidRPr="00EA70D6">
              <w:rPr>
                <w:rFonts w:asciiTheme="minorHAnsi" w:eastAsiaTheme="minorEastAsia" w:hAnsiTheme="minorHAnsi" w:cstheme="minorBidi"/>
                <w:b w:val="0"/>
                <w:bCs w:val="0"/>
                <w:kern w:val="2"/>
                <w:sz w:val="24"/>
                <w:szCs w:val="24"/>
                <w:lang w:eastAsia="es-MX" w:bidi="ar-SA"/>
                <w14:ligatures w14:val="standardContextual"/>
              </w:rPr>
              <w:tab/>
            </w:r>
            <w:r w:rsidRPr="00EA70D6">
              <w:rPr>
                <w:rStyle w:val="Hipervnculo"/>
                <w:b w:val="0"/>
                <w:bCs w:val="0"/>
              </w:rPr>
              <w:t>RESOLUTIVOS</w:t>
            </w:r>
            <w:r w:rsidRPr="00EA70D6">
              <w:rPr>
                <w:b w:val="0"/>
                <w:bCs w:val="0"/>
                <w:webHidden/>
              </w:rPr>
              <w:tab/>
            </w:r>
            <w:r w:rsidRPr="00EA70D6">
              <w:rPr>
                <w:b w:val="0"/>
                <w:bCs w:val="0"/>
                <w:webHidden/>
              </w:rPr>
              <w:fldChar w:fldCharType="begin"/>
            </w:r>
            <w:r w:rsidRPr="00EA70D6">
              <w:rPr>
                <w:b w:val="0"/>
                <w:bCs w:val="0"/>
                <w:webHidden/>
              </w:rPr>
              <w:instrText xml:space="preserve"> PAGEREF _Toc235708183 \h </w:instrText>
            </w:r>
            <w:r w:rsidRPr="00EA70D6">
              <w:rPr>
                <w:b w:val="0"/>
                <w:bCs w:val="0"/>
                <w:webHidden/>
              </w:rPr>
            </w:r>
            <w:r w:rsidRPr="00EA70D6">
              <w:rPr>
                <w:b w:val="0"/>
                <w:bCs w:val="0"/>
                <w:webHidden/>
              </w:rPr>
              <w:fldChar w:fldCharType="separate"/>
            </w:r>
            <w:r w:rsidRPr="00EA70D6">
              <w:rPr>
                <w:b w:val="0"/>
                <w:bCs w:val="0"/>
                <w:webHidden/>
              </w:rPr>
              <w:t>18</w:t>
            </w:r>
            <w:r w:rsidRPr="00EA70D6">
              <w:rPr>
                <w:b w:val="0"/>
                <w:bCs w:val="0"/>
                <w:webHidden/>
              </w:rPr>
              <w:fldChar w:fldCharType="end"/>
            </w:r>
          </w:hyperlink>
        </w:p>
        <w:p w14:paraId="7F829024" w14:textId="6C1BB661" w:rsidR="002D6119" w:rsidRPr="00300755" w:rsidRDefault="000D0D0F" w:rsidP="00EA70D6">
          <w:pPr>
            <w:pStyle w:val="TDC1"/>
          </w:pPr>
          <w:r w:rsidRPr="00EA70D6">
            <w:rPr>
              <w:b w:val="0"/>
              <w:bCs w:val="0"/>
            </w:rPr>
            <w:fldChar w:fldCharType="end"/>
          </w:r>
        </w:p>
      </w:sdtContent>
    </w:sdt>
    <w:bookmarkStart w:id="0" w:name="_Toc98792604" w:displacedByCustomXml="prev"/>
    <w:p w14:paraId="7C412148" w14:textId="37DCA3C0" w:rsidR="00550201" w:rsidRPr="00F96307" w:rsidRDefault="00550201" w:rsidP="00773DEA">
      <w:pPr>
        <w:pStyle w:val="Ttulo1"/>
        <w:spacing w:before="200" w:after="200"/>
        <w:ind w:left="360" w:right="51"/>
        <w:jc w:val="center"/>
        <w:rPr>
          <w:rFonts w:ascii="Arial" w:eastAsia="Calibri" w:hAnsi="Arial" w:cs="Arial"/>
          <w:b/>
          <w:color w:val="auto"/>
          <w:spacing w:val="26"/>
          <w:sz w:val="24"/>
          <w:szCs w:val="24"/>
        </w:rPr>
      </w:pPr>
      <w:bookmarkStart w:id="1" w:name="_Toc224747521"/>
      <w:bookmarkStart w:id="2" w:name="_Toc235708174"/>
      <w:r w:rsidRPr="00F96307">
        <w:rPr>
          <w:rFonts w:ascii="Arial" w:hAnsi="Arial" w:cs="Arial"/>
          <w:b/>
          <w:color w:val="auto"/>
          <w:sz w:val="24"/>
          <w:szCs w:val="24"/>
        </w:rPr>
        <w:t>GLOSARIO</w:t>
      </w:r>
      <w:bookmarkEnd w:id="1"/>
      <w:bookmarkEnd w:id="2"/>
    </w:p>
    <w:tbl>
      <w:tblPr>
        <w:tblStyle w:val="Tablaconcuadrcula1"/>
        <w:tblW w:w="6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gridCol w:w="4206"/>
      </w:tblGrid>
      <w:tr w:rsidR="00804D0E" w:rsidRPr="00F96307" w14:paraId="1106184E" w14:textId="77777777" w:rsidTr="00A179CA">
        <w:trPr>
          <w:trHeight w:val="17"/>
        </w:trPr>
        <w:tc>
          <w:tcPr>
            <w:tcW w:w="2679" w:type="dxa"/>
            <w:vAlign w:val="center"/>
          </w:tcPr>
          <w:p w14:paraId="1A4B572F" w14:textId="073869B9" w:rsidR="00804D0E" w:rsidRPr="00F96307" w:rsidRDefault="00804D0E" w:rsidP="00804D0E">
            <w:pPr>
              <w:ind w:right="51"/>
              <w:jc w:val="center"/>
              <w:rPr>
                <w:rFonts w:eastAsia="Times New Roman" w:cs="Arial"/>
                <w:b/>
                <w:sz w:val="20"/>
                <w:lang w:eastAsia="es-ES"/>
              </w:rPr>
            </w:pPr>
            <w:r w:rsidRPr="00F96307">
              <w:rPr>
                <w:rFonts w:eastAsia="Times New Roman" w:cs="Arial"/>
                <w:b/>
                <w:bCs/>
                <w:sz w:val="20"/>
                <w:lang w:eastAsia="x-none"/>
              </w:rPr>
              <w:t>Constitución General</w:t>
            </w:r>
            <w:r w:rsidR="00300755">
              <w:rPr>
                <w:rFonts w:eastAsia="Times New Roman" w:cs="Arial"/>
                <w:b/>
                <w:bCs/>
                <w:sz w:val="20"/>
                <w:lang w:eastAsia="x-none"/>
              </w:rPr>
              <w:t>:</w:t>
            </w:r>
          </w:p>
        </w:tc>
        <w:tc>
          <w:tcPr>
            <w:tcW w:w="4206" w:type="dxa"/>
          </w:tcPr>
          <w:p w14:paraId="575C751F" w14:textId="101CFB0B" w:rsidR="00804D0E" w:rsidRPr="00F96307" w:rsidRDefault="00804D0E" w:rsidP="00804D0E">
            <w:pPr>
              <w:ind w:right="51"/>
              <w:jc w:val="both"/>
              <w:rPr>
                <w:rFonts w:cs="Arial"/>
                <w:bCs/>
                <w:sz w:val="20"/>
                <w:lang w:eastAsia="x-none"/>
              </w:rPr>
            </w:pPr>
            <w:r w:rsidRPr="00F96307">
              <w:rPr>
                <w:rFonts w:eastAsia="Times New Roman" w:cs="Arial"/>
                <w:bCs/>
                <w:sz w:val="20"/>
                <w:lang w:eastAsia="x-none"/>
              </w:rPr>
              <w:t>Constitución Política de los Estados Unidos Mexicanos</w:t>
            </w:r>
          </w:p>
        </w:tc>
      </w:tr>
      <w:tr w:rsidR="00804D0E" w:rsidRPr="00F96307" w14:paraId="1A4E7068" w14:textId="77777777" w:rsidTr="00A179CA">
        <w:trPr>
          <w:trHeight w:val="17"/>
        </w:trPr>
        <w:tc>
          <w:tcPr>
            <w:tcW w:w="2679" w:type="dxa"/>
            <w:vAlign w:val="center"/>
            <w:hideMark/>
          </w:tcPr>
          <w:p w14:paraId="3383576D" w14:textId="1A3CA1A5" w:rsidR="00804D0E" w:rsidRPr="00F96307" w:rsidRDefault="00804D0E" w:rsidP="00804D0E">
            <w:pPr>
              <w:ind w:right="51"/>
              <w:jc w:val="center"/>
              <w:rPr>
                <w:rFonts w:eastAsia="Times New Roman" w:cs="Arial"/>
                <w:b/>
                <w:bCs/>
                <w:sz w:val="20"/>
                <w:lang w:eastAsia="x-none"/>
              </w:rPr>
            </w:pPr>
            <w:r w:rsidRPr="00F96307">
              <w:rPr>
                <w:rFonts w:eastAsia="Times New Roman" w:cs="Arial"/>
                <w:b/>
                <w:bCs/>
                <w:sz w:val="20"/>
                <w:lang w:eastAsia="x-none"/>
              </w:rPr>
              <w:t>Ley de Medios</w:t>
            </w:r>
            <w:r w:rsidR="00300755">
              <w:rPr>
                <w:rFonts w:eastAsia="Times New Roman" w:cs="Arial"/>
                <w:b/>
                <w:bCs/>
                <w:sz w:val="20"/>
                <w:lang w:eastAsia="x-none"/>
              </w:rPr>
              <w:t>:</w:t>
            </w:r>
          </w:p>
        </w:tc>
        <w:tc>
          <w:tcPr>
            <w:tcW w:w="4206" w:type="dxa"/>
            <w:hideMark/>
          </w:tcPr>
          <w:p w14:paraId="50BDBED2" w14:textId="77777777" w:rsidR="00804D0E" w:rsidRPr="00F96307" w:rsidRDefault="00804D0E" w:rsidP="00804D0E">
            <w:pPr>
              <w:ind w:right="51"/>
              <w:jc w:val="both"/>
              <w:rPr>
                <w:rFonts w:eastAsia="Times New Roman" w:cs="Arial"/>
                <w:bCs/>
                <w:sz w:val="20"/>
                <w:lang w:eastAsia="x-none"/>
              </w:rPr>
            </w:pPr>
            <w:r w:rsidRPr="00F96307">
              <w:rPr>
                <w:rFonts w:eastAsia="Times New Roman" w:cs="Arial"/>
                <w:bCs/>
                <w:sz w:val="20"/>
                <w:lang w:eastAsia="x-none"/>
              </w:rPr>
              <w:t>Ley General del Sistema de Medios de Impugnación en Materia Electoral</w:t>
            </w:r>
          </w:p>
        </w:tc>
      </w:tr>
      <w:tr w:rsidR="007037E4" w:rsidRPr="00F96307" w14:paraId="583934B8" w14:textId="77777777" w:rsidTr="00A179CA">
        <w:trPr>
          <w:trHeight w:val="17"/>
        </w:trPr>
        <w:tc>
          <w:tcPr>
            <w:tcW w:w="2679" w:type="dxa"/>
            <w:vAlign w:val="center"/>
          </w:tcPr>
          <w:p w14:paraId="503D9A1C" w14:textId="460BDA74" w:rsidR="007037E4" w:rsidRPr="00F96307" w:rsidRDefault="007037E4" w:rsidP="00804D0E">
            <w:pPr>
              <w:ind w:right="51"/>
              <w:jc w:val="center"/>
              <w:rPr>
                <w:rFonts w:eastAsia="Times New Roman" w:cs="Arial"/>
                <w:b/>
                <w:bCs/>
                <w:sz w:val="20"/>
                <w:lang w:eastAsia="x-none"/>
              </w:rPr>
            </w:pPr>
            <w:r>
              <w:rPr>
                <w:rFonts w:eastAsia="Times New Roman" w:cs="Arial"/>
                <w:b/>
                <w:bCs/>
                <w:sz w:val="20"/>
                <w:lang w:eastAsia="x-none"/>
              </w:rPr>
              <w:t>LEGIPE o Ley General:</w:t>
            </w:r>
          </w:p>
        </w:tc>
        <w:tc>
          <w:tcPr>
            <w:tcW w:w="4206" w:type="dxa"/>
          </w:tcPr>
          <w:p w14:paraId="664DF83D" w14:textId="2662EC41" w:rsidR="007037E4" w:rsidRPr="00F96307" w:rsidRDefault="007037E4" w:rsidP="00804D0E">
            <w:pPr>
              <w:ind w:right="51"/>
              <w:jc w:val="both"/>
              <w:rPr>
                <w:rFonts w:eastAsia="Times New Roman" w:cs="Arial"/>
                <w:bCs/>
                <w:sz w:val="20"/>
                <w:lang w:eastAsia="x-none"/>
              </w:rPr>
            </w:pPr>
            <w:r>
              <w:rPr>
                <w:rFonts w:eastAsia="Times New Roman" w:cs="Arial"/>
                <w:bCs/>
                <w:sz w:val="20"/>
                <w:lang w:eastAsia="x-none"/>
              </w:rPr>
              <w:t>Ley General de Instituciones y Procedimientos Electorales</w:t>
            </w:r>
          </w:p>
        </w:tc>
      </w:tr>
      <w:tr w:rsidR="00804D0E" w:rsidRPr="00F96307" w14:paraId="7E73F988" w14:textId="77777777" w:rsidTr="00A179CA">
        <w:trPr>
          <w:trHeight w:val="17"/>
        </w:trPr>
        <w:tc>
          <w:tcPr>
            <w:tcW w:w="2679" w:type="dxa"/>
            <w:vAlign w:val="center"/>
          </w:tcPr>
          <w:p w14:paraId="04E53503" w14:textId="2311FCB4" w:rsidR="00804D0E" w:rsidRPr="00300755" w:rsidRDefault="00804D0E" w:rsidP="00804D0E">
            <w:pPr>
              <w:ind w:right="51"/>
              <w:jc w:val="center"/>
              <w:rPr>
                <w:rFonts w:eastAsia="Times New Roman" w:cs="Arial"/>
                <w:b/>
                <w:sz w:val="20"/>
                <w:lang w:val="pt-BR" w:eastAsia="es-ES"/>
              </w:rPr>
            </w:pPr>
            <w:r w:rsidRPr="00300755">
              <w:rPr>
                <w:rFonts w:eastAsia="Times New Roman" w:cs="Arial"/>
                <w:b/>
                <w:bCs/>
                <w:sz w:val="20"/>
                <w:lang w:val="pt-BR" w:eastAsia="x-none"/>
              </w:rPr>
              <w:t xml:space="preserve">Sala Regional o Sala </w:t>
            </w:r>
            <w:r w:rsidR="00DA140E" w:rsidRPr="00300755">
              <w:rPr>
                <w:rFonts w:eastAsia="Times New Roman" w:cs="Arial"/>
                <w:b/>
                <w:bCs/>
                <w:sz w:val="20"/>
                <w:lang w:val="pt-BR" w:eastAsia="x-none"/>
              </w:rPr>
              <w:t>Toluca</w:t>
            </w:r>
            <w:r w:rsidR="00300755">
              <w:rPr>
                <w:rFonts w:eastAsia="Times New Roman" w:cs="Arial"/>
                <w:b/>
                <w:bCs/>
                <w:sz w:val="20"/>
                <w:lang w:val="pt-BR" w:eastAsia="x-none"/>
              </w:rPr>
              <w:t>:</w:t>
            </w:r>
          </w:p>
        </w:tc>
        <w:tc>
          <w:tcPr>
            <w:tcW w:w="4206" w:type="dxa"/>
          </w:tcPr>
          <w:p w14:paraId="682F6CF6" w14:textId="582540A4" w:rsidR="00804D0E" w:rsidRPr="00F96307" w:rsidRDefault="00804D0E" w:rsidP="00804D0E">
            <w:pPr>
              <w:ind w:right="51"/>
              <w:jc w:val="both"/>
              <w:rPr>
                <w:rFonts w:cs="Arial"/>
                <w:sz w:val="20"/>
                <w:lang w:eastAsia="x-none"/>
              </w:rPr>
            </w:pPr>
            <w:r w:rsidRPr="00F96307">
              <w:rPr>
                <w:rFonts w:cs="Arial"/>
                <w:sz w:val="20"/>
                <w:lang w:eastAsia="x-none"/>
              </w:rPr>
              <w:t xml:space="preserve">Sala Regional del Tribunal Electoral del Poder Judicial de la Federación, correspondiente a la </w:t>
            </w:r>
            <w:r w:rsidR="00DA140E" w:rsidRPr="00F96307">
              <w:rPr>
                <w:rFonts w:cs="Arial"/>
                <w:sz w:val="20"/>
                <w:lang w:eastAsia="x-none"/>
              </w:rPr>
              <w:t>Cuarta</w:t>
            </w:r>
            <w:r w:rsidRPr="00F96307">
              <w:rPr>
                <w:rFonts w:cs="Arial"/>
                <w:sz w:val="20"/>
                <w:lang w:eastAsia="x-none"/>
              </w:rPr>
              <w:t xml:space="preserve"> Circunscripción Plurinominal, con sede en </w:t>
            </w:r>
            <w:r w:rsidR="00DA140E" w:rsidRPr="00F96307">
              <w:rPr>
                <w:rFonts w:cs="Arial"/>
                <w:sz w:val="20"/>
                <w:lang w:eastAsia="x-none"/>
              </w:rPr>
              <w:t>Toluca</w:t>
            </w:r>
          </w:p>
        </w:tc>
      </w:tr>
      <w:tr w:rsidR="00804D0E" w:rsidRPr="00F96307" w14:paraId="288980BE" w14:textId="77777777" w:rsidTr="00A179CA">
        <w:trPr>
          <w:trHeight w:val="17"/>
        </w:trPr>
        <w:tc>
          <w:tcPr>
            <w:tcW w:w="2679" w:type="dxa"/>
            <w:vAlign w:val="center"/>
          </w:tcPr>
          <w:p w14:paraId="47075684" w14:textId="04183CFE" w:rsidR="00804D0E" w:rsidRPr="00F96307" w:rsidRDefault="00804D0E" w:rsidP="00804D0E">
            <w:pPr>
              <w:ind w:right="51"/>
              <w:jc w:val="center"/>
              <w:rPr>
                <w:rFonts w:eastAsia="Times New Roman" w:cs="Arial"/>
                <w:b/>
                <w:bCs/>
                <w:sz w:val="20"/>
                <w:lang w:eastAsia="x-none"/>
              </w:rPr>
            </w:pPr>
            <w:r w:rsidRPr="00F96307">
              <w:rPr>
                <w:rFonts w:eastAsia="Times New Roman" w:cs="Arial"/>
                <w:b/>
                <w:bCs/>
                <w:sz w:val="20"/>
                <w:lang w:eastAsia="x-none"/>
              </w:rPr>
              <w:lastRenderedPageBreak/>
              <w:t>Sala Superior</w:t>
            </w:r>
            <w:r w:rsidR="00300755">
              <w:rPr>
                <w:rFonts w:eastAsia="Times New Roman" w:cs="Arial"/>
                <w:b/>
                <w:bCs/>
                <w:sz w:val="20"/>
                <w:lang w:eastAsia="x-none"/>
              </w:rPr>
              <w:t>:</w:t>
            </w:r>
          </w:p>
        </w:tc>
        <w:tc>
          <w:tcPr>
            <w:tcW w:w="4206" w:type="dxa"/>
          </w:tcPr>
          <w:p w14:paraId="7F8EE8E4" w14:textId="68266D57" w:rsidR="00804D0E" w:rsidRPr="00F96307" w:rsidRDefault="00804D0E" w:rsidP="00804D0E">
            <w:pPr>
              <w:ind w:right="51"/>
              <w:jc w:val="both"/>
              <w:rPr>
                <w:rFonts w:cs="Arial"/>
                <w:sz w:val="20"/>
                <w:lang w:eastAsia="x-none"/>
              </w:rPr>
            </w:pPr>
            <w:r w:rsidRPr="00F96307">
              <w:rPr>
                <w:rFonts w:cs="Arial"/>
                <w:sz w:val="20"/>
                <w:lang w:eastAsia="x-none"/>
              </w:rPr>
              <w:t>Sala Superior del Tribunal Electoral del Poder Judicial de la Federación</w:t>
            </w:r>
          </w:p>
        </w:tc>
      </w:tr>
      <w:tr w:rsidR="00804D0E" w:rsidRPr="00F96307" w14:paraId="7AAB7E97" w14:textId="77777777" w:rsidTr="00A179CA">
        <w:trPr>
          <w:trHeight w:val="17"/>
        </w:trPr>
        <w:tc>
          <w:tcPr>
            <w:tcW w:w="2679" w:type="dxa"/>
            <w:vAlign w:val="center"/>
          </w:tcPr>
          <w:p w14:paraId="24F34545" w14:textId="30E88735" w:rsidR="00804D0E" w:rsidRPr="00F96307" w:rsidRDefault="00804D0E" w:rsidP="00804D0E">
            <w:pPr>
              <w:ind w:right="51"/>
              <w:jc w:val="center"/>
              <w:rPr>
                <w:rFonts w:eastAsia="Times New Roman" w:cs="Arial"/>
                <w:b/>
                <w:sz w:val="20"/>
                <w:lang w:eastAsia="es-ES"/>
              </w:rPr>
            </w:pPr>
            <w:r w:rsidRPr="00F96307">
              <w:rPr>
                <w:rFonts w:eastAsia="Times New Roman" w:cs="Arial"/>
                <w:b/>
                <w:sz w:val="20"/>
                <w:lang w:eastAsia="es-ES"/>
              </w:rPr>
              <w:t>Tribunal local</w:t>
            </w:r>
            <w:r w:rsidR="00300755">
              <w:rPr>
                <w:rFonts w:eastAsia="Times New Roman" w:cs="Arial"/>
                <w:b/>
                <w:sz w:val="20"/>
                <w:lang w:eastAsia="es-ES"/>
              </w:rPr>
              <w:t>:</w:t>
            </w:r>
          </w:p>
        </w:tc>
        <w:tc>
          <w:tcPr>
            <w:tcW w:w="4206" w:type="dxa"/>
          </w:tcPr>
          <w:p w14:paraId="23B53B2A" w14:textId="70F2025D" w:rsidR="00804D0E" w:rsidRPr="00F96307" w:rsidRDefault="00804D0E" w:rsidP="00804D0E">
            <w:pPr>
              <w:ind w:right="51"/>
              <w:jc w:val="both"/>
              <w:rPr>
                <w:rFonts w:cs="Arial"/>
                <w:bCs/>
                <w:sz w:val="20"/>
                <w:highlight w:val="yellow"/>
                <w:lang w:eastAsia="x-none"/>
              </w:rPr>
            </w:pPr>
            <w:r w:rsidRPr="00F96307">
              <w:rPr>
                <w:rFonts w:cs="Arial"/>
                <w:bCs/>
                <w:sz w:val="20"/>
                <w:lang w:eastAsia="x-none"/>
              </w:rPr>
              <w:t>Tribunal Electoral de</w:t>
            </w:r>
            <w:r w:rsidR="000F4F05" w:rsidRPr="00F96307">
              <w:rPr>
                <w:rFonts w:cs="Arial"/>
                <w:bCs/>
                <w:sz w:val="20"/>
                <w:lang w:eastAsia="x-none"/>
              </w:rPr>
              <w:t xml:space="preserve">l Estado </w:t>
            </w:r>
            <w:r w:rsidR="001966CA" w:rsidRPr="00F96307">
              <w:rPr>
                <w:rFonts w:cs="Arial"/>
                <w:bCs/>
                <w:sz w:val="20"/>
                <w:lang w:eastAsia="x-none"/>
              </w:rPr>
              <w:t>México</w:t>
            </w:r>
          </w:p>
        </w:tc>
      </w:tr>
      <w:tr w:rsidR="0045774D" w:rsidRPr="00C26D22" w14:paraId="3067F089" w14:textId="77777777" w:rsidTr="00A179CA">
        <w:trPr>
          <w:trHeight w:val="17"/>
        </w:trPr>
        <w:tc>
          <w:tcPr>
            <w:tcW w:w="2679" w:type="dxa"/>
            <w:vAlign w:val="center"/>
          </w:tcPr>
          <w:p w14:paraId="15FAC437" w14:textId="77777777" w:rsidR="0045774D" w:rsidRPr="0045774D" w:rsidRDefault="0045774D" w:rsidP="00804D0E">
            <w:pPr>
              <w:ind w:right="51"/>
              <w:jc w:val="center"/>
              <w:rPr>
                <w:rFonts w:eastAsia="Times New Roman" w:cs="Arial"/>
                <w:b/>
                <w:sz w:val="20"/>
                <w:lang w:eastAsia="es-ES"/>
              </w:rPr>
            </w:pPr>
          </w:p>
        </w:tc>
        <w:tc>
          <w:tcPr>
            <w:tcW w:w="4206" w:type="dxa"/>
          </w:tcPr>
          <w:p w14:paraId="504634E4" w14:textId="77777777" w:rsidR="0045774D" w:rsidRPr="0045774D" w:rsidRDefault="0045774D" w:rsidP="00804D0E">
            <w:pPr>
              <w:ind w:right="51"/>
              <w:jc w:val="both"/>
              <w:rPr>
                <w:rFonts w:cs="Arial"/>
                <w:bCs/>
                <w:sz w:val="20"/>
                <w:lang w:eastAsia="x-none"/>
              </w:rPr>
            </w:pPr>
          </w:p>
        </w:tc>
      </w:tr>
    </w:tbl>
    <w:p w14:paraId="2FFF0722" w14:textId="614F75DC" w:rsidR="000D0D0F" w:rsidRPr="00C26D22" w:rsidRDefault="000D0D0F" w:rsidP="00A179CA">
      <w:pPr>
        <w:pStyle w:val="Ttulo1"/>
        <w:numPr>
          <w:ilvl w:val="0"/>
          <w:numId w:val="31"/>
        </w:numPr>
        <w:spacing w:before="200" w:after="200"/>
        <w:jc w:val="center"/>
        <w:rPr>
          <w:rFonts w:ascii="Arial" w:hAnsi="Arial" w:cs="Arial"/>
          <w:b/>
          <w:color w:val="000000" w:themeColor="text1"/>
          <w:sz w:val="24"/>
          <w:szCs w:val="24"/>
        </w:rPr>
      </w:pPr>
      <w:bookmarkStart w:id="3" w:name="_Toc235708175"/>
      <w:r w:rsidRPr="00C26D22">
        <w:rPr>
          <w:rFonts w:ascii="Arial" w:hAnsi="Arial" w:cs="Arial"/>
          <w:b/>
          <w:color w:val="000000" w:themeColor="text1"/>
          <w:sz w:val="24"/>
          <w:szCs w:val="24"/>
        </w:rPr>
        <w:t>ANTECEDENTES</w:t>
      </w:r>
      <w:bookmarkEnd w:id="0"/>
      <w:bookmarkEnd w:id="3"/>
    </w:p>
    <w:p w14:paraId="3E5E70B8" w14:textId="42A2F820" w:rsidR="001E0ECA" w:rsidRPr="00065605" w:rsidRDefault="00E1477A" w:rsidP="00E1170C">
      <w:pPr>
        <w:widowControl w:val="0"/>
        <w:numPr>
          <w:ilvl w:val="0"/>
          <w:numId w:val="1"/>
        </w:numPr>
        <w:spacing w:before="240" w:after="240" w:line="360" w:lineRule="auto"/>
        <w:ind w:left="0" w:hanging="426"/>
        <w:jc w:val="both"/>
        <w:rPr>
          <w:rFonts w:eastAsia="Times New Roman" w:cs="Arial"/>
          <w:szCs w:val="24"/>
        </w:rPr>
      </w:pPr>
      <w:r w:rsidRPr="00065605">
        <w:rPr>
          <w:rFonts w:cs="Arial"/>
          <w:b/>
          <w:bCs/>
          <w:szCs w:val="24"/>
          <w:lang w:eastAsia="en-US"/>
        </w:rPr>
        <w:t>1</w:t>
      </w:r>
      <w:r w:rsidR="007A07A3" w:rsidRPr="00065605">
        <w:rPr>
          <w:rFonts w:cs="Arial"/>
          <w:b/>
          <w:bCs/>
          <w:szCs w:val="24"/>
          <w:lang w:eastAsia="en-US"/>
        </w:rPr>
        <w:t xml:space="preserve">.1. </w:t>
      </w:r>
      <w:r w:rsidR="00141387" w:rsidRPr="00065605">
        <w:rPr>
          <w:rFonts w:cs="Arial"/>
          <w:b/>
          <w:bCs/>
          <w:szCs w:val="24"/>
          <w:lang w:eastAsia="en-US"/>
        </w:rPr>
        <w:t>Denuncia</w:t>
      </w:r>
      <w:r w:rsidR="00DB1114" w:rsidRPr="00065605">
        <w:rPr>
          <w:rFonts w:cs="Arial"/>
          <w:b/>
          <w:bCs/>
          <w:szCs w:val="24"/>
          <w:lang w:eastAsia="en-US"/>
        </w:rPr>
        <w:t>.</w:t>
      </w:r>
      <w:r w:rsidR="00001A05" w:rsidRPr="00065605">
        <w:rPr>
          <w:rFonts w:eastAsia="Times New Roman" w:cs="Arial"/>
          <w:bCs/>
          <w:szCs w:val="24"/>
          <w:lang w:eastAsia="es-ES"/>
        </w:rPr>
        <w:t xml:space="preserve"> </w:t>
      </w:r>
      <w:r w:rsidR="00141387" w:rsidRPr="00065605">
        <w:rPr>
          <w:rFonts w:eastAsia="Times New Roman" w:cs="Arial"/>
          <w:bCs/>
          <w:szCs w:val="24"/>
          <w:lang w:eastAsia="es-ES"/>
        </w:rPr>
        <w:t xml:space="preserve">El </w:t>
      </w:r>
      <w:r w:rsidR="00B8121E" w:rsidRPr="00065605">
        <w:rPr>
          <w:rFonts w:eastAsia="Times New Roman" w:cs="Arial"/>
          <w:bCs/>
          <w:szCs w:val="24"/>
          <w:lang w:eastAsia="es-ES"/>
        </w:rPr>
        <w:t xml:space="preserve">quince de diciembre </w:t>
      </w:r>
      <w:r w:rsidR="00141387" w:rsidRPr="00065605">
        <w:rPr>
          <w:rFonts w:eastAsia="Times New Roman" w:cs="Arial"/>
          <w:bCs/>
          <w:szCs w:val="24"/>
          <w:lang w:eastAsia="es-ES"/>
        </w:rPr>
        <w:t>de dos mil veinticinco,</w:t>
      </w:r>
      <w:r w:rsidR="00CB72C2" w:rsidRPr="00065605">
        <w:rPr>
          <w:rFonts w:eastAsia="Times New Roman" w:cs="Arial"/>
          <w:bCs/>
          <w:szCs w:val="24"/>
          <w:lang w:eastAsia="es-ES"/>
        </w:rPr>
        <w:t xml:space="preserve"> </w:t>
      </w:r>
      <w:r w:rsidR="008176A8" w:rsidRPr="00B117B9">
        <w:rPr>
          <w:b/>
          <w:color w:val="FFFFFF" w:themeColor="background1"/>
          <w:szCs w:val="26"/>
          <w:shd w:val="clear" w:color="auto" w:fill="000000" w:themeFill="text1"/>
        </w:rPr>
        <w:t>DATO PROTEGIDO</w:t>
      </w:r>
      <w:r w:rsidR="00141387" w:rsidRPr="00065605">
        <w:rPr>
          <w:rFonts w:eastAsia="Times New Roman" w:cs="Arial"/>
          <w:bCs/>
          <w:szCs w:val="24"/>
          <w:lang w:eastAsia="es-ES"/>
        </w:rPr>
        <w:t xml:space="preserve"> </w:t>
      </w:r>
      <w:r w:rsidR="00300755">
        <w:rPr>
          <w:rFonts w:eastAsia="Times New Roman" w:cs="Arial"/>
          <w:bCs/>
          <w:szCs w:val="24"/>
          <w:lang w:eastAsia="es-ES"/>
        </w:rPr>
        <w:t>denunció a</w:t>
      </w:r>
      <w:r w:rsidR="00141387" w:rsidRPr="00065605">
        <w:rPr>
          <w:rFonts w:eastAsia="Times New Roman" w:cs="Arial"/>
          <w:bCs/>
          <w:szCs w:val="24"/>
          <w:lang w:eastAsia="es-ES"/>
        </w:rPr>
        <w:t xml:space="preserve"> </w:t>
      </w:r>
      <w:r w:rsidR="00EC536D" w:rsidRPr="00065605">
        <w:rPr>
          <w:rFonts w:eastAsia="Times New Roman" w:cs="Arial"/>
          <w:bCs/>
          <w:szCs w:val="24"/>
          <w:lang w:eastAsia="es-ES"/>
        </w:rPr>
        <w:t>Nancy Nápoles Pacheco, presidenta municipal del Tenancingo</w:t>
      </w:r>
      <w:r w:rsidR="00DC05A3" w:rsidRPr="00065605">
        <w:rPr>
          <w:rFonts w:eastAsia="Times New Roman" w:cs="Arial"/>
          <w:bCs/>
          <w:szCs w:val="24"/>
          <w:lang w:eastAsia="es-ES"/>
        </w:rPr>
        <w:t xml:space="preserve">, </w:t>
      </w:r>
      <w:r w:rsidR="00300755">
        <w:rPr>
          <w:rFonts w:eastAsia="Times New Roman" w:cs="Arial"/>
          <w:bCs/>
          <w:szCs w:val="24"/>
          <w:lang w:eastAsia="es-ES"/>
        </w:rPr>
        <w:t xml:space="preserve">ante el Tribunal Electoral del Estado de México, </w:t>
      </w:r>
      <w:r w:rsidR="00DC05A3" w:rsidRPr="00065605">
        <w:rPr>
          <w:rFonts w:eastAsia="Times New Roman" w:cs="Arial"/>
          <w:bCs/>
          <w:szCs w:val="24"/>
          <w:lang w:eastAsia="es-ES"/>
        </w:rPr>
        <w:t xml:space="preserve">por actos anticipados de campaña, promoción personalizada, uso </w:t>
      </w:r>
      <w:r w:rsidR="00300755">
        <w:rPr>
          <w:rFonts w:eastAsia="Times New Roman" w:cs="Arial"/>
          <w:bCs/>
          <w:szCs w:val="24"/>
          <w:lang w:eastAsia="es-ES"/>
        </w:rPr>
        <w:t xml:space="preserve">indebido </w:t>
      </w:r>
      <w:r w:rsidR="00DC05A3" w:rsidRPr="00065605">
        <w:rPr>
          <w:rFonts w:eastAsia="Times New Roman" w:cs="Arial"/>
          <w:bCs/>
          <w:szCs w:val="24"/>
          <w:lang w:eastAsia="es-ES"/>
        </w:rPr>
        <w:t xml:space="preserve">de recursos </w:t>
      </w:r>
      <w:r w:rsidR="004500A2" w:rsidRPr="00065605">
        <w:rPr>
          <w:rFonts w:eastAsia="Times New Roman" w:cs="Arial"/>
          <w:bCs/>
          <w:szCs w:val="24"/>
          <w:lang w:eastAsia="es-ES"/>
        </w:rPr>
        <w:t>públicos</w:t>
      </w:r>
      <w:r w:rsidR="00E11323" w:rsidRPr="00065605">
        <w:rPr>
          <w:rFonts w:eastAsia="Times New Roman" w:cs="Arial"/>
          <w:bCs/>
          <w:szCs w:val="24"/>
          <w:lang w:eastAsia="es-ES"/>
        </w:rPr>
        <w:t xml:space="preserve">, así como la posible </w:t>
      </w:r>
      <w:r w:rsidR="00C159D4" w:rsidRPr="00065605">
        <w:rPr>
          <w:rFonts w:eastAsia="Times New Roman" w:cs="Arial"/>
          <w:bCs/>
          <w:szCs w:val="24"/>
          <w:lang w:eastAsia="es-ES"/>
        </w:rPr>
        <w:t>vulneración a los principios de imparcialidad, neutralidad y equidad</w:t>
      </w:r>
      <w:r w:rsidR="00300755">
        <w:rPr>
          <w:rFonts w:eastAsia="Times New Roman" w:cs="Arial"/>
          <w:bCs/>
          <w:szCs w:val="24"/>
          <w:lang w:eastAsia="es-ES"/>
        </w:rPr>
        <w:t>,</w:t>
      </w:r>
      <w:r w:rsidR="00C159D4" w:rsidRPr="00065605">
        <w:rPr>
          <w:rFonts w:eastAsia="Times New Roman" w:cs="Arial"/>
          <w:bCs/>
          <w:szCs w:val="24"/>
          <w:lang w:eastAsia="es-ES"/>
        </w:rPr>
        <w:t xml:space="preserve"> con motivo d</w:t>
      </w:r>
      <w:r w:rsidR="001E0ECA" w:rsidRPr="00065605">
        <w:rPr>
          <w:rFonts w:eastAsia="Times New Roman" w:cs="Arial"/>
          <w:bCs/>
          <w:szCs w:val="24"/>
          <w:lang w:eastAsia="es-ES"/>
        </w:rPr>
        <w:t>e su primer informe de gobierno.</w:t>
      </w:r>
      <w:r w:rsidR="00065605" w:rsidRPr="00065605">
        <w:rPr>
          <w:rFonts w:eastAsia="Times New Roman" w:cs="Arial"/>
          <w:bCs/>
          <w:szCs w:val="24"/>
          <w:lang w:eastAsia="es-ES"/>
        </w:rPr>
        <w:t xml:space="preserve"> </w:t>
      </w:r>
      <w:r w:rsidR="00300755">
        <w:rPr>
          <w:rFonts w:cs="Arial"/>
          <w:szCs w:val="24"/>
          <w:lang w:eastAsia="en-US"/>
        </w:rPr>
        <w:t>También denunció</w:t>
      </w:r>
      <w:r w:rsidR="001E0ECA" w:rsidRPr="00065605">
        <w:rPr>
          <w:rFonts w:cs="Arial"/>
          <w:szCs w:val="24"/>
          <w:lang w:eastAsia="en-US"/>
        </w:rPr>
        <w:t xml:space="preserve"> la falta al deber de cuidado atribuible a </w:t>
      </w:r>
      <w:r w:rsidR="004A424F" w:rsidRPr="00065605">
        <w:rPr>
          <w:rFonts w:cs="Arial"/>
          <w:szCs w:val="24"/>
          <w:lang w:eastAsia="en-US"/>
        </w:rPr>
        <w:t>MORENA</w:t>
      </w:r>
      <w:r w:rsidR="001E0ECA" w:rsidRPr="00065605">
        <w:rPr>
          <w:rFonts w:cs="Arial"/>
          <w:szCs w:val="24"/>
          <w:lang w:eastAsia="en-US"/>
        </w:rPr>
        <w:t>.</w:t>
      </w:r>
    </w:p>
    <w:p w14:paraId="7276A975" w14:textId="646A87A8" w:rsidR="009E7F10" w:rsidRPr="00B22D67" w:rsidRDefault="00E1477A" w:rsidP="009E7F10">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sidRPr="00C26D22">
        <w:rPr>
          <w:rFonts w:cs="Arial"/>
          <w:b/>
          <w:bCs/>
          <w:szCs w:val="24"/>
          <w:lang w:eastAsia="en-US"/>
        </w:rPr>
        <w:t>1</w:t>
      </w:r>
      <w:r w:rsidR="003350A6" w:rsidRPr="00C26D22">
        <w:rPr>
          <w:rFonts w:cs="Arial"/>
          <w:b/>
          <w:bCs/>
          <w:szCs w:val="24"/>
          <w:lang w:eastAsia="en-US"/>
        </w:rPr>
        <w:t xml:space="preserve">.2. </w:t>
      </w:r>
      <w:r w:rsidR="00141387" w:rsidRPr="00C26D22">
        <w:rPr>
          <w:rFonts w:cs="Arial"/>
          <w:b/>
          <w:bCs/>
          <w:szCs w:val="24"/>
          <w:lang w:eastAsia="en-US"/>
        </w:rPr>
        <w:t xml:space="preserve">Resolución del Tribunal </w:t>
      </w:r>
      <w:r w:rsidR="00141387" w:rsidRPr="00790E53">
        <w:rPr>
          <w:rFonts w:cs="Arial"/>
          <w:b/>
          <w:bCs/>
          <w:szCs w:val="24"/>
          <w:lang w:eastAsia="en-US"/>
        </w:rPr>
        <w:t>local [P</w:t>
      </w:r>
      <w:r w:rsidR="00790E53" w:rsidRPr="00790E53">
        <w:rPr>
          <w:rFonts w:cs="Arial"/>
          <w:b/>
          <w:bCs/>
          <w:szCs w:val="24"/>
          <w:lang w:eastAsia="en-US"/>
        </w:rPr>
        <w:t>SO</w:t>
      </w:r>
      <w:r w:rsidR="00141387" w:rsidRPr="00790E53">
        <w:rPr>
          <w:rFonts w:cs="Arial"/>
          <w:b/>
          <w:bCs/>
          <w:szCs w:val="24"/>
          <w:lang w:eastAsia="en-US"/>
        </w:rPr>
        <w:t>-</w:t>
      </w:r>
      <w:r w:rsidR="00790E53" w:rsidRPr="00790E53">
        <w:rPr>
          <w:rFonts w:cs="Arial"/>
          <w:b/>
          <w:bCs/>
          <w:szCs w:val="24"/>
          <w:lang w:eastAsia="en-US"/>
        </w:rPr>
        <w:t>6</w:t>
      </w:r>
      <w:r w:rsidR="00141387" w:rsidRPr="00790E53">
        <w:rPr>
          <w:rFonts w:cs="Arial"/>
          <w:b/>
          <w:bCs/>
          <w:szCs w:val="24"/>
          <w:lang w:eastAsia="en-US"/>
        </w:rPr>
        <w:t>/202</w:t>
      </w:r>
      <w:r w:rsidR="00790E53" w:rsidRPr="00790E53">
        <w:rPr>
          <w:rFonts w:cs="Arial"/>
          <w:b/>
          <w:bCs/>
          <w:szCs w:val="24"/>
          <w:lang w:eastAsia="en-US"/>
        </w:rPr>
        <w:t>6</w:t>
      </w:r>
      <w:r w:rsidR="00141387" w:rsidRPr="00790E53">
        <w:rPr>
          <w:rFonts w:cs="Arial"/>
          <w:b/>
          <w:bCs/>
          <w:szCs w:val="24"/>
          <w:lang w:eastAsia="en-US"/>
        </w:rPr>
        <w:t>]</w:t>
      </w:r>
      <w:r w:rsidR="003350A6" w:rsidRPr="00790E53">
        <w:rPr>
          <w:rFonts w:cs="Arial"/>
          <w:b/>
          <w:bCs/>
          <w:szCs w:val="24"/>
          <w:lang w:eastAsia="en-US"/>
        </w:rPr>
        <w:t>.</w:t>
      </w:r>
      <w:r w:rsidR="003350A6" w:rsidRPr="00C26D22">
        <w:rPr>
          <w:rFonts w:cs="Arial"/>
          <w:b/>
          <w:bCs/>
          <w:szCs w:val="24"/>
          <w:lang w:eastAsia="en-US"/>
        </w:rPr>
        <w:t xml:space="preserve"> </w:t>
      </w:r>
      <w:r w:rsidR="00141387" w:rsidRPr="00C26D22">
        <w:rPr>
          <w:rFonts w:cs="Arial"/>
          <w:szCs w:val="24"/>
          <w:lang w:eastAsia="en-US"/>
        </w:rPr>
        <w:t xml:space="preserve">El </w:t>
      </w:r>
      <w:r w:rsidR="004166A0">
        <w:rPr>
          <w:rFonts w:cs="Arial"/>
          <w:szCs w:val="24"/>
          <w:lang w:eastAsia="en-US"/>
        </w:rPr>
        <w:t>veintinueve de abril</w:t>
      </w:r>
      <w:r w:rsidR="00D61A17">
        <w:rPr>
          <w:rFonts w:cs="Arial"/>
          <w:szCs w:val="24"/>
          <w:lang w:eastAsia="en-US"/>
        </w:rPr>
        <w:t xml:space="preserve"> de dos mil veintiséis, el Tribunal local </w:t>
      </w:r>
      <w:r w:rsidR="004A424F">
        <w:rPr>
          <w:rFonts w:cs="Arial"/>
          <w:szCs w:val="24"/>
          <w:lang w:eastAsia="en-US"/>
        </w:rPr>
        <w:t xml:space="preserve">dictó resolución en el procedimiento sancionador, por el cual </w:t>
      </w:r>
      <w:r w:rsidR="00D61A17">
        <w:rPr>
          <w:rFonts w:cs="Arial"/>
          <w:szCs w:val="24"/>
          <w:lang w:eastAsia="en-US"/>
        </w:rPr>
        <w:t>determinó</w:t>
      </w:r>
      <w:r w:rsidR="004A424F">
        <w:rPr>
          <w:rFonts w:cs="Arial"/>
          <w:szCs w:val="24"/>
          <w:lang w:eastAsia="en-US"/>
        </w:rPr>
        <w:t xml:space="preserve"> </w:t>
      </w:r>
      <w:r w:rsidR="009E7F10" w:rsidRPr="00B22D67">
        <w:rPr>
          <w:rFonts w:eastAsia="Times New Roman" w:cs="Arial"/>
          <w:bCs/>
          <w:szCs w:val="24"/>
          <w:lang w:eastAsia="es-ES"/>
        </w:rPr>
        <w:t xml:space="preserve">la </w:t>
      </w:r>
      <w:r w:rsidR="009E7F10" w:rsidRPr="004A424F">
        <w:rPr>
          <w:rFonts w:eastAsia="Times New Roman" w:cs="Arial"/>
          <w:b/>
          <w:szCs w:val="24"/>
          <w:lang w:eastAsia="es-ES"/>
        </w:rPr>
        <w:t>existencia</w:t>
      </w:r>
      <w:r w:rsidR="009E7F10" w:rsidRPr="00B22D67">
        <w:rPr>
          <w:rFonts w:eastAsia="Times New Roman" w:cs="Arial"/>
          <w:bCs/>
          <w:szCs w:val="24"/>
          <w:lang w:eastAsia="es-ES"/>
        </w:rPr>
        <w:t xml:space="preserve"> de la difusión extemporánea del Primer Informe de Gobierno de la presidenta municipal</w:t>
      </w:r>
      <w:r w:rsidR="004A424F">
        <w:rPr>
          <w:rFonts w:eastAsia="Times New Roman" w:cs="Arial"/>
          <w:bCs/>
          <w:szCs w:val="24"/>
          <w:lang w:eastAsia="es-ES"/>
        </w:rPr>
        <w:t xml:space="preserve">, así como </w:t>
      </w:r>
      <w:r w:rsidR="009E7F10" w:rsidRPr="00B22D67">
        <w:rPr>
          <w:rFonts w:eastAsia="Times New Roman" w:cs="Arial"/>
          <w:bCs/>
          <w:szCs w:val="24"/>
          <w:lang w:eastAsia="es-ES"/>
        </w:rPr>
        <w:t xml:space="preserve">la </w:t>
      </w:r>
      <w:r w:rsidR="009E7F10" w:rsidRPr="004A424F">
        <w:rPr>
          <w:rFonts w:eastAsia="Times New Roman" w:cs="Arial"/>
          <w:b/>
          <w:szCs w:val="24"/>
          <w:lang w:eastAsia="es-ES"/>
        </w:rPr>
        <w:t>inexistencia</w:t>
      </w:r>
      <w:r w:rsidR="009E7F10" w:rsidRPr="00B22D67">
        <w:rPr>
          <w:rFonts w:eastAsia="Times New Roman" w:cs="Arial"/>
          <w:bCs/>
          <w:szCs w:val="24"/>
          <w:lang w:eastAsia="es-ES"/>
        </w:rPr>
        <w:t xml:space="preserve"> de los actos anticipados de campaña, promoción personalizada, uso indebido de recursos públicos y la vulneración a los principios de equidad, imparcialidad y neutralidad</w:t>
      </w:r>
      <w:r w:rsidR="004A424F">
        <w:rPr>
          <w:rFonts w:eastAsia="Times New Roman" w:cs="Arial"/>
          <w:bCs/>
          <w:szCs w:val="24"/>
          <w:lang w:eastAsia="es-ES"/>
        </w:rPr>
        <w:t>, y de la responsabilidad atribuible a MORENA por la supuesta falta al deber de cuidado.</w:t>
      </w:r>
    </w:p>
    <w:p w14:paraId="3F59A8A1" w14:textId="69B86A26" w:rsidR="0045774D" w:rsidRDefault="003141DA" w:rsidP="00266C5C">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sidRPr="00B22D67">
        <w:rPr>
          <w:rFonts w:eastAsia="Times New Roman" w:cs="Arial"/>
          <w:b/>
          <w:szCs w:val="24"/>
        </w:rPr>
        <w:t>1</w:t>
      </w:r>
      <w:r w:rsidR="00001A05" w:rsidRPr="00B22D67">
        <w:rPr>
          <w:rFonts w:eastAsia="Times New Roman" w:cs="Arial"/>
          <w:b/>
          <w:szCs w:val="24"/>
        </w:rPr>
        <w:t>.</w:t>
      </w:r>
      <w:r w:rsidR="003350A6" w:rsidRPr="00B22D67">
        <w:rPr>
          <w:rFonts w:eastAsia="Times New Roman" w:cs="Arial"/>
          <w:b/>
          <w:szCs w:val="24"/>
        </w:rPr>
        <w:t>3</w:t>
      </w:r>
      <w:r w:rsidR="00001A05" w:rsidRPr="00B22D67">
        <w:rPr>
          <w:rFonts w:eastAsia="Times New Roman" w:cs="Arial"/>
          <w:b/>
          <w:szCs w:val="24"/>
        </w:rPr>
        <w:t xml:space="preserve">. </w:t>
      </w:r>
      <w:r w:rsidR="0045774D" w:rsidRPr="00B22D67">
        <w:rPr>
          <w:rFonts w:eastAsia="Times New Roman" w:cs="Arial"/>
          <w:b/>
          <w:szCs w:val="24"/>
        </w:rPr>
        <w:t xml:space="preserve">Juicio </w:t>
      </w:r>
      <w:r w:rsidR="007B5FA3" w:rsidRPr="00B22D67">
        <w:rPr>
          <w:rFonts w:eastAsia="Times New Roman" w:cs="Arial"/>
          <w:b/>
          <w:szCs w:val="24"/>
        </w:rPr>
        <w:t>Gene</w:t>
      </w:r>
      <w:r w:rsidR="00DC6DA2" w:rsidRPr="00B22D67">
        <w:rPr>
          <w:rFonts w:eastAsia="Times New Roman" w:cs="Arial"/>
          <w:b/>
          <w:szCs w:val="24"/>
        </w:rPr>
        <w:t>ral</w:t>
      </w:r>
      <w:r w:rsidR="00141387" w:rsidRPr="00B22D67">
        <w:rPr>
          <w:rFonts w:eastAsia="Times New Roman" w:cs="Arial"/>
          <w:b/>
          <w:szCs w:val="24"/>
        </w:rPr>
        <w:t xml:space="preserve"> </w:t>
      </w:r>
      <w:r w:rsidR="005349E8" w:rsidRPr="00B117B9">
        <w:rPr>
          <w:b/>
          <w:color w:val="FFFFFF" w:themeColor="background1"/>
          <w:szCs w:val="26"/>
          <w:shd w:val="clear" w:color="auto" w:fill="000000" w:themeFill="text1"/>
        </w:rPr>
        <w:t>DATO PROTEGIDO</w:t>
      </w:r>
      <w:r w:rsidR="003350A6" w:rsidRPr="00B22D67">
        <w:rPr>
          <w:rFonts w:eastAsia="Times New Roman" w:cs="Arial"/>
          <w:b/>
          <w:szCs w:val="24"/>
        </w:rPr>
        <w:t xml:space="preserve">. </w:t>
      </w:r>
      <w:r w:rsidR="00141387" w:rsidRPr="00B22D67">
        <w:rPr>
          <w:rFonts w:eastAsia="Times New Roman" w:cs="Arial"/>
          <w:bCs/>
          <w:szCs w:val="24"/>
          <w:lang w:eastAsia="es-ES"/>
        </w:rPr>
        <w:t>Inconforme</w:t>
      </w:r>
      <w:r w:rsidR="004A424F">
        <w:rPr>
          <w:rFonts w:eastAsia="Times New Roman" w:cs="Arial"/>
          <w:bCs/>
          <w:szCs w:val="24"/>
          <w:lang w:eastAsia="es-ES"/>
        </w:rPr>
        <w:t xml:space="preserve"> con la resolución del Tribunal local</w:t>
      </w:r>
      <w:r w:rsidR="00141387" w:rsidRPr="00B22D67">
        <w:rPr>
          <w:rFonts w:eastAsia="Times New Roman" w:cs="Arial"/>
          <w:bCs/>
          <w:szCs w:val="24"/>
          <w:lang w:eastAsia="es-ES"/>
        </w:rPr>
        <w:t xml:space="preserve">, </w:t>
      </w:r>
      <w:r w:rsidR="00083C1C" w:rsidRPr="00B22D67">
        <w:rPr>
          <w:rFonts w:eastAsia="Times New Roman" w:cs="Arial"/>
          <w:bCs/>
          <w:szCs w:val="24"/>
          <w:lang w:eastAsia="es-ES"/>
        </w:rPr>
        <w:t xml:space="preserve">el recurrente promovió </w:t>
      </w:r>
      <w:r w:rsidR="0016789A" w:rsidRPr="00B22D67">
        <w:rPr>
          <w:rFonts w:eastAsia="Times New Roman" w:cs="Arial"/>
          <w:bCs/>
          <w:szCs w:val="24"/>
          <w:lang w:eastAsia="es-ES"/>
        </w:rPr>
        <w:t>juicio general</w:t>
      </w:r>
      <w:r w:rsidR="004A424F">
        <w:rPr>
          <w:rFonts w:eastAsia="Times New Roman" w:cs="Arial"/>
          <w:bCs/>
          <w:szCs w:val="24"/>
          <w:lang w:eastAsia="es-ES"/>
        </w:rPr>
        <w:t xml:space="preserve"> ante la Sala Toluca</w:t>
      </w:r>
      <w:r w:rsidR="00141387" w:rsidRPr="00B22D67">
        <w:rPr>
          <w:rFonts w:eastAsia="Times New Roman" w:cs="Arial"/>
          <w:bCs/>
          <w:szCs w:val="24"/>
          <w:lang w:eastAsia="es-ES"/>
        </w:rPr>
        <w:t xml:space="preserve">. </w:t>
      </w:r>
      <w:r w:rsidR="00BA2377">
        <w:rPr>
          <w:rFonts w:eastAsia="Times New Roman" w:cs="Arial"/>
          <w:bCs/>
          <w:szCs w:val="24"/>
          <w:lang w:eastAsia="es-ES"/>
        </w:rPr>
        <w:t>El veintiocho de mayo, la</w:t>
      </w:r>
      <w:r w:rsidR="0045774D" w:rsidRPr="00B22D67">
        <w:rPr>
          <w:rFonts w:eastAsia="Times New Roman" w:cs="Arial"/>
          <w:bCs/>
          <w:szCs w:val="24"/>
          <w:lang w:eastAsia="es-ES"/>
        </w:rPr>
        <w:t xml:space="preserve"> Sala </w:t>
      </w:r>
      <w:r w:rsidR="0016789A" w:rsidRPr="00B22D67">
        <w:rPr>
          <w:rFonts w:eastAsia="Times New Roman" w:cs="Arial"/>
          <w:bCs/>
          <w:szCs w:val="24"/>
          <w:lang w:eastAsia="es-ES"/>
        </w:rPr>
        <w:t xml:space="preserve">Toluca </w:t>
      </w:r>
      <w:r w:rsidR="00A5482D">
        <w:rPr>
          <w:rFonts w:eastAsia="Times New Roman" w:cs="Arial"/>
          <w:bCs/>
          <w:szCs w:val="24"/>
          <w:lang w:eastAsia="es-ES"/>
        </w:rPr>
        <w:t xml:space="preserve">dictó </w:t>
      </w:r>
      <w:r w:rsidR="004A424F">
        <w:rPr>
          <w:rFonts w:eastAsia="Times New Roman" w:cs="Arial"/>
          <w:bCs/>
          <w:szCs w:val="24"/>
          <w:lang w:eastAsia="es-ES"/>
        </w:rPr>
        <w:t xml:space="preserve">resolución </w:t>
      </w:r>
      <w:r w:rsidR="00A5482D">
        <w:rPr>
          <w:rFonts w:eastAsia="Times New Roman" w:cs="Arial"/>
          <w:bCs/>
          <w:szCs w:val="24"/>
          <w:lang w:eastAsia="es-ES"/>
        </w:rPr>
        <w:t>en la cual consideró que se</w:t>
      </w:r>
      <w:r w:rsidR="00156680">
        <w:rPr>
          <w:rFonts w:eastAsia="Times New Roman" w:cs="Arial"/>
          <w:bCs/>
          <w:szCs w:val="24"/>
          <w:lang w:eastAsia="es-ES"/>
        </w:rPr>
        <w:t xml:space="preserve"> acredit</w:t>
      </w:r>
      <w:r w:rsidR="00A5482D">
        <w:rPr>
          <w:rFonts w:eastAsia="Times New Roman" w:cs="Arial"/>
          <w:bCs/>
          <w:szCs w:val="24"/>
          <w:lang w:eastAsia="es-ES"/>
        </w:rPr>
        <w:t>ó</w:t>
      </w:r>
      <w:r w:rsidR="00156680">
        <w:rPr>
          <w:rFonts w:eastAsia="Times New Roman" w:cs="Arial"/>
          <w:bCs/>
          <w:szCs w:val="24"/>
          <w:lang w:eastAsia="es-ES"/>
        </w:rPr>
        <w:t xml:space="preserve"> la difusión extemporánea del informe de labores de la presidenta municipal</w:t>
      </w:r>
      <w:r w:rsidR="00A5482D">
        <w:rPr>
          <w:rFonts w:eastAsia="Times New Roman" w:cs="Arial"/>
          <w:bCs/>
          <w:szCs w:val="24"/>
          <w:lang w:eastAsia="es-ES"/>
        </w:rPr>
        <w:t xml:space="preserve">; sin embargo, revocó parcialmente la resolución para el efecto de que el Tribunal local dictara una nueva en la que </w:t>
      </w:r>
      <w:r w:rsidR="00833553">
        <w:rPr>
          <w:rFonts w:eastAsia="Times New Roman" w:cs="Arial"/>
          <w:bCs/>
          <w:szCs w:val="24"/>
          <w:lang w:eastAsia="es-ES"/>
        </w:rPr>
        <w:t>analizar</w:t>
      </w:r>
      <w:r w:rsidR="00A5482D">
        <w:rPr>
          <w:rFonts w:eastAsia="Times New Roman" w:cs="Arial"/>
          <w:bCs/>
          <w:szCs w:val="24"/>
          <w:lang w:eastAsia="es-ES"/>
        </w:rPr>
        <w:t>a</w:t>
      </w:r>
      <w:r w:rsidR="00833553">
        <w:rPr>
          <w:rFonts w:eastAsia="Times New Roman" w:cs="Arial"/>
          <w:bCs/>
          <w:szCs w:val="24"/>
          <w:lang w:eastAsia="es-ES"/>
        </w:rPr>
        <w:t xml:space="preserve"> de manera integral y contextual si los hechos denunciados acreditaban el posible uso de recursos públicos y si vulneraban los principios de imparcialidad, neutralidad y equidad </w:t>
      </w:r>
      <w:r w:rsidR="00E05976">
        <w:rPr>
          <w:rFonts w:eastAsia="Times New Roman" w:cs="Arial"/>
          <w:bCs/>
          <w:szCs w:val="24"/>
          <w:lang w:eastAsia="es-ES"/>
        </w:rPr>
        <w:t>en la contienda</w:t>
      </w:r>
      <w:r w:rsidR="0045774D" w:rsidRPr="00B22D67">
        <w:rPr>
          <w:rFonts w:eastAsia="Times New Roman" w:cs="Arial"/>
          <w:bCs/>
          <w:szCs w:val="24"/>
          <w:lang w:eastAsia="es-ES"/>
        </w:rPr>
        <w:t>.</w:t>
      </w:r>
    </w:p>
    <w:p w14:paraId="6B7BD147" w14:textId="3CADF024" w:rsidR="00141387" w:rsidRPr="00C26D22" w:rsidRDefault="00141387" w:rsidP="00141387">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sidRPr="00C26D22">
        <w:rPr>
          <w:rFonts w:eastAsia="Times New Roman" w:cs="Arial"/>
          <w:b/>
          <w:szCs w:val="24"/>
        </w:rPr>
        <w:t>1</w:t>
      </w:r>
      <w:r w:rsidRPr="00C26D22">
        <w:rPr>
          <w:rFonts w:eastAsia="Times New Roman" w:cs="Arial"/>
          <w:b/>
          <w:szCs w:val="24"/>
          <w:lang w:eastAsia="es-ES"/>
        </w:rPr>
        <w:t>.</w:t>
      </w:r>
      <w:r w:rsidR="00DC6DA2">
        <w:rPr>
          <w:rFonts w:eastAsia="Times New Roman" w:cs="Arial"/>
          <w:b/>
          <w:szCs w:val="24"/>
          <w:lang w:eastAsia="es-ES"/>
        </w:rPr>
        <w:t>4</w:t>
      </w:r>
      <w:r w:rsidRPr="00C26D22">
        <w:rPr>
          <w:rFonts w:eastAsia="Times New Roman" w:cs="Arial"/>
          <w:b/>
          <w:szCs w:val="24"/>
          <w:lang w:eastAsia="es-ES"/>
        </w:rPr>
        <w:t xml:space="preserve">. </w:t>
      </w:r>
      <w:r w:rsidR="00B22018" w:rsidRPr="00C26D22">
        <w:rPr>
          <w:rFonts w:eastAsia="Times New Roman" w:cs="Arial"/>
          <w:b/>
          <w:szCs w:val="24"/>
          <w:lang w:eastAsia="es-ES"/>
        </w:rPr>
        <w:t>Segunda</w:t>
      </w:r>
      <w:r w:rsidRPr="00C26D22">
        <w:rPr>
          <w:rFonts w:eastAsia="Times New Roman" w:cs="Arial"/>
          <w:b/>
          <w:szCs w:val="24"/>
          <w:lang w:eastAsia="es-ES"/>
        </w:rPr>
        <w:t xml:space="preserve"> resolución del Tribunal local</w:t>
      </w:r>
      <w:r w:rsidR="00BB382E">
        <w:rPr>
          <w:rFonts w:eastAsia="Times New Roman" w:cs="Arial"/>
          <w:b/>
          <w:szCs w:val="24"/>
          <w:lang w:eastAsia="es-ES"/>
        </w:rPr>
        <w:t xml:space="preserve"> </w:t>
      </w:r>
      <w:r w:rsidR="00BB382E" w:rsidRPr="00C26D22">
        <w:rPr>
          <w:rFonts w:cs="Arial"/>
          <w:b/>
          <w:bCs/>
          <w:szCs w:val="24"/>
          <w:lang w:eastAsia="en-US"/>
        </w:rPr>
        <w:t>PSO-</w:t>
      </w:r>
      <w:r w:rsidR="00BB382E">
        <w:rPr>
          <w:rFonts w:cs="Arial"/>
          <w:b/>
          <w:bCs/>
          <w:szCs w:val="24"/>
          <w:lang w:eastAsia="en-US"/>
        </w:rPr>
        <w:t>6</w:t>
      </w:r>
      <w:r w:rsidR="00BB382E" w:rsidRPr="00C26D22">
        <w:rPr>
          <w:rFonts w:cs="Arial"/>
          <w:b/>
          <w:bCs/>
          <w:szCs w:val="24"/>
          <w:lang w:eastAsia="en-US"/>
        </w:rPr>
        <w:t>/202</w:t>
      </w:r>
      <w:r w:rsidR="0004379E">
        <w:rPr>
          <w:rFonts w:cs="Arial"/>
          <w:b/>
          <w:bCs/>
          <w:szCs w:val="24"/>
          <w:lang w:eastAsia="en-US"/>
        </w:rPr>
        <w:t>6</w:t>
      </w:r>
      <w:r w:rsidRPr="00C26D22">
        <w:rPr>
          <w:rFonts w:eastAsia="Times New Roman" w:cs="Arial"/>
          <w:b/>
          <w:szCs w:val="24"/>
          <w:lang w:eastAsia="es-ES"/>
        </w:rPr>
        <w:t>.</w:t>
      </w:r>
      <w:r w:rsidRPr="00C26D22">
        <w:rPr>
          <w:rFonts w:eastAsia="Times New Roman" w:cs="Arial"/>
          <w:bCs/>
          <w:szCs w:val="24"/>
          <w:lang w:eastAsia="es-ES"/>
        </w:rPr>
        <w:t xml:space="preserve"> En cumplimiento </w:t>
      </w:r>
      <w:r w:rsidR="00F03813" w:rsidRPr="00C26D22">
        <w:rPr>
          <w:rFonts w:eastAsia="Times New Roman" w:cs="Arial"/>
          <w:bCs/>
          <w:szCs w:val="24"/>
          <w:lang w:eastAsia="es-ES"/>
        </w:rPr>
        <w:t>de</w:t>
      </w:r>
      <w:r w:rsidRPr="00C26D22">
        <w:rPr>
          <w:rFonts w:eastAsia="Times New Roman" w:cs="Arial"/>
          <w:bCs/>
          <w:szCs w:val="24"/>
          <w:lang w:eastAsia="es-ES"/>
        </w:rPr>
        <w:t xml:space="preserve"> lo ordenado, el</w:t>
      </w:r>
      <w:r w:rsidR="00D66D3A">
        <w:rPr>
          <w:rFonts w:eastAsia="Times New Roman" w:cs="Arial"/>
          <w:bCs/>
          <w:szCs w:val="24"/>
          <w:lang w:eastAsia="es-ES"/>
        </w:rPr>
        <w:t xml:space="preserve"> dieciocho de junio</w:t>
      </w:r>
      <w:r w:rsidR="00136A9B" w:rsidRPr="00C26D22">
        <w:rPr>
          <w:rFonts w:eastAsia="Times New Roman" w:cs="Arial"/>
          <w:bCs/>
          <w:szCs w:val="24"/>
          <w:lang w:eastAsia="es-ES"/>
        </w:rPr>
        <w:t>,</w:t>
      </w:r>
      <w:r w:rsidRPr="00C26D22">
        <w:rPr>
          <w:rFonts w:eastAsia="Times New Roman" w:cs="Arial"/>
          <w:bCs/>
          <w:szCs w:val="24"/>
          <w:lang w:eastAsia="es-ES"/>
        </w:rPr>
        <w:t xml:space="preserve"> el Tribunal local </w:t>
      </w:r>
      <w:r w:rsidR="00A5482D">
        <w:rPr>
          <w:rFonts w:eastAsia="Times New Roman" w:cs="Arial"/>
          <w:bCs/>
          <w:szCs w:val="24"/>
          <w:lang w:eastAsia="es-ES"/>
        </w:rPr>
        <w:t>resolvió</w:t>
      </w:r>
      <w:r w:rsidR="00BF536B">
        <w:rPr>
          <w:rFonts w:eastAsia="Times New Roman" w:cs="Arial"/>
          <w:bCs/>
          <w:szCs w:val="24"/>
          <w:lang w:eastAsia="es-ES"/>
        </w:rPr>
        <w:t xml:space="preserve"> </w:t>
      </w:r>
      <w:r w:rsidR="00193218">
        <w:rPr>
          <w:rFonts w:eastAsia="Times New Roman" w:cs="Arial"/>
          <w:bCs/>
          <w:szCs w:val="24"/>
          <w:lang w:eastAsia="es-ES"/>
        </w:rPr>
        <w:t>que,</w:t>
      </w:r>
      <w:r w:rsidR="00414F9E">
        <w:rPr>
          <w:rFonts w:eastAsia="Times New Roman" w:cs="Arial"/>
          <w:bCs/>
          <w:szCs w:val="24"/>
          <w:lang w:eastAsia="es-ES"/>
        </w:rPr>
        <w:t xml:space="preserve"> </w:t>
      </w:r>
      <w:r w:rsidR="00A5482D">
        <w:rPr>
          <w:rFonts w:eastAsia="Times New Roman" w:cs="Arial"/>
          <w:bCs/>
          <w:szCs w:val="24"/>
          <w:lang w:eastAsia="es-ES"/>
        </w:rPr>
        <w:t>al</w:t>
      </w:r>
      <w:r w:rsidR="00414F9E">
        <w:rPr>
          <w:rFonts w:eastAsia="Times New Roman" w:cs="Arial"/>
          <w:bCs/>
          <w:szCs w:val="24"/>
          <w:lang w:eastAsia="es-ES"/>
        </w:rPr>
        <w:t xml:space="preserve"> valora</w:t>
      </w:r>
      <w:r w:rsidR="00A5482D">
        <w:rPr>
          <w:rFonts w:eastAsia="Times New Roman" w:cs="Arial"/>
          <w:bCs/>
          <w:szCs w:val="24"/>
          <w:lang w:eastAsia="es-ES"/>
        </w:rPr>
        <w:t xml:space="preserve">r de manera </w:t>
      </w:r>
      <w:r w:rsidR="00414F9E">
        <w:rPr>
          <w:rFonts w:eastAsia="Times New Roman" w:cs="Arial"/>
          <w:bCs/>
          <w:szCs w:val="24"/>
          <w:lang w:eastAsia="es-ES"/>
        </w:rPr>
        <w:t xml:space="preserve">conjunta la difusión extemporánea </w:t>
      </w:r>
      <w:r w:rsidR="00A5482D">
        <w:rPr>
          <w:rFonts w:eastAsia="Times New Roman" w:cs="Arial"/>
          <w:bCs/>
          <w:szCs w:val="24"/>
          <w:lang w:eastAsia="es-ES"/>
        </w:rPr>
        <w:t>del informe ─</w:t>
      </w:r>
      <w:r w:rsidR="00414F9E">
        <w:rPr>
          <w:rFonts w:eastAsia="Times New Roman" w:cs="Arial"/>
          <w:bCs/>
          <w:szCs w:val="24"/>
          <w:lang w:eastAsia="es-ES"/>
        </w:rPr>
        <w:t>previamente acreditada</w:t>
      </w:r>
      <w:r w:rsidR="00A5482D">
        <w:rPr>
          <w:rFonts w:eastAsia="Times New Roman" w:cs="Arial"/>
          <w:bCs/>
          <w:szCs w:val="24"/>
          <w:lang w:eastAsia="es-ES"/>
        </w:rPr>
        <w:t>─</w:t>
      </w:r>
      <w:r w:rsidR="00414F9E">
        <w:rPr>
          <w:rFonts w:eastAsia="Times New Roman" w:cs="Arial"/>
          <w:bCs/>
          <w:szCs w:val="24"/>
          <w:lang w:eastAsia="es-ES"/>
        </w:rPr>
        <w:t xml:space="preserve"> y la intervención del personal adscrito al ayuntamiento para la </w:t>
      </w:r>
      <w:r w:rsidR="00414F9E">
        <w:rPr>
          <w:rFonts w:eastAsia="Times New Roman" w:cs="Arial"/>
          <w:bCs/>
          <w:szCs w:val="24"/>
          <w:lang w:eastAsia="es-ES"/>
        </w:rPr>
        <w:lastRenderedPageBreak/>
        <w:t xml:space="preserve">colocación de la </w:t>
      </w:r>
      <w:r w:rsidR="00CE17E3">
        <w:rPr>
          <w:rFonts w:eastAsia="Times New Roman" w:cs="Arial"/>
          <w:bCs/>
          <w:szCs w:val="24"/>
          <w:lang w:eastAsia="es-ES"/>
        </w:rPr>
        <w:t xml:space="preserve">propaganda, no se advertían elementos objetivos </w:t>
      </w:r>
      <w:r w:rsidR="00A5482D">
        <w:rPr>
          <w:rFonts w:eastAsia="Times New Roman" w:cs="Arial"/>
          <w:bCs/>
          <w:szCs w:val="24"/>
          <w:lang w:eastAsia="es-ES"/>
        </w:rPr>
        <w:t>para</w:t>
      </w:r>
      <w:r w:rsidR="00CE17E3">
        <w:rPr>
          <w:rFonts w:eastAsia="Times New Roman" w:cs="Arial"/>
          <w:bCs/>
          <w:szCs w:val="24"/>
          <w:lang w:eastAsia="es-ES"/>
        </w:rPr>
        <w:t xml:space="preserve"> concluir que </w:t>
      </w:r>
      <w:r w:rsidR="00A5482D">
        <w:rPr>
          <w:rFonts w:eastAsia="Times New Roman" w:cs="Arial"/>
          <w:bCs/>
          <w:szCs w:val="24"/>
          <w:lang w:eastAsia="es-ES"/>
        </w:rPr>
        <w:t xml:space="preserve">se usaron </w:t>
      </w:r>
      <w:r w:rsidR="00CE17E3">
        <w:rPr>
          <w:rFonts w:eastAsia="Times New Roman" w:cs="Arial"/>
          <w:bCs/>
          <w:szCs w:val="24"/>
          <w:lang w:eastAsia="es-ES"/>
        </w:rPr>
        <w:t xml:space="preserve">recursos públicos con fines electorales </w:t>
      </w:r>
      <w:r w:rsidR="00A16CA2">
        <w:rPr>
          <w:rFonts w:eastAsia="Times New Roman" w:cs="Arial"/>
          <w:bCs/>
          <w:szCs w:val="24"/>
          <w:lang w:eastAsia="es-ES"/>
        </w:rPr>
        <w:t>o</w:t>
      </w:r>
      <w:r w:rsidR="00A5482D">
        <w:rPr>
          <w:rFonts w:eastAsia="Times New Roman" w:cs="Arial"/>
          <w:bCs/>
          <w:szCs w:val="24"/>
          <w:lang w:eastAsia="es-ES"/>
        </w:rPr>
        <w:t xml:space="preserve"> que se</w:t>
      </w:r>
      <w:r w:rsidR="00A16CA2">
        <w:rPr>
          <w:rFonts w:eastAsia="Times New Roman" w:cs="Arial"/>
          <w:bCs/>
          <w:szCs w:val="24"/>
          <w:lang w:eastAsia="es-ES"/>
        </w:rPr>
        <w:t xml:space="preserve"> p</w:t>
      </w:r>
      <w:r w:rsidR="00193218">
        <w:rPr>
          <w:rFonts w:eastAsia="Times New Roman" w:cs="Arial"/>
          <w:bCs/>
          <w:szCs w:val="24"/>
          <w:lang w:eastAsia="es-ES"/>
        </w:rPr>
        <w:t>usi</w:t>
      </w:r>
      <w:r w:rsidR="00A5482D">
        <w:rPr>
          <w:rFonts w:eastAsia="Times New Roman" w:cs="Arial"/>
          <w:bCs/>
          <w:szCs w:val="24"/>
          <w:lang w:eastAsia="es-ES"/>
        </w:rPr>
        <w:t>ero</w:t>
      </w:r>
      <w:r w:rsidR="00193218">
        <w:rPr>
          <w:rFonts w:eastAsia="Times New Roman" w:cs="Arial"/>
          <w:bCs/>
          <w:szCs w:val="24"/>
          <w:lang w:eastAsia="es-ES"/>
        </w:rPr>
        <w:t>n</w:t>
      </w:r>
      <w:r w:rsidR="00A16CA2">
        <w:rPr>
          <w:rFonts w:eastAsia="Times New Roman" w:cs="Arial"/>
          <w:bCs/>
          <w:szCs w:val="24"/>
          <w:lang w:eastAsia="es-ES"/>
        </w:rPr>
        <w:t xml:space="preserve"> en riesgo los principios de imparcialidad, neutralidad y equidad en la contienda</w:t>
      </w:r>
      <w:r w:rsidR="00193218">
        <w:rPr>
          <w:rFonts w:eastAsia="Times New Roman" w:cs="Arial"/>
          <w:bCs/>
          <w:szCs w:val="24"/>
          <w:lang w:eastAsia="es-ES"/>
        </w:rPr>
        <w:t>.</w:t>
      </w:r>
      <w:r w:rsidR="00A16CA2">
        <w:rPr>
          <w:rFonts w:eastAsia="Times New Roman" w:cs="Arial"/>
          <w:bCs/>
          <w:szCs w:val="24"/>
          <w:lang w:eastAsia="es-ES"/>
        </w:rPr>
        <w:t xml:space="preserve"> </w:t>
      </w:r>
    </w:p>
    <w:p w14:paraId="7331A024" w14:textId="74682CDF" w:rsidR="004D7C25" w:rsidRPr="00C26D22" w:rsidRDefault="00BE52EF" w:rsidP="00141387">
      <w:pPr>
        <w:pStyle w:val="Prrafodelista"/>
        <w:widowControl w:val="0"/>
        <w:numPr>
          <w:ilvl w:val="0"/>
          <w:numId w:val="1"/>
        </w:numPr>
        <w:tabs>
          <w:tab w:val="left" w:pos="426"/>
          <w:tab w:val="left" w:pos="567"/>
        </w:tabs>
        <w:spacing w:before="240" w:after="240" w:line="360" w:lineRule="auto"/>
        <w:ind w:left="0" w:hanging="426"/>
        <w:contextualSpacing w:val="0"/>
        <w:jc w:val="both"/>
        <w:rPr>
          <w:rFonts w:eastAsia="Times New Roman" w:cs="Arial"/>
          <w:szCs w:val="24"/>
          <w:lang w:eastAsia="es-ES"/>
        </w:rPr>
      </w:pPr>
      <w:r w:rsidRPr="00C26D22">
        <w:rPr>
          <w:rFonts w:cs="Arial"/>
          <w:b/>
          <w:szCs w:val="24"/>
        </w:rPr>
        <w:t>1</w:t>
      </w:r>
      <w:r w:rsidR="004F188F" w:rsidRPr="00C26D22">
        <w:rPr>
          <w:rFonts w:cs="Arial"/>
          <w:b/>
          <w:szCs w:val="24"/>
        </w:rPr>
        <w:t>.</w:t>
      </w:r>
      <w:r w:rsidR="00E843EE">
        <w:rPr>
          <w:rFonts w:cs="Arial"/>
          <w:b/>
          <w:szCs w:val="24"/>
        </w:rPr>
        <w:t>5</w:t>
      </w:r>
      <w:r w:rsidRPr="00C26D22">
        <w:rPr>
          <w:rFonts w:cs="Arial"/>
          <w:b/>
          <w:szCs w:val="24"/>
        </w:rPr>
        <w:t>.</w:t>
      </w:r>
      <w:r w:rsidR="004F188F" w:rsidRPr="00C26D22">
        <w:rPr>
          <w:rFonts w:cs="Arial"/>
          <w:bCs/>
          <w:szCs w:val="24"/>
        </w:rPr>
        <w:t xml:space="preserve"> </w:t>
      </w:r>
      <w:r w:rsidR="00F4763D" w:rsidRPr="00C26D22">
        <w:rPr>
          <w:rFonts w:cs="Arial"/>
          <w:b/>
          <w:szCs w:val="24"/>
        </w:rPr>
        <w:t>Acto impugnado</w:t>
      </w:r>
      <w:r w:rsidR="000F4F05" w:rsidRPr="00C26D22">
        <w:rPr>
          <w:rFonts w:cs="Arial"/>
          <w:b/>
          <w:szCs w:val="24"/>
        </w:rPr>
        <w:t xml:space="preserve"> </w:t>
      </w:r>
      <w:r w:rsidR="00141387" w:rsidRPr="00C26D22">
        <w:rPr>
          <w:rFonts w:cs="Arial"/>
          <w:b/>
          <w:szCs w:val="24"/>
        </w:rPr>
        <w:t>[</w:t>
      </w:r>
      <w:r w:rsidR="005349E8" w:rsidRPr="00B117B9">
        <w:rPr>
          <w:b/>
          <w:color w:val="FFFFFF" w:themeColor="background1"/>
          <w:szCs w:val="26"/>
          <w:shd w:val="clear" w:color="auto" w:fill="000000" w:themeFill="text1"/>
        </w:rPr>
        <w:t>DATO PROTEGIDO</w:t>
      </w:r>
      <w:r w:rsidR="00141387" w:rsidRPr="00C26D22">
        <w:rPr>
          <w:rFonts w:cs="Arial"/>
          <w:b/>
          <w:szCs w:val="24"/>
        </w:rPr>
        <w:t>]</w:t>
      </w:r>
      <w:r w:rsidR="004F188F" w:rsidRPr="00C26D22">
        <w:rPr>
          <w:rFonts w:cs="Arial"/>
          <w:b/>
          <w:szCs w:val="24"/>
        </w:rPr>
        <w:t>.</w:t>
      </w:r>
      <w:r w:rsidR="004F188F" w:rsidRPr="00C26D22">
        <w:rPr>
          <w:rFonts w:cs="Arial"/>
          <w:bCs/>
          <w:szCs w:val="24"/>
        </w:rPr>
        <w:t xml:space="preserve"> </w:t>
      </w:r>
      <w:r w:rsidR="00141387" w:rsidRPr="00C26D22">
        <w:rPr>
          <w:rFonts w:cs="Arial"/>
          <w:bCs/>
          <w:szCs w:val="24"/>
        </w:rPr>
        <w:t>Inconforme</w:t>
      </w:r>
      <w:r w:rsidR="00A5482D">
        <w:rPr>
          <w:rFonts w:cs="Arial"/>
          <w:bCs/>
          <w:szCs w:val="24"/>
        </w:rPr>
        <w:t xml:space="preserve"> con esa determinación</w:t>
      </w:r>
      <w:r w:rsidR="00141387" w:rsidRPr="00C26D22">
        <w:rPr>
          <w:rFonts w:cs="Arial"/>
          <w:bCs/>
          <w:szCs w:val="24"/>
        </w:rPr>
        <w:t>, e</w:t>
      </w:r>
      <w:r w:rsidR="004F188F" w:rsidRPr="00C26D22">
        <w:rPr>
          <w:rFonts w:cs="Arial"/>
          <w:bCs/>
          <w:szCs w:val="24"/>
        </w:rPr>
        <w:t xml:space="preserve">l </w:t>
      </w:r>
      <w:r w:rsidR="004A245A" w:rsidRPr="00C26D22">
        <w:rPr>
          <w:rFonts w:cs="Arial"/>
          <w:bCs/>
          <w:szCs w:val="24"/>
        </w:rPr>
        <w:t>veintid</w:t>
      </w:r>
      <w:r w:rsidR="00F03813" w:rsidRPr="00C26D22">
        <w:rPr>
          <w:rFonts w:cs="Arial"/>
          <w:bCs/>
          <w:szCs w:val="24"/>
        </w:rPr>
        <w:t>ó</w:t>
      </w:r>
      <w:r w:rsidR="004A245A" w:rsidRPr="00C26D22">
        <w:rPr>
          <w:rFonts w:cs="Arial"/>
          <w:bCs/>
          <w:szCs w:val="24"/>
        </w:rPr>
        <w:t>s</w:t>
      </w:r>
      <w:r w:rsidR="004F188F" w:rsidRPr="00C26D22">
        <w:rPr>
          <w:rFonts w:cs="Arial"/>
          <w:bCs/>
          <w:szCs w:val="24"/>
        </w:rPr>
        <w:t xml:space="preserve"> de </w:t>
      </w:r>
      <w:r w:rsidR="00F42D05">
        <w:rPr>
          <w:rFonts w:cs="Arial"/>
          <w:bCs/>
          <w:szCs w:val="24"/>
        </w:rPr>
        <w:t>junio</w:t>
      </w:r>
      <w:r w:rsidR="004F188F" w:rsidRPr="00C26D22">
        <w:rPr>
          <w:rFonts w:cs="Arial"/>
          <w:bCs/>
          <w:szCs w:val="24"/>
        </w:rPr>
        <w:t xml:space="preserve">, </w:t>
      </w:r>
      <w:r w:rsidR="000F4F05" w:rsidRPr="00C26D22">
        <w:rPr>
          <w:rFonts w:cs="Arial"/>
          <w:bCs/>
          <w:szCs w:val="24"/>
        </w:rPr>
        <w:t>el</w:t>
      </w:r>
      <w:r w:rsidR="004F188F" w:rsidRPr="00C26D22">
        <w:rPr>
          <w:rFonts w:cs="Arial"/>
          <w:bCs/>
          <w:szCs w:val="24"/>
        </w:rPr>
        <w:t xml:space="preserve"> </w:t>
      </w:r>
      <w:r w:rsidR="00634C5A" w:rsidRPr="00C26D22">
        <w:rPr>
          <w:rFonts w:cs="Arial"/>
          <w:bCs/>
          <w:szCs w:val="24"/>
        </w:rPr>
        <w:t>recurrente</w:t>
      </w:r>
      <w:r w:rsidR="004F188F" w:rsidRPr="00C26D22">
        <w:rPr>
          <w:rFonts w:cs="Arial"/>
          <w:bCs/>
          <w:szCs w:val="24"/>
        </w:rPr>
        <w:t xml:space="preserve"> </w:t>
      </w:r>
      <w:r w:rsidR="00634C5A" w:rsidRPr="00C26D22">
        <w:rPr>
          <w:rFonts w:cs="Arial"/>
          <w:bCs/>
          <w:szCs w:val="24"/>
        </w:rPr>
        <w:t>promovi</w:t>
      </w:r>
      <w:r w:rsidR="000F4F05" w:rsidRPr="00C26D22">
        <w:rPr>
          <w:rFonts w:cs="Arial"/>
          <w:bCs/>
          <w:szCs w:val="24"/>
        </w:rPr>
        <w:t>ó</w:t>
      </w:r>
      <w:r w:rsidR="00634C5A" w:rsidRPr="00C26D22">
        <w:rPr>
          <w:rFonts w:cs="Arial"/>
          <w:bCs/>
          <w:szCs w:val="24"/>
        </w:rPr>
        <w:t xml:space="preserve"> juicio</w:t>
      </w:r>
      <w:r w:rsidR="004F188F" w:rsidRPr="00C26D22">
        <w:rPr>
          <w:rFonts w:cs="Arial"/>
          <w:bCs/>
          <w:szCs w:val="24"/>
        </w:rPr>
        <w:t xml:space="preserve"> </w:t>
      </w:r>
      <w:r w:rsidR="000F4F05" w:rsidRPr="00C26D22">
        <w:rPr>
          <w:rFonts w:cs="Arial"/>
          <w:bCs/>
          <w:szCs w:val="24"/>
        </w:rPr>
        <w:t>general ante</w:t>
      </w:r>
      <w:r w:rsidR="004F188F" w:rsidRPr="00C26D22">
        <w:rPr>
          <w:rFonts w:cs="Arial"/>
          <w:bCs/>
          <w:szCs w:val="24"/>
        </w:rPr>
        <w:t xml:space="preserve"> la S</w:t>
      </w:r>
      <w:r w:rsidR="001E39ED" w:rsidRPr="00C26D22">
        <w:rPr>
          <w:rFonts w:cs="Arial"/>
          <w:bCs/>
          <w:szCs w:val="24"/>
        </w:rPr>
        <w:t xml:space="preserve">ala </w:t>
      </w:r>
      <w:r w:rsidR="00F42D05">
        <w:rPr>
          <w:rFonts w:cs="Arial"/>
          <w:bCs/>
          <w:szCs w:val="24"/>
        </w:rPr>
        <w:t>Toluca</w:t>
      </w:r>
      <w:r w:rsidR="004F188F" w:rsidRPr="00C26D22">
        <w:rPr>
          <w:rFonts w:cs="Arial"/>
          <w:bCs/>
          <w:szCs w:val="24"/>
        </w:rPr>
        <w:t xml:space="preserve">, </w:t>
      </w:r>
      <w:r w:rsidR="00634C5A" w:rsidRPr="00C26D22">
        <w:rPr>
          <w:rFonts w:cs="Arial"/>
          <w:bCs/>
          <w:szCs w:val="24"/>
        </w:rPr>
        <w:t xml:space="preserve">a fin de controvertir </w:t>
      </w:r>
      <w:r w:rsidR="004F188F" w:rsidRPr="00C26D22">
        <w:rPr>
          <w:rFonts w:cs="Arial"/>
          <w:bCs/>
          <w:szCs w:val="24"/>
        </w:rPr>
        <w:t>la resoluci</w:t>
      </w:r>
      <w:r w:rsidR="00C53229" w:rsidRPr="00C26D22">
        <w:rPr>
          <w:rFonts w:cs="Arial"/>
          <w:bCs/>
          <w:szCs w:val="24"/>
        </w:rPr>
        <w:t>ón</w:t>
      </w:r>
      <w:r w:rsidR="004F188F" w:rsidRPr="00C26D22">
        <w:rPr>
          <w:rFonts w:cs="Arial"/>
          <w:bCs/>
          <w:szCs w:val="24"/>
        </w:rPr>
        <w:t xml:space="preserve"> del Tribunal local</w:t>
      </w:r>
      <w:r w:rsidR="00B22018" w:rsidRPr="00C26D22">
        <w:rPr>
          <w:rFonts w:cs="Arial"/>
          <w:bCs/>
          <w:szCs w:val="24"/>
        </w:rPr>
        <w:t xml:space="preserve">, </w:t>
      </w:r>
      <w:r w:rsidR="00C82071">
        <w:rPr>
          <w:rFonts w:cs="Arial"/>
          <w:bCs/>
          <w:szCs w:val="24"/>
        </w:rPr>
        <w:t>la</w:t>
      </w:r>
      <w:r w:rsidR="00B22018" w:rsidRPr="00C26D22">
        <w:rPr>
          <w:rFonts w:cs="Arial"/>
          <w:bCs/>
          <w:szCs w:val="24"/>
        </w:rPr>
        <w:t xml:space="preserve"> que fue confirmada mediante sentencia de </w:t>
      </w:r>
      <w:r w:rsidR="00612D10">
        <w:rPr>
          <w:rFonts w:cs="Arial"/>
          <w:bCs/>
          <w:szCs w:val="24"/>
        </w:rPr>
        <w:t xml:space="preserve">dieciséis de </w:t>
      </w:r>
      <w:r w:rsidR="00B22018" w:rsidRPr="00C26D22">
        <w:rPr>
          <w:rFonts w:cs="Arial"/>
          <w:bCs/>
          <w:szCs w:val="24"/>
        </w:rPr>
        <w:t>ju</w:t>
      </w:r>
      <w:r w:rsidR="00D24AFE">
        <w:rPr>
          <w:rFonts w:cs="Arial"/>
          <w:bCs/>
          <w:szCs w:val="24"/>
        </w:rPr>
        <w:t>l</w:t>
      </w:r>
      <w:r w:rsidR="00B22018" w:rsidRPr="00C26D22">
        <w:rPr>
          <w:rFonts w:cs="Arial"/>
          <w:bCs/>
          <w:szCs w:val="24"/>
        </w:rPr>
        <w:t>io</w:t>
      </w:r>
      <w:r w:rsidR="004D7C25" w:rsidRPr="00C26D22">
        <w:rPr>
          <w:rFonts w:cs="Arial"/>
          <w:bCs/>
          <w:szCs w:val="24"/>
        </w:rPr>
        <w:t>.</w:t>
      </w:r>
    </w:p>
    <w:p w14:paraId="7439B1FB" w14:textId="383DC4FC" w:rsidR="00AF0F25" w:rsidRPr="00C26D22" w:rsidRDefault="00134944" w:rsidP="00E1170C">
      <w:pPr>
        <w:pStyle w:val="Prrafodelista"/>
        <w:numPr>
          <w:ilvl w:val="0"/>
          <w:numId w:val="1"/>
        </w:numPr>
        <w:tabs>
          <w:tab w:val="left" w:pos="2160"/>
        </w:tabs>
        <w:spacing w:before="240" w:after="240" w:line="360" w:lineRule="auto"/>
        <w:ind w:left="0" w:hanging="426"/>
        <w:contextualSpacing w:val="0"/>
        <w:jc w:val="both"/>
        <w:rPr>
          <w:rFonts w:eastAsia="Times New Roman" w:cs="Arial"/>
          <w:szCs w:val="24"/>
          <w:lang w:eastAsia="es-ES"/>
        </w:rPr>
      </w:pPr>
      <w:r w:rsidRPr="00C26D22">
        <w:rPr>
          <w:rFonts w:cs="Arial"/>
          <w:b/>
          <w:bCs/>
          <w:szCs w:val="24"/>
        </w:rPr>
        <w:t>1</w:t>
      </w:r>
      <w:r w:rsidR="00564CB3" w:rsidRPr="00C26D22">
        <w:rPr>
          <w:rFonts w:cs="Arial"/>
          <w:b/>
          <w:bCs/>
          <w:szCs w:val="24"/>
        </w:rPr>
        <w:t>.</w:t>
      </w:r>
      <w:r w:rsidR="00E843EE">
        <w:rPr>
          <w:rFonts w:cs="Arial"/>
          <w:b/>
          <w:bCs/>
          <w:szCs w:val="24"/>
        </w:rPr>
        <w:t>6</w:t>
      </w:r>
      <w:r w:rsidR="00564CB3" w:rsidRPr="00C26D22">
        <w:rPr>
          <w:rFonts w:cs="Arial"/>
          <w:b/>
          <w:bCs/>
          <w:szCs w:val="24"/>
        </w:rPr>
        <w:t xml:space="preserve">. Recurso de reconsideración. </w:t>
      </w:r>
      <w:r w:rsidR="00093811">
        <w:rPr>
          <w:rFonts w:cs="Arial"/>
          <w:szCs w:val="24"/>
        </w:rPr>
        <w:t>Para combatir</w:t>
      </w:r>
      <w:r w:rsidR="00F504F1" w:rsidRPr="00C26D22">
        <w:rPr>
          <w:rFonts w:cs="Arial"/>
          <w:szCs w:val="24"/>
        </w:rPr>
        <w:t xml:space="preserve"> </w:t>
      </w:r>
      <w:r w:rsidR="00854C5E" w:rsidRPr="00C26D22">
        <w:rPr>
          <w:rFonts w:cs="Arial"/>
          <w:szCs w:val="24"/>
        </w:rPr>
        <w:t>esa</w:t>
      </w:r>
      <w:r w:rsidR="00F504F1" w:rsidRPr="00C26D22">
        <w:rPr>
          <w:rFonts w:cs="Arial"/>
          <w:szCs w:val="24"/>
        </w:rPr>
        <w:t xml:space="preserve"> determinación</w:t>
      </w:r>
      <w:r w:rsidRPr="00C26D22">
        <w:rPr>
          <w:rFonts w:cs="Arial"/>
          <w:szCs w:val="24"/>
        </w:rPr>
        <w:t>,</w:t>
      </w:r>
      <w:r w:rsidRPr="00C26D22">
        <w:rPr>
          <w:rFonts w:cs="Arial"/>
          <w:bCs/>
          <w:szCs w:val="24"/>
        </w:rPr>
        <w:t xml:space="preserve"> el</w:t>
      </w:r>
      <w:r w:rsidR="005A1E20">
        <w:rPr>
          <w:rFonts w:cs="Arial"/>
          <w:bCs/>
          <w:szCs w:val="24"/>
        </w:rPr>
        <w:t xml:space="preserve"> veintiuno de </w:t>
      </w:r>
      <w:r w:rsidR="00A13C7A" w:rsidRPr="00C26D22">
        <w:rPr>
          <w:rFonts w:cs="Arial"/>
          <w:bCs/>
          <w:szCs w:val="24"/>
        </w:rPr>
        <w:t>julio</w:t>
      </w:r>
      <w:r w:rsidRPr="00C26D22">
        <w:rPr>
          <w:rFonts w:cs="Arial"/>
          <w:bCs/>
          <w:szCs w:val="24"/>
        </w:rPr>
        <w:t>,</w:t>
      </w:r>
      <w:r w:rsidR="00AF0F25" w:rsidRPr="00C26D22">
        <w:rPr>
          <w:rFonts w:cs="Arial"/>
          <w:szCs w:val="24"/>
        </w:rPr>
        <w:t xml:space="preserve"> </w:t>
      </w:r>
      <w:r w:rsidR="008176A8" w:rsidRPr="00B117B9">
        <w:rPr>
          <w:b/>
          <w:color w:val="FFFFFF" w:themeColor="background1"/>
          <w:szCs w:val="26"/>
          <w:shd w:val="clear" w:color="auto" w:fill="000000" w:themeFill="text1"/>
        </w:rPr>
        <w:t>DATO PROTEGIDO</w:t>
      </w:r>
      <w:r w:rsidR="00BF250C">
        <w:rPr>
          <w:rFonts w:cs="Arial"/>
          <w:szCs w:val="24"/>
        </w:rPr>
        <w:t xml:space="preserve"> interpuso </w:t>
      </w:r>
      <w:r w:rsidR="00AF0F25" w:rsidRPr="00C26D22">
        <w:rPr>
          <w:rFonts w:cs="Arial"/>
          <w:szCs w:val="24"/>
        </w:rPr>
        <w:t xml:space="preserve">el presente medio de impugnación. </w:t>
      </w:r>
    </w:p>
    <w:p w14:paraId="500EF896" w14:textId="68B04443" w:rsidR="00BF318B" w:rsidRPr="00C26D22" w:rsidRDefault="00BF318B" w:rsidP="00F504F1">
      <w:pPr>
        <w:pStyle w:val="Ttulo1"/>
        <w:numPr>
          <w:ilvl w:val="0"/>
          <w:numId w:val="31"/>
        </w:numPr>
        <w:spacing w:before="240" w:after="240" w:line="360" w:lineRule="auto"/>
        <w:contextualSpacing/>
        <w:jc w:val="center"/>
        <w:rPr>
          <w:rFonts w:ascii="Arial" w:hAnsi="Arial" w:cs="Arial"/>
          <w:b/>
          <w:bCs/>
          <w:color w:val="000000" w:themeColor="text1"/>
          <w:sz w:val="24"/>
          <w:szCs w:val="24"/>
        </w:rPr>
      </w:pPr>
      <w:bookmarkStart w:id="4" w:name="_Toc934674260"/>
      <w:bookmarkStart w:id="5" w:name="_Toc91090501"/>
      <w:bookmarkStart w:id="6" w:name="_Toc98792605"/>
      <w:bookmarkStart w:id="7" w:name="_Toc235708176"/>
      <w:r w:rsidRPr="00C26D22">
        <w:rPr>
          <w:rFonts w:ascii="Arial" w:hAnsi="Arial" w:cs="Arial"/>
          <w:b/>
          <w:bCs/>
          <w:color w:val="000000" w:themeColor="text1"/>
          <w:sz w:val="24"/>
          <w:szCs w:val="24"/>
        </w:rPr>
        <w:t>COMPETENCIA</w:t>
      </w:r>
      <w:bookmarkEnd w:id="4"/>
      <w:bookmarkEnd w:id="5"/>
      <w:bookmarkEnd w:id="6"/>
      <w:bookmarkEnd w:id="7"/>
    </w:p>
    <w:p w14:paraId="6AA97274" w14:textId="2BED7106" w:rsidR="00BF318B" w:rsidRPr="00C26D22" w:rsidRDefault="00093811" w:rsidP="00E1170C">
      <w:pPr>
        <w:pStyle w:val="Prrafodelista"/>
        <w:numPr>
          <w:ilvl w:val="0"/>
          <w:numId w:val="1"/>
        </w:numPr>
        <w:tabs>
          <w:tab w:val="left" w:pos="2160"/>
        </w:tabs>
        <w:spacing w:before="240" w:after="240" w:line="360" w:lineRule="auto"/>
        <w:ind w:left="0" w:hanging="426"/>
        <w:jc w:val="both"/>
        <w:rPr>
          <w:rFonts w:eastAsia="Times New Roman" w:cs="Arial"/>
          <w:szCs w:val="24"/>
          <w:lang w:eastAsia="es-ES"/>
        </w:rPr>
      </w:pPr>
      <w:r>
        <w:rPr>
          <w:rFonts w:eastAsia="Times New Roman" w:cs="Arial"/>
          <w:bCs/>
          <w:szCs w:val="24"/>
          <w:lang w:eastAsia="es-ES"/>
        </w:rPr>
        <w:t>L</w:t>
      </w:r>
      <w:r w:rsidR="000D0D0F" w:rsidRPr="00C26D22">
        <w:rPr>
          <w:rFonts w:eastAsia="Times New Roman" w:cs="Arial"/>
          <w:bCs/>
          <w:szCs w:val="24"/>
          <w:lang w:eastAsia="es-ES"/>
        </w:rPr>
        <w:t>a Sala Superior es competente para conocer y resolver el presente medio de impugnación, por tratarse de un recurso de reconsideración interpuesto contra una sentencia emitida por una Sala Regional</w:t>
      </w:r>
      <w:r w:rsidR="000D0D0F" w:rsidRPr="00C26D22">
        <w:rPr>
          <w:rStyle w:val="Refdenotaalpie"/>
          <w:rFonts w:eastAsia="Times New Roman" w:cs="Arial"/>
          <w:szCs w:val="24"/>
          <w:lang w:eastAsia="es-ES"/>
        </w:rPr>
        <w:footnoteReference w:id="3"/>
      </w:r>
      <w:r w:rsidR="00A9393B" w:rsidRPr="00C26D22">
        <w:rPr>
          <w:rFonts w:eastAsia="Times New Roman" w:cs="Arial"/>
          <w:bCs/>
          <w:szCs w:val="24"/>
          <w:lang w:eastAsia="es-ES"/>
        </w:rPr>
        <w:t>.</w:t>
      </w:r>
    </w:p>
    <w:p w14:paraId="0376DB1B" w14:textId="6D446E66" w:rsidR="00BF318B" w:rsidRPr="00C26D22" w:rsidRDefault="00BF318B" w:rsidP="000350EE">
      <w:pPr>
        <w:pStyle w:val="Ttulo1"/>
        <w:numPr>
          <w:ilvl w:val="0"/>
          <w:numId w:val="31"/>
        </w:numPr>
        <w:spacing w:before="240" w:after="240" w:line="360" w:lineRule="auto"/>
        <w:contextualSpacing/>
        <w:jc w:val="center"/>
        <w:rPr>
          <w:rFonts w:ascii="Arial" w:hAnsi="Arial" w:cs="Arial"/>
          <w:b/>
          <w:bCs/>
          <w:color w:val="000000" w:themeColor="text1"/>
          <w:sz w:val="24"/>
          <w:szCs w:val="24"/>
        </w:rPr>
      </w:pPr>
      <w:bookmarkStart w:id="8" w:name="_Toc235708177"/>
      <w:r w:rsidRPr="00C26D22">
        <w:rPr>
          <w:rFonts w:ascii="Arial" w:hAnsi="Arial" w:cs="Arial"/>
          <w:b/>
          <w:bCs/>
          <w:color w:val="000000" w:themeColor="text1"/>
          <w:sz w:val="24"/>
          <w:szCs w:val="24"/>
        </w:rPr>
        <w:t>IMPROCEDENCIA</w:t>
      </w:r>
      <w:bookmarkEnd w:id="8"/>
    </w:p>
    <w:p w14:paraId="7BDF327E" w14:textId="77777777" w:rsidR="005A1580" w:rsidRPr="00C26D22" w:rsidRDefault="005A1580" w:rsidP="00E1170C">
      <w:pPr>
        <w:pStyle w:val="Prrafodelista"/>
        <w:numPr>
          <w:ilvl w:val="0"/>
          <w:numId w:val="1"/>
        </w:numPr>
        <w:tabs>
          <w:tab w:val="left" w:pos="0"/>
        </w:tabs>
        <w:spacing w:before="240" w:after="240" w:line="360" w:lineRule="auto"/>
        <w:ind w:left="0" w:hanging="426"/>
        <w:contextualSpacing w:val="0"/>
        <w:jc w:val="both"/>
        <w:rPr>
          <w:rFonts w:cs="Arial"/>
          <w:szCs w:val="24"/>
        </w:rPr>
      </w:pPr>
      <w:r w:rsidRPr="00C26D22">
        <w:rPr>
          <w:rFonts w:cs="Arial"/>
          <w:szCs w:val="24"/>
        </w:rPr>
        <w:t>Esta Sala Superior considera que el recurso de reconsideración es improcedente, al no actualizarse el requisito especial de procedencia, toda vez que, en el presente caso, no subsiste un tema de constitucionalidad o convencionalidad que deba ser revisado y tampoco se actualiza alguno de los supuestos desarrollados en la jurisprudencia de este Tribunal Electoral</w:t>
      </w:r>
      <w:r w:rsidRPr="00C26D22">
        <w:rPr>
          <w:rFonts w:cs="Arial"/>
          <w:bCs/>
          <w:szCs w:val="24"/>
        </w:rPr>
        <w:t>.</w:t>
      </w:r>
    </w:p>
    <w:p w14:paraId="7BE16D7E" w14:textId="062AE5C3" w:rsidR="00793C1A" w:rsidRPr="00C26D22" w:rsidRDefault="00793C1A" w:rsidP="00A00013">
      <w:pPr>
        <w:pStyle w:val="Ttulo1"/>
        <w:numPr>
          <w:ilvl w:val="0"/>
          <w:numId w:val="31"/>
        </w:numPr>
        <w:spacing w:before="240" w:after="240" w:line="360" w:lineRule="auto"/>
        <w:contextualSpacing/>
        <w:jc w:val="center"/>
        <w:rPr>
          <w:rFonts w:ascii="Arial" w:hAnsi="Arial" w:cs="Arial"/>
          <w:b/>
          <w:bCs/>
          <w:color w:val="000000" w:themeColor="text1"/>
          <w:sz w:val="24"/>
          <w:szCs w:val="24"/>
        </w:rPr>
      </w:pPr>
      <w:bookmarkStart w:id="9" w:name="_Toc235708178"/>
      <w:r w:rsidRPr="00C26D22">
        <w:rPr>
          <w:rFonts w:ascii="Arial" w:hAnsi="Arial" w:cs="Arial"/>
          <w:b/>
          <w:bCs/>
          <w:color w:val="000000" w:themeColor="text1"/>
          <w:sz w:val="24"/>
          <w:szCs w:val="24"/>
        </w:rPr>
        <w:t>JUSTIFICACIÓN</w:t>
      </w:r>
      <w:bookmarkEnd w:id="9"/>
    </w:p>
    <w:p w14:paraId="08CF5C63" w14:textId="474161A0" w:rsidR="00AA47B0" w:rsidRPr="00EA70D6" w:rsidRDefault="0029582D" w:rsidP="00486587">
      <w:pPr>
        <w:pStyle w:val="Prrafodelista"/>
        <w:tabs>
          <w:tab w:val="left" w:pos="6207"/>
        </w:tabs>
        <w:spacing w:before="240" w:after="240" w:line="360" w:lineRule="auto"/>
        <w:ind w:left="360" w:hanging="360"/>
        <w:contextualSpacing w:val="0"/>
        <w:outlineLvl w:val="1"/>
        <w:rPr>
          <w:rStyle w:val="GINA2Car"/>
        </w:rPr>
      </w:pPr>
      <w:bookmarkStart w:id="10" w:name="_Toc224747527"/>
      <w:bookmarkStart w:id="11" w:name="_Toc235708179"/>
      <w:r>
        <w:rPr>
          <w:rFonts w:cs="Arial"/>
          <w:b/>
          <w:szCs w:val="24"/>
        </w:rPr>
        <w:t>4</w:t>
      </w:r>
      <w:r w:rsidR="00AA47B0" w:rsidRPr="00EA70D6">
        <w:rPr>
          <w:rStyle w:val="GINA2Car"/>
        </w:rPr>
        <w:t>.1. Marco normativo</w:t>
      </w:r>
      <w:bookmarkEnd w:id="10"/>
      <w:bookmarkEnd w:id="11"/>
    </w:p>
    <w:p w14:paraId="7DE7E4DA" w14:textId="77777777" w:rsidR="00486587" w:rsidRPr="00C26D22" w:rsidRDefault="000D0D0F" w:rsidP="00486587">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 xml:space="preserve">El recurso de reconsideración cumple un doble propósito, por un lado, se trata de un medio ordinario para impugnar resoluciones de Salas Regionales referidas en el artículo 61, párrafo 1, inciso a), de la Ley de </w:t>
      </w:r>
      <w:r w:rsidRPr="00C26D22">
        <w:rPr>
          <w:rFonts w:cs="Arial"/>
          <w:szCs w:val="24"/>
          <w:lang w:eastAsia="es-ES"/>
        </w:rPr>
        <w:lastRenderedPageBreak/>
        <w:t>Medios y, por otro, es una vía extraordinaria de defensa a través del cual esta Sala Superior actúa como órgano de control de regularidad constitucional.</w:t>
      </w:r>
    </w:p>
    <w:p w14:paraId="4442EC6E" w14:textId="77777777" w:rsidR="00B11742" w:rsidRPr="00C26D22" w:rsidRDefault="000D0D0F" w:rsidP="00B11742">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 xml:space="preserve">Lo anterior, porque acorde a lo señalado en el artículo 61, párrafo 1, inciso b), de la normativa citada, la procedencia del recurso de reconsideración también se materializa cuando las sentencias dictadas por las Salas Regionales hayan decidido la no </w:t>
      </w:r>
      <w:r w:rsidRPr="00C26D22">
        <w:rPr>
          <w:rFonts w:eastAsia="Times New Roman" w:cs="Arial"/>
          <w:bCs/>
          <w:szCs w:val="24"/>
        </w:rPr>
        <w:t>aplicación</w:t>
      </w:r>
      <w:r w:rsidRPr="00C26D22">
        <w:rPr>
          <w:rFonts w:cs="Arial"/>
          <w:szCs w:val="24"/>
          <w:lang w:eastAsia="es-ES"/>
        </w:rPr>
        <w:t xml:space="preserve"> de alguna ley en materia electoral que se estime contraria a la Constitución </w:t>
      </w:r>
      <w:r w:rsidR="0037266A" w:rsidRPr="00C26D22">
        <w:rPr>
          <w:rFonts w:cs="Arial"/>
          <w:szCs w:val="24"/>
          <w:lang w:eastAsia="es-ES"/>
        </w:rPr>
        <w:t>General</w:t>
      </w:r>
      <w:r w:rsidRPr="00C26D22">
        <w:rPr>
          <w:rFonts w:cs="Arial"/>
          <w:szCs w:val="24"/>
          <w:lang w:eastAsia="es-ES"/>
        </w:rPr>
        <w:t>.</w:t>
      </w:r>
    </w:p>
    <w:p w14:paraId="05F952AC" w14:textId="77777777" w:rsidR="00090A4B" w:rsidRPr="00C26D22" w:rsidRDefault="000D0D0F" w:rsidP="00090A4B">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 xml:space="preserve">Así, por regla general, las sentencias de las Salas Regionales son definitivas e inatacables; pero podrán impugnarse en la vía del </w:t>
      </w:r>
      <w:r w:rsidRPr="00C26D22">
        <w:rPr>
          <w:rFonts w:eastAsia="Times New Roman" w:cs="Arial"/>
          <w:bCs/>
          <w:szCs w:val="24"/>
        </w:rPr>
        <w:t>recurso</w:t>
      </w:r>
      <w:r w:rsidRPr="00C26D22">
        <w:rPr>
          <w:rFonts w:cs="Arial"/>
          <w:szCs w:val="24"/>
          <w:lang w:eastAsia="es-ES"/>
        </w:rPr>
        <w:t xml:space="preserve"> de reconsideración cuando se refieren a juicios de inconformidad en los supuestos del artículo 62 de la Ley de Medios, o cuando</w:t>
      </w:r>
      <w:r w:rsidR="00B72D95" w:rsidRPr="00C26D22">
        <w:rPr>
          <w:rFonts w:cs="Arial"/>
          <w:szCs w:val="24"/>
          <w:lang w:eastAsia="es-ES"/>
        </w:rPr>
        <w:t xml:space="preserve"> esos órganos jurisdiccionales</w:t>
      </w:r>
      <w:r w:rsidRPr="00C26D22">
        <w:rPr>
          <w:rFonts w:cs="Arial"/>
          <w:szCs w:val="24"/>
          <w:lang w:eastAsia="es-ES"/>
        </w:rPr>
        <w:t xml:space="preserve"> se pronuncien sobre temas de constitucionalidad o convencionalidad en los demás medios de impugnación.</w:t>
      </w:r>
    </w:p>
    <w:p w14:paraId="26B09CE7" w14:textId="77777777" w:rsidR="00090A4B" w:rsidRPr="00C26D22" w:rsidRDefault="000D0D0F" w:rsidP="00090A4B">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Es importante precisar que el recurso de reconsideración no constituye una instancia posterior, sino una vía constitucional extraordinaria conforme a la cual, la Sala Superior ejerce un auténtico control de constitucionalidad en concreto sobre las sentencias pronunciadas por las Salas Regionales.</w:t>
      </w:r>
    </w:p>
    <w:p w14:paraId="243AD6CA" w14:textId="77777777" w:rsidR="00090A4B" w:rsidRPr="00C26D22" w:rsidRDefault="000D0D0F" w:rsidP="00090A4B">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Por la naturaleza extraordinaria del medio de impugnación que se estudia y a partir de criterios reiterados de esta Sala Superior, se ha ampliado la procedencia del recurso de reconsideración con el fin de garantizar el derecho humano de acceso a la justicia.</w:t>
      </w:r>
    </w:p>
    <w:p w14:paraId="14738284" w14:textId="77777777" w:rsidR="001930B1" w:rsidRPr="00C26D22" w:rsidRDefault="000D0D0F" w:rsidP="001930B1">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De la interpretación sistemática y funcional de los artículos 17, 41 y 99 de la Constitución</w:t>
      </w:r>
      <w:r w:rsidR="004B3739" w:rsidRPr="00C26D22">
        <w:rPr>
          <w:rFonts w:cs="Arial"/>
          <w:szCs w:val="24"/>
          <w:lang w:eastAsia="es-ES"/>
        </w:rPr>
        <w:t xml:space="preserve"> General</w:t>
      </w:r>
      <w:r w:rsidRPr="00C26D22">
        <w:rPr>
          <w:rFonts w:cs="Arial"/>
          <w:szCs w:val="24"/>
          <w:lang w:eastAsia="es-ES"/>
        </w:rPr>
        <w:t xml:space="preserve">, así como de los artículos 3, 61 y 62 de la Ley de Medios, en síntesis, se ha determinado que el recurso de reconsideración también procede en casos en que se realicen planteamientos de constitucionalidad de una norma. </w:t>
      </w:r>
    </w:p>
    <w:p w14:paraId="7A99BD2D" w14:textId="2A9E42C0" w:rsidR="000D0D0F" w:rsidRPr="00C26D22" w:rsidRDefault="000D0D0F" w:rsidP="001930B1">
      <w:pPr>
        <w:pStyle w:val="Prrafodelista"/>
        <w:numPr>
          <w:ilvl w:val="0"/>
          <w:numId w:val="1"/>
        </w:numPr>
        <w:tabs>
          <w:tab w:val="left" w:pos="426"/>
        </w:tabs>
        <w:spacing w:before="240" w:after="240" w:line="360" w:lineRule="auto"/>
        <w:ind w:left="0" w:hanging="426"/>
        <w:contextualSpacing w:val="0"/>
        <w:jc w:val="both"/>
        <w:rPr>
          <w:rFonts w:eastAsia="Times New Roman" w:cs="Arial"/>
          <w:szCs w:val="24"/>
          <w:lang w:eastAsia="es-ES"/>
        </w:rPr>
      </w:pPr>
      <w:r w:rsidRPr="00C26D22">
        <w:rPr>
          <w:rFonts w:cs="Arial"/>
          <w:szCs w:val="24"/>
          <w:lang w:eastAsia="es-ES"/>
        </w:rPr>
        <w:t xml:space="preserve">La procedencia del recurso de reconsideración para impugnar resoluciones dictadas por Salas Regionales se actualiza en los casos siguientes, de lo contrario, procedería su desechamiento de plano.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359"/>
        <w:gridCol w:w="5620"/>
      </w:tblGrid>
      <w:tr w:rsidR="005A1580" w:rsidRPr="007037E4" w14:paraId="3322C969" w14:textId="77777777" w:rsidTr="00151770">
        <w:trPr>
          <w:jc w:val="right"/>
        </w:trPr>
        <w:tc>
          <w:tcPr>
            <w:tcW w:w="0" w:type="auto"/>
            <w:shd w:val="clear" w:color="auto" w:fill="FFFFFF"/>
            <w:vAlign w:val="center"/>
          </w:tcPr>
          <w:p w14:paraId="545E227A" w14:textId="77777777" w:rsidR="005A1580" w:rsidRPr="007037E4" w:rsidRDefault="005A1580" w:rsidP="00151770">
            <w:pPr>
              <w:jc w:val="center"/>
              <w:rPr>
                <w:rFonts w:cs="Arial"/>
                <w:b/>
                <w:sz w:val="20"/>
              </w:rPr>
            </w:pPr>
            <w:r w:rsidRPr="007037E4">
              <w:rPr>
                <w:rFonts w:cs="Arial"/>
                <w:b/>
                <w:sz w:val="20"/>
              </w:rPr>
              <w:lastRenderedPageBreak/>
              <w:t>Procedencia ordinaria Fundamento: artículo 61 de la Ley de Medios</w:t>
            </w:r>
          </w:p>
        </w:tc>
        <w:tc>
          <w:tcPr>
            <w:tcW w:w="0" w:type="auto"/>
            <w:shd w:val="clear" w:color="auto" w:fill="FFFFFF"/>
            <w:vAlign w:val="center"/>
          </w:tcPr>
          <w:p w14:paraId="3A5D7C9C"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de fondo dictadas en los juicios de inconformidad promovidos contra resultados de las elecciones de diputaciones y senadurías.</w:t>
            </w:r>
          </w:p>
          <w:p w14:paraId="2F8241CB"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recaídas a los restantes medios de impugnación competencia de las Salas Regionales, cuando hayan determinado la no aplicación de una ley electoral por considerarla contraria a la Constitución General.</w:t>
            </w:r>
          </w:p>
        </w:tc>
      </w:tr>
      <w:tr w:rsidR="005A1580" w:rsidRPr="007037E4" w14:paraId="3D800CE5" w14:textId="77777777" w:rsidTr="00151770">
        <w:trPr>
          <w:trHeight w:val="70"/>
          <w:jc w:val="right"/>
        </w:trPr>
        <w:tc>
          <w:tcPr>
            <w:tcW w:w="0" w:type="auto"/>
            <w:shd w:val="clear" w:color="auto" w:fill="FFFFFF"/>
            <w:vAlign w:val="center"/>
          </w:tcPr>
          <w:p w14:paraId="5895919E" w14:textId="77777777" w:rsidR="005A1580" w:rsidRPr="007037E4" w:rsidRDefault="005A1580" w:rsidP="00151770">
            <w:pPr>
              <w:jc w:val="center"/>
              <w:rPr>
                <w:rFonts w:cs="Arial"/>
                <w:sz w:val="20"/>
              </w:rPr>
            </w:pPr>
            <w:r w:rsidRPr="007037E4">
              <w:rPr>
                <w:rFonts w:cs="Arial"/>
                <w:b/>
                <w:sz w:val="20"/>
              </w:rPr>
              <w:t>Procedencia desarrollada en jurisprudencia de Sala Superior</w:t>
            </w:r>
          </w:p>
        </w:tc>
        <w:tc>
          <w:tcPr>
            <w:tcW w:w="0" w:type="auto"/>
            <w:vAlign w:val="center"/>
          </w:tcPr>
          <w:p w14:paraId="7D003762"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de fondo dictadas en algún medio de impugnación, distinto al juicio de inconformidad, en las que se analice o deba analizar algún tema de constitucionalidad o convencionalidad planteado ante la Sala Regional y se haga valer en la demanda de reconsideración.</w:t>
            </w:r>
          </w:p>
          <w:p w14:paraId="0C599467"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que expresa o implícitamente inapliquen leyes electorales, normas partidistas o normas consuetudinarias de carácter electoral, por considerarlas contrarias a la Constitución General</w:t>
            </w:r>
            <w:r w:rsidRPr="007037E4">
              <w:rPr>
                <w:rFonts w:cs="Arial"/>
                <w:sz w:val="20"/>
                <w:vertAlign w:val="superscript"/>
              </w:rPr>
              <w:footnoteReference w:id="4"/>
            </w:r>
            <w:r w:rsidRPr="007037E4">
              <w:rPr>
                <w:rFonts w:cs="Arial"/>
                <w:sz w:val="20"/>
              </w:rPr>
              <w:t>.</w:t>
            </w:r>
          </w:p>
          <w:p w14:paraId="639EF92D"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que omitan el estudio o declaren inoperantes los agravios sobre inconstitucionalidad de normas electorales</w:t>
            </w:r>
            <w:r w:rsidRPr="007037E4">
              <w:rPr>
                <w:rFonts w:cs="Arial"/>
                <w:sz w:val="20"/>
                <w:vertAlign w:val="superscript"/>
              </w:rPr>
              <w:footnoteReference w:id="5"/>
            </w:r>
            <w:r w:rsidRPr="007037E4">
              <w:rPr>
                <w:rFonts w:cs="Arial"/>
                <w:sz w:val="20"/>
              </w:rPr>
              <w:t>.</w:t>
            </w:r>
          </w:p>
          <w:p w14:paraId="64CA114E"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que interpreten directamente preceptos constitucionales</w:t>
            </w:r>
            <w:r w:rsidRPr="007037E4">
              <w:rPr>
                <w:rFonts w:cs="Arial"/>
                <w:sz w:val="20"/>
                <w:vertAlign w:val="superscript"/>
              </w:rPr>
              <w:footnoteReference w:id="6"/>
            </w:r>
            <w:r w:rsidRPr="007037E4">
              <w:rPr>
                <w:rFonts w:cs="Arial"/>
                <w:sz w:val="20"/>
              </w:rPr>
              <w:t>.</w:t>
            </w:r>
          </w:p>
          <w:p w14:paraId="3706D4FF" w14:textId="77777777" w:rsidR="005A1580" w:rsidRPr="007037E4" w:rsidRDefault="005A1580" w:rsidP="005A1580">
            <w:pPr>
              <w:numPr>
                <w:ilvl w:val="0"/>
                <w:numId w:val="2"/>
              </w:numPr>
              <w:ind w:left="170" w:hanging="187"/>
              <w:jc w:val="both"/>
              <w:rPr>
                <w:rFonts w:cs="Arial"/>
                <w:sz w:val="20"/>
              </w:rPr>
            </w:pPr>
            <w:r w:rsidRPr="007037E4">
              <w:rPr>
                <w:rFonts w:cs="Arial"/>
                <w:sz w:val="20"/>
              </w:rPr>
              <w:t>Cuando se ejerza control de convencionalidad</w:t>
            </w:r>
            <w:r w:rsidRPr="007037E4">
              <w:rPr>
                <w:rFonts w:cs="Arial"/>
                <w:sz w:val="20"/>
                <w:vertAlign w:val="superscript"/>
              </w:rPr>
              <w:footnoteReference w:id="7"/>
            </w:r>
            <w:r w:rsidRPr="007037E4">
              <w:rPr>
                <w:rFonts w:cs="Arial"/>
                <w:sz w:val="20"/>
              </w:rPr>
              <w:t>.</w:t>
            </w:r>
          </w:p>
          <w:p w14:paraId="1C26178D" w14:textId="77777777" w:rsidR="005A1580" w:rsidRPr="007037E4" w:rsidRDefault="005A1580" w:rsidP="005A1580">
            <w:pPr>
              <w:numPr>
                <w:ilvl w:val="0"/>
                <w:numId w:val="2"/>
              </w:numPr>
              <w:ind w:left="170" w:hanging="187"/>
              <w:jc w:val="both"/>
              <w:rPr>
                <w:rFonts w:cs="Arial"/>
                <w:sz w:val="20"/>
              </w:rPr>
            </w:pPr>
            <w:r w:rsidRPr="007037E4">
              <w:rPr>
                <w:rFonts w:cs="Arial"/>
                <w:sz w:val="20"/>
              </w:rPr>
              <w:t>Cuando se aleguen irregularidades graves, que puedan afectar principios constitucionales y convencionales exigidos para la validez de las elecciones, en caso de que las Salas Regionales no hayan adoptado medidas para garantizar su observancia o hayan omitido su análisis</w:t>
            </w:r>
            <w:r w:rsidRPr="007037E4">
              <w:rPr>
                <w:rFonts w:cs="Arial"/>
                <w:sz w:val="20"/>
                <w:vertAlign w:val="superscript"/>
              </w:rPr>
              <w:footnoteReference w:id="8"/>
            </w:r>
            <w:r w:rsidRPr="007037E4">
              <w:rPr>
                <w:rFonts w:cs="Arial"/>
                <w:sz w:val="20"/>
              </w:rPr>
              <w:t>.</w:t>
            </w:r>
          </w:p>
          <w:p w14:paraId="7C6238B0" w14:textId="77777777" w:rsidR="005A1580" w:rsidRPr="007037E4" w:rsidRDefault="005A1580" w:rsidP="005A1580">
            <w:pPr>
              <w:numPr>
                <w:ilvl w:val="0"/>
                <w:numId w:val="2"/>
              </w:numPr>
              <w:ind w:left="170" w:hanging="187"/>
              <w:jc w:val="both"/>
              <w:rPr>
                <w:rFonts w:cs="Arial"/>
                <w:sz w:val="20"/>
              </w:rPr>
            </w:pPr>
            <w:r w:rsidRPr="007037E4">
              <w:rPr>
                <w:rFonts w:cs="Arial"/>
                <w:sz w:val="20"/>
              </w:rPr>
              <w:lastRenderedPageBreak/>
              <w:t>Sentencias de desechamiento cuando se advierta una violación manifiesta al debido proceso, en caso de notorio error judicial</w:t>
            </w:r>
            <w:r w:rsidRPr="007037E4">
              <w:rPr>
                <w:rFonts w:cs="Arial"/>
                <w:sz w:val="20"/>
                <w:vertAlign w:val="superscript"/>
              </w:rPr>
              <w:footnoteReference w:id="9"/>
            </w:r>
            <w:r w:rsidRPr="007037E4">
              <w:rPr>
                <w:rFonts w:cs="Arial"/>
                <w:sz w:val="20"/>
              </w:rPr>
              <w:t>.</w:t>
            </w:r>
          </w:p>
          <w:p w14:paraId="5F25A82E" w14:textId="77777777" w:rsidR="005A1580" w:rsidRPr="007037E4" w:rsidRDefault="005A1580" w:rsidP="005A1580">
            <w:pPr>
              <w:numPr>
                <w:ilvl w:val="0"/>
                <w:numId w:val="2"/>
              </w:numPr>
              <w:ind w:left="170" w:hanging="187"/>
              <w:jc w:val="both"/>
              <w:rPr>
                <w:rFonts w:cs="Arial"/>
                <w:sz w:val="20"/>
              </w:rPr>
            </w:pPr>
            <w:r w:rsidRPr="007037E4">
              <w:rPr>
                <w:rFonts w:cs="Arial"/>
                <w:sz w:val="20"/>
              </w:rPr>
              <w:t>Sentencias que aborden temas jurídicos de un alto nivel de importancia y trascendencia para generar un criterio de interpretación útil a la certeza del orden jurídico nacional</w:t>
            </w:r>
            <w:r w:rsidRPr="007037E4">
              <w:rPr>
                <w:rFonts w:cs="Arial"/>
                <w:sz w:val="20"/>
                <w:vertAlign w:val="superscript"/>
              </w:rPr>
              <w:footnoteReference w:id="10"/>
            </w:r>
            <w:r w:rsidRPr="007037E4">
              <w:rPr>
                <w:rFonts w:cs="Arial"/>
                <w:sz w:val="20"/>
              </w:rPr>
              <w:t>.</w:t>
            </w:r>
          </w:p>
          <w:p w14:paraId="42B1CA72" w14:textId="77777777" w:rsidR="005A1580" w:rsidRPr="007037E4" w:rsidRDefault="005A1580" w:rsidP="005A1580">
            <w:pPr>
              <w:numPr>
                <w:ilvl w:val="0"/>
                <w:numId w:val="2"/>
              </w:numPr>
              <w:ind w:left="170" w:hanging="187"/>
              <w:jc w:val="both"/>
              <w:rPr>
                <w:rFonts w:cs="Arial"/>
                <w:sz w:val="20"/>
              </w:rPr>
            </w:pPr>
            <w:r w:rsidRPr="007037E4">
              <w:rPr>
                <w:rFonts w:cs="Arial"/>
                <w:sz w:val="20"/>
              </w:rPr>
              <w:t>Resoluciones que impongan medidas de apremio, aun cuando no se trate de sentencias definitivas o no se haya discutido un tema de constitucionalidad o convencionalidad</w:t>
            </w:r>
            <w:r w:rsidRPr="007037E4">
              <w:rPr>
                <w:rFonts w:cs="Arial"/>
                <w:sz w:val="20"/>
                <w:vertAlign w:val="superscript"/>
              </w:rPr>
              <w:footnoteReference w:id="11"/>
            </w:r>
            <w:r w:rsidRPr="007037E4">
              <w:rPr>
                <w:rFonts w:cs="Arial"/>
                <w:sz w:val="20"/>
              </w:rPr>
              <w:t>.</w:t>
            </w:r>
          </w:p>
          <w:p w14:paraId="39B05A2C" w14:textId="77777777" w:rsidR="005A1580" w:rsidRPr="007037E4" w:rsidRDefault="005A1580" w:rsidP="005A1580">
            <w:pPr>
              <w:numPr>
                <w:ilvl w:val="0"/>
                <w:numId w:val="2"/>
              </w:numPr>
              <w:ind w:left="170" w:hanging="187"/>
              <w:jc w:val="both"/>
              <w:rPr>
                <w:rFonts w:cs="Arial"/>
                <w:sz w:val="20"/>
              </w:rPr>
            </w:pPr>
            <w:r w:rsidRPr="007037E4">
              <w:rPr>
                <w:rFonts w:cs="Arial"/>
                <w:sz w:val="20"/>
              </w:rPr>
              <w:t>Resoluciones de las salas regionales que determinan la imposibilidad jurídica o material de cumplimiento</w:t>
            </w:r>
            <w:r w:rsidRPr="007037E4">
              <w:rPr>
                <w:rFonts w:cs="Arial"/>
                <w:sz w:val="20"/>
                <w:vertAlign w:val="superscript"/>
              </w:rPr>
              <w:footnoteReference w:id="12"/>
            </w:r>
            <w:r w:rsidRPr="007037E4">
              <w:rPr>
                <w:rFonts w:cs="Arial"/>
                <w:sz w:val="20"/>
              </w:rPr>
              <w:t>.</w:t>
            </w:r>
          </w:p>
        </w:tc>
      </w:tr>
    </w:tbl>
    <w:p w14:paraId="6498741A" w14:textId="02FF3A9E" w:rsidR="00AA47B0" w:rsidRPr="00EA70D6" w:rsidRDefault="0029582D" w:rsidP="00EA70D6">
      <w:pPr>
        <w:pStyle w:val="Prrafodelista"/>
        <w:tabs>
          <w:tab w:val="left" w:pos="6207"/>
        </w:tabs>
        <w:spacing w:before="240" w:after="240" w:line="360" w:lineRule="auto"/>
        <w:ind w:left="360" w:hanging="360"/>
        <w:contextualSpacing w:val="0"/>
        <w:outlineLvl w:val="1"/>
        <w:rPr>
          <w:rFonts w:cs="Arial"/>
          <w:b/>
          <w:szCs w:val="24"/>
        </w:rPr>
      </w:pPr>
      <w:bookmarkStart w:id="12" w:name="_Toc235708180"/>
      <w:r w:rsidRPr="00EA70D6">
        <w:rPr>
          <w:rFonts w:cs="Arial"/>
          <w:b/>
          <w:szCs w:val="24"/>
        </w:rPr>
        <w:lastRenderedPageBreak/>
        <w:t>4</w:t>
      </w:r>
      <w:r w:rsidR="000D0D0F" w:rsidRPr="00EA70D6">
        <w:rPr>
          <w:rFonts w:cs="Arial"/>
          <w:b/>
          <w:szCs w:val="24"/>
        </w:rPr>
        <w:t>.</w:t>
      </w:r>
      <w:r w:rsidR="00773DEA" w:rsidRPr="00EA70D6">
        <w:rPr>
          <w:rFonts w:cs="Arial"/>
          <w:b/>
          <w:szCs w:val="24"/>
        </w:rPr>
        <w:t>2</w:t>
      </w:r>
      <w:r w:rsidR="000D0D0F" w:rsidRPr="00EA70D6">
        <w:rPr>
          <w:rFonts w:cs="Arial"/>
          <w:b/>
          <w:szCs w:val="24"/>
        </w:rPr>
        <w:t>. Sentencia impugnada</w:t>
      </w:r>
      <w:bookmarkEnd w:id="12"/>
    </w:p>
    <w:p w14:paraId="3B6D310C" w14:textId="5B45EBDE" w:rsidR="007037E4" w:rsidRPr="007037E4" w:rsidRDefault="00E628AE" w:rsidP="007037E4">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Pr>
          <w:rFonts w:cs="Arial"/>
          <w:szCs w:val="22"/>
          <w:lang w:eastAsia="es-ES"/>
        </w:rPr>
        <w:t>La</w:t>
      </w:r>
      <w:r w:rsidR="00C7030B" w:rsidRPr="007037E4">
        <w:rPr>
          <w:rFonts w:cs="Arial"/>
        </w:rPr>
        <w:t xml:space="preserve"> controversia se originó con la presentación de una denuncia </w:t>
      </w:r>
      <w:r>
        <w:rPr>
          <w:rFonts w:cs="Arial"/>
        </w:rPr>
        <w:t xml:space="preserve">que presentó el recurrente </w:t>
      </w:r>
      <w:r w:rsidR="00C7030B" w:rsidRPr="007037E4">
        <w:rPr>
          <w:rFonts w:cs="Arial"/>
        </w:rPr>
        <w:t>contra la Presidenta Municipal de Tenancingo, Estado de México, por la difusión de propaganda relacionada con su primer informe de labores la cual permaneció expuesta fuera del plazo previsto en el artículo 242, párrafo 5, de la L</w:t>
      </w:r>
      <w:r w:rsidR="007037E4" w:rsidRPr="007037E4">
        <w:rPr>
          <w:rFonts w:cs="Arial"/>
        </w:rPr>
        <w:t>ey General</w:t>
      </w:r>
      <w:r w:rsidR="007037E4">
        <w:rPr>
          <w:rFonts w:cs="Arial"/>
        </w:rPr>
        <w:t>.</w:t>
      </w:r>
    </w:p>
    <w:p w14:paraId="022FB02B" w14:textId="4AC9F130" w:rsidR="00C7030B" w:rsidRPr="007037E4" w:rsidRDefault="007037E4" w:rsidP="007037E4">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Pr>
          <w:rFonts w:cs="Arial"/>
        </w:rPr>
        <w:t>C</w:t>
      </w:r>
      <w:r w:rsidR="00C7030B" w:rsidRPr="007037E4">
        <w:rPr>
          <w:rFonts w:cs="Arial"/>
        </w:rPr>
        <w:t xml:space="preserve">ircunstancia que, </w:t>
      </w:r>
      <w:r w:rsidR="00E628AE">
        <w:rPr>
          <w:rFonts w:cs="Arial"/>
        </w:rPr>
        <w:t xml:space="preserve">en su opinión, </w:t>
      </w:r>
      <w:r w:rsidR="00C7030B" w:rsidRPr="007037E4">
        <w:rPr>
          <w:rFonts w:cs="Arial"/>
        </w:rPr>
        <w:t>actualizaba</w:t>
      </w:r>
      <w:r w:rsidRPr="007037E4">
        <w:rPr>
          <w:rFonts w:cs="Arial"/>
        </w:rPr>
        <w:t xml:space="preserve"> actos anticipados de campaña, u</w:t>
      </w:r>
      <w:r w:rsidR="00C7030B" w:rsidRPr="007037E4">
        <w:rPr>
          <w:rFonts w:cs="Arial"/>
          <w:szCs w:val="24"/>
        </w:rPr>
        <w:t>so indebido de recursos públicos;</w:t>
      </w:r>
      <w:r w:rsidRPr="007037E4">
        <w:rPr>
          <w:rFonts w:cs="Arial"/>
          <w:szCs w:val="24"/>
        </w:rPr>
        <w:t xml:space="preserve"> promoción personalizada; v</w:t>
      </w:r>
      <w:r w:rsidR="00C7030B" w:rsidRPr="007037E4">
        <w:rPr>
          <w:rFonts w:cs="Arial"/>
        </w:rPr>
        <w:t>ulneración a los principios de imparcialidad, neutralidad y equidad previstos en el artículo 134 Constitucional</w:t>
      </w:r>
      <w:r w:rsidRPr="007037E4">
        <w:rPr>
          <w:rFonts w:cs="Arial"/>
        </w:rPr>
        <w:t>, y la responsabilidad indirecta de MORENA, por su falta al deber de cuidado.</w:t>
      </w:r>
    </w:p>
    <w:p w14:paraId="6B27E6F9" w14:textId="4C7E245E" w:rsidR="00E628AE" w:rsidRDefault="004F7E9E" w:rsidP="00E628AE">
      <w:pPr>
        <w:pStyle w:val="Prrafodelista"/>
        <w:widowControl w:val="0"/>
        <w:numPr>
          <w:ilvl w:val="0"/>
          <w:numId w:val="1"/>
        </w:numPr>
        <w:tabs>
          <w:tab w:val="left" w:pos="851"/>
        </w:tabs>
        <w:spacing w:before="240" w:after="240" w:line="360" w:lineRule="auto"/>
        <w:ind w:left="0" w:hanging="426"/>
        <w:contextualSpacing w:val="0"/>
        <w:jc w:val="both"/>
        <w:rPr>
          <w:rFonts w:eastAsia="Times New Roman" w:cs="Arial"/>
          <w:bCs/>
          <w:szCs w:val="24"/>
          <w:lang w:eastAsia="es-ES"/>
        </w:rPr>
      </w:pPr>
      <w:r>
        <w:rPr>
          <w:rFonts w:cs="Arial"/>
          <w:szCs w:val="22"/>
          <w:lang w:eastAsia="es-ES"/>
        </w:rPr>
        <w:lastRenderedPageBreak/>
        <w:t>E</w:t>
      </w:r>
      <w:r w:rsidR="00E628AE" w:rsidRPr="008F5D85">
        <w:rPr>
          <w:rFonts w:cs="Arial"/>
          <w:szCs w:val="22"/>
          <w:lang w:eastAsia="es-ES"/>
        </w:rPr>
        <w:t xml:space="preserve">l Tribunal </w:t>
      </w:r>
      <w:r>
        <w:rPr>
          <w:rFonts w:cs="Arial"/>
          <w:szCs w:val="22"/>
          <w:lang w:eastAsia="es-ES"/>
        </w:rPr>
        <w:t>l</w:t>
      </w:r>
      <w:r w:rsidR="00E628AE" w:rsidRPr="008F5D85">
        <w:rPr>
          <w:rFonts w:cs="Arial"/>
          <w:szCs w:val="22"/>
          <w:lang w:eastAsia="es-ES"/>
        </w:rPr>
        <w:t>ocal</w:t>
      </w:r>
      <w:r>
        <w:rPr>
          <w:rFonts w:cs="Arial"/>
          <w:szCs w:val="22"/>
          <w:lang w:eastAsia="es-ES"/>
        </w:rPr>
        <w:t xml:space="preserve"> </w:t>
      </w:r>
      <w:r w:rsidR="00E628AE" w:rsidRPr="003158B1">
        <w:rPr>
          <w:rFonts w:cs="Arial"/>
        </w:rPr>
        <w:t xml:space="preserve">declaró </w:t>
      </w:r>
      <w:r w:rsidR="00E628AE">
        <w:rPr>
          <w:rFonts w:cs="Arial"/>
        </w:rPr>
        <w:t xml:space="preserve">la </w:t>
      </w:r>
      <w:r w:rsidR="00E628AE" w:rsidRPr="003158B1">
        <w:rPr>
          <w:rFonts w:cs="Arial"/>
        </w:rPr>
        <w:t>existen</w:t>
      </w:r>
      <w:r w:rsidR="00E628AE">
        <w:rPr>
          <w:rFonts w:cs="Arial"/>
        </w:rPr>
        <w:t>cia de</w:t>
      </w:r>
      <w:r w:rsidR="00E628AE" w:rsidRPr="003158B1">
        <w:rPr>
          <w:rFonts w:cs="Arial"/>
        </w:rPr>
        <w:t xml:space="preserve"> la difusión</w:t>
      </w:r>
      <w:r w:rsidR="00E628AE">
        <w:rPr>
          <w:rFonts w:cs="Arial"/>
        </w:rPr>
        <w:t xml:space="preserve"> </w:t>
      </w:r>
      <w:r w:rsidR="00E628AE" w:rsidRPr="003158B1">
        <w:rPr>
          <w:rFonts w:cs="Arial"/>
        </w:rPr>
        <w:t xml:space="preserve">extemporánea del primer informe de Gobierno de la Presidenta Municipal </w:t>
      </w:r>
      <w:r w:rsidR="00E628AE">
        <w:rPr>
          <w:rFonts w:cs="Arial"/>
        </w:rPr>
        <w:t xml:space="preserve">de </w:t>
      </w:r>
      <w:r w:rsidR="00E628AE" w:rsidRPr="003158B1">
        <w:rPr>
          <w:rFonts w:cs="Arial"/>
        </w:rPr>
        <w:t xml:space="preserve">Tenancingo, Estado de México </w:t>
      </w:r>
      <w:r w:rsidR="00E628AE">
        <w:rPr>
          <w:rFonts w:cs="Arial"/>
        </w:rPr>
        <w:t>y, por otra parte</w:t>
      </w:r>
      <w:r w:rsidR="00E628AE" w:rsidRPr="003158B1">
        <w:rPr>
          <w:rFonts w:cs="Arial"/>
        </w:rPr>
        <w:t>,</w:t>
      </w:r>
      <w:r w:rsidR="00E628AE">
        <w:rPr>
          <w:rFonts w:cs="Arial"/>
        </w:rPr>
        <w:t xml:space="preserve"> declaró la</w:t>
      </w:r>
      <w:r w:rsidR="00E628AE" w:rsidRPr="003158B1">
        <w:rPr>
          <w:rFonts w:cs="Arial"/>
        </w:rPr>
        <w:t xml:space="preserve"> inexisten</w:t>
      </w:r>
      <w:r w:rsidR="00E628AE">
        <w:rPr>
          <w:rFonts w:cs="Arial"/>
        </w:rPr>
        <w:t>cia de</w:t>
      </w:r>
      <w:r w:rsidR="00E628AE" w:rsidRPr="003158B1">
        <w:rPr>
          <w:rFonts w:cs="Arial"/>
        </w:rPr>
        <w:t xml:space="preserve"> los actos</w:t>
      </w:r>
      <w:r w:rsidR="00E628AE">
        <w:rPr>
          <w:rFonts w:cs="Arial"/>
        </w:rPr>
        <w:t xml:space="preserve"> </w:t>
      </w:r>
      <w:r w:rsidR="00E628AE" w:rsidRPr="003158B1">
        <w:rPr>
          <w:rFonts w:cs="Arial"/>
        </w:rPr>
        <w:t xml:space="preserve">anticipados de campaña, </w:t>
      </w:r>
      <w:r w:rsidR="00E628AE">
        <w:rPr>
          <w:rFonts w:cs="Arial"/>
        </w:rPr>
        <w:t xml:space="preserve">la </w:t>
      </w:r>
      <w:r w:rsidR="00E628AE" w:rsidRPr="003158B1">
        <w:rPr>
          <w:rFonts w:cs="Arial"/>
        </w:rPr>
        <w:t>promoción personalizada, el uso indebido de recursos</w:t>
      </w:r>
      <w:r w:rsidR="00E628AE">
        <w:rPr>
          <w:rFonts w:cs="Arial"/>
        </w:rPr>
        <w:t xml:space="preserve"> </w:t>
      </w:r>
      <w:r w:rsidR="00E628AE" w:rsidRPr="003158B1">
        <w:rPr>
          <w:rFonts w:cs="Arial"/>
        </w:rPr>
        <w:t>públicos y la vulneración a los principios de imparcialidad, equidad y neutralidad</w:t>
      </w:r>
      <w:r w:rsidR="00E628AE">
        <w:rPr>
          <w:rFonts w:cs="Arial"/>
        </w:rPr>
        <w:t xml:space="preserve">, </w:t>
      </w:r>
      <w:r w:rsidR="00E628AE">
        <w:rPr>
          <w:rFonts w:eastAsia="Times New Roman" w:cs="Arial"/>
          <w:bCs/>
          <w:szCs w:val="24"/>
          <w:lang w:eastAsia="es-ES"/>
        </w:rPr>
        <w:t>y de la responsabilidad atribuible a MORENA por la supuesta falta al deber de cuidado.</w:t>
      </w:r>
    </w:p>
    <w:p w14:paraId="037A020E" w14:textId="7F516F36" w:rsidR="00C7030B" w:rsidRPr="00E628AE" w:rsidRDefault="00E628AE"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628AE">
        <w:rPr>
          <w:rFonts w:cs="Arial"/>
        </w:rPr>
        <w:t>Para controvertir esa determinación,</w:t>
      </w:r>
      <w:r w:rsidR="00C7030B" w:rsidRPr="00E628AE">
        <w:rPr>
          <w:rFonts w:cs="Arial"/>
        </w:rPr>
        <w:t xml:space="preserve"> </w:t>
      </w:r>
      <w:r w:rsidRPr="00E628AE">
        <w:rPr>
          <w:rFonts w:cs="Arial"/>
        </w:rPr>
        <w:t>la</w:t>
      </w:r>
      <w:r w:rsidR="00C7030B" w:rsidRPr="00E628AE">
        <w:rPr>
          <w:rFonts w:cs="Arial"/>
        </w:rPr>
        <w:t xml:space="preserve"> parte denunciante promovió </w:t>
      </w:r>
      <w:r w:rsidRPr="00E628AE">
        <w:rPr>
          <w:rFonts w:cs="Arial"/>
        </w:rPr>
        <w:t xml:space="preserve">juicio general </w:t>
      </w:r>
      <w:r w:rsidRPr="00E628AE">
        <w:rPr>
          <w:rFonts w:cs="Arial"/>
          <w:szCs w:val="24"/>
        </w:rPr>
        <w:t>[</w:t>
      </w:r>
      <w:r w:rsidR="005349E8" w:rsidRPr="00B117B9">
        <w:rPr>
          <w:b/>
          <w:color w:val="FFFFFF" w:themeColor="background1"/>
          <w:szCs w:val="26"/>
          <w:shd w:val="clear" w:color="auto" w:fill="000000" w:themeFill="text1"/>
        </w:rPr>
        <w:t>DATO PROTEGIDO</w:t>
      </w:r>
      <w:r w:rsidRPr="00E628AE">
        <w:rPr>
          <w:rFonts w:cs="Arial"/>
          <w:szCs w:val="24"/>
        </w:rPr>
        <w:t>]</w:t>
      </w:r>
      <w:r w:rsidRPr="00E628AE">
        <w:rPr>
          <w:rFonts w:cs="Arial"/>
        </w:rPr>
        <w:t xml:space="preserve"> </w:t>
      </w:r>
      <w:r w:rsidR="00C7030B" w:rsidRPr="00E628AE">
        <w:rPr>
          <w:rFonts w:cs="Arial"/>
        </w:rPr>
        <w:t>ante la Sala Regional</w:t>
      </w:r>
      <w:r w:rsidRPr="00E628AE">
        <w:rPr>
          <w:rFonts w:cs="Arial"/>
        </w:rPr>
        <w:t xml:space="preserve">, quien confirmó la existencia de la difusión extemporánea del informe de labores; no obstante, revocó la inexistencia de las otras infracciones, por lo que </w:t>
      </w:r>
      <w:r w:rsidR="00C7030B" w:rsidRPr="00E628AE">
        <w:rPr>
          <w:rFonts w:cs="Arial"/>
        </w:rPr>
        <w:t xml:space="preserve">ordenó </w:t>
      </w:r>
      <w:r>
        <w:rPr>
          <w:rFonts w:cs="Arial"/>
        </w:rPr>
        <w:t>a</w:t>
      </w:r>
      <w:r w:rsidR="00C7030B" w:rsidRPr="00E628AE">
        <w:rPr>
          <w:rFonts w:cs="Arial"/>
        </w:rPr>
        <w:t>l Tribunal responsable emiti</w:t>
      </w:r>
      <w:r>
        <w:rPr>
          <w:rFonts w:cs="Arial"/>
        </w:rPr>
        <w:t>r</w:t>
      </w:r>
      <w:r w:rsidR="00C7030B" w:rsidRPr="00E628AE">
        <w:rPr>
          <w:rFonts w:cs="Arial"/>
        </w:rPr>
        <w:t xml:space="preserve"> un</w:t>
      </w:r>
      <w:r>
        <w:rPr>
          <w:rFonts w:cs="Arial"/>
        </w:rPr>
        <w:t>a</w:t>
      </w:r>
      <w:r w:rsidR="00C7030B" w:rsidRPr="00E628AE">
        <w:rPr>
          <w:rFonts w:cs="Arial"/>
        </w:rPr>
        <w:t xml:space="preserve"> nuev</w:t>
      </w:r>
      <w:r>
        <w:rPr>
          <w:rFonts w:cs="Arial"/>
        </w:rPr>
        <w:t>a resolución</w:t>
      </w:r>
      <w:r w:rsidR="00C7030B" w:rsidRPr="00E628AE">
        <w:rPr>
          <w:rFonts w:cs="Arial"/>
        </w:rPr>
        <w:t xml:space="preserve"> </w:t>
      </w:r>
      <w:r w:rsidR="00C26339">
        <w:rPr>
          <w:rFonts w:cs="Arial"/>
        </w:rPr>
        <w:t xml:space="preserve">en la que </w:t>
      </w:r>
      <w:r w:rsidR="00C7030B" w:rsidRPr="00E628AE">
        <w:rPr>
          <w:rFonts w:cs="Arial"/>
        </w:rPr>
        <w:t>realizar</w:t>
      </w:r>
      <w:r w:rsidR="00C26339">
        <w:rPr>
          <w:rFonts w:cs="Arial"/>
        </w:rPr>
        <w:t>a</w:t>
      </w:r>
      <w:r w:rsidR="00C7030B" w:rsidRPr="00E628AE">
        <w:rPr>
          <w:rFonts w:cs="Arial"/>
        </w:rPr>
        <w:t xml:space="preserve"> un estudio contextual e integral de las circunstancias acreditadas.</w:t>
      </w:r>
    </w:p>
    <w:p w14:paraId="7AAD8B5B" w14:textId="3B57CBD7" w:rsidR="00C7030B" w:rsidRPr="00853D6E" w:rsidRDefault="00616A04"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E</w:t>
      </w:r>
      <w:r w:rsidR="00C7030B" w:rsidRPr="00BC2704">
        <w:rPr>
          <w:rFonts w:cs="Arial"/>
          <w:szCs w:val="22"/>
          <w:lang w:eastAsia="es-ES"/>
        </w:rPr>
        <w:t xml:space="preserve">n cumplimiento a la ejecutoria, el Tribunal local </w:t>
      </w:r>
      <w:r>
        <w:rPr>
          <w:rFonts w:cs="Arial"/>
          <w:szCs w:val="22"/>
          <w:lang w:eastAsia="es-ES"/>
        </w:rPr>
        <w:t>emitió una nueva determinación en la que razon</w:t>
      </w:r>
      <w:r w:rsidR="00C7030B" w:rsidRPr="00BC2704">
        <w:rPr>
          <w:rFonts w:cs="Arial"/>
          <w:szCs w:val="22"/>
          <w:lang w:eastAsia="es-ES"/>
        </w:rPr>
        <w:t>ó</w:t>
      </w:r>
      <w:r w:rsidR="00C7030B" w:rsidRPr="00BC2704">
        <w:rPr>
          <w:rFonts w:cs="Arial"/>
        </w:rPr>
        <w:t xml:space="preserve"> que, aun mediante una valoración integral del contexto y del material probatorio, no se actualizaban tales infracciones.</w:t>
      </w:r>
    </w:p>
    <w:p w14:paraId="0B75FD18" w14:textId="376C0C87" w:rsidR="00C7030B" w:rsidRPr="00616A04" w:rsidRDefault="00616A04" w:rsidP="00616A04">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Para controvertir esa resolución el recurrente promovió un nuevo juicio general [</w:t>
      </w:r>
      <w:r w:rsidR="005349E8" w:rsidRPr="00B117B9">
        <w:rPr>
          <w:b/>
          <w:color w:val="FFFFFF" w:themeColor="background1"/>
          <w:szCs w:val="26"/>
          <w:shd w:val="clear" w:color="auto" w:fill="000000" w:themeFill="text1"/>
        </w:rPr>
        <w:t>DATO PROTEGIDO</w:t>
      </w:r>
      <w:r>
        <w:rPr>
          <w:rFonts w:cs="Arial"/>
          <w:szCs w:val="22"/>
          <w:lang w:eastAsia="es-ES"/>
        </w:rPr>
        <w:t xml:space="preserve">]. En la sentencia controvertida, la Sala regional </w:t>
      </w:r>
      <w:r w:rsidR="00C7030B" w:rsidRPr="00853D6E">
        <w:rPr>
          <w:rFonts w:cs="Arial"/>
          <w:szCs w:val="22"/>
          <w:lang w:eastAsia="es-ES"/>
        </w:rPr>
        <w:t xml:space="preserve">señaló que la pretensión del actor consistía en que se analizara </w:t>
      </w:r>
      <w:r w:rsidR="00C7030B" w:rsidRPr="00853D6E">
        <w:rPr>
          <w:rFonts w:cs="Arial"/>
        </w:rPr>
        <w:t xml:space="preserve">el uso indebido de recursos públicos y la posible vulneración de los principios de imparcialidad, neutralidad y equidad en la contienda a partir de un nuevo análisis de cuestiones que ya </w:t>
      </w:r>
      <w:r w:rsidR="000301CD">
        <w:rPr>
          <w:rFonts w:cs="Arial"/>
        </w:rPr>
        <w:t>habían quedado</w:t>
      </w:r>
      <w:r w:rsidR="00C7030B" w:rsidRPr="00853D6E">
        <w:rPr>
          <w:rFonts w:cs="Arial"/>
        </w:rPr>
        <w:t xml:space="preserve"> </w:t>
      </w:r>
      <w:r w:rsidR="00C7030B">
        <w:rPr>
          <w:rFonts w:cs="Arial"/>
        </w:rPr>
        <w:t>firmes</w:t>
      </w:r>
      <w:r w:rsidR="00C7030B" w:rsidRPr="00853D6E">
        <w:rPr>
          <w:rFonts w:cs="Arial"/>
        </w:rPr>
        <w:t xml:space="preserve"> por </w:t>
      </w:r>
      <w:r>
        <w:rPr>
          <w:rFonts w:cs="Arial"/>
        </w:rPr>
        <w:t>esa Sala Regional</w:t>
      </w:r>
      <w:r w:rsidR="00C7030B" w:rsidRPr="00853D6E">
        <w:rPr>
          <w:rFonts w:cs="Arial"/>
        </w:rPr>
        <w:t xml:space="preserve"> al resolver </w:t>
      </w:r>
      <w:r>
        <w:rPr>
          <w:rFonts w:cs="Arial"/>
        </w:rPr>
        <w:t>el juicio</w:t>
      </w:r>
      <w:r w:rsidR="00C7030B" w:rsidRPr="00853D6E">
        <w:rPr>
          <w:rFonts w:cs="Arial"/>
        </w:rPr>
        <w:t xml:space="preserve"> </w:t>
      </w:r>
      <w:r w:rsidR="005349E8" w:rsidRPr="00B117B9">
        <w:rPr>
          <w:b/>
          <w:color w:val="FFFFFF" w:themeColor="background1"/>
          <w:szCs w:val="26"/>
          <w:shd w:val="clear" w:color="auto" w:fill="000000" w:themeFill="text1"/>
        </w:rPr>
        <w:t>DATO PROTEGIDO</w:t>
      </w:r>
      <w:r w:rsidR="005349E8" w:rsidRPr="00065605">
        <w:rPr>
          <w:rFonts w:eastAsia="Times New Roman" w:cs="Arial"/>
          <w:bCs/>
          <w:szCs w:val="24"/>
          <w:lang w:eastAsia="es-ES"/>
        </w:rPr>
        <w:t xml:space="preserve"> </w:t>
      </w:r>
      <w:r w:rsidR="00C7030B" w:rsidRPr="00853D6E">
        <w:rPr>
          <w:rFonts w:cs="Arial"/>
        </w:rPr>
        <w:t xml:space="preserve">y </w:t>
      </w:r>
      <w:r w:rsidR="00C7030B">
        <w:rPr>
          <w:rFonts w:cs="Arial"/>
        </w:rPr>
        <w:t xml:space="preserve">por </w:t>
      </w:r>
      <w:r w:rsidR="00C7030B" w:rsidRPr="00853D6E">
        <w:rPr>
          <w:rFonts w:cs="Arial"/>
        </w:rPr>
        <w:t>el Tribunal responsable al emitir la sentencia en cumplimiento a lo mandatado.</w:t>
      </w:r>
      <w:r w:rsidR="00C7030B" w:rsidRPr="00616A04">
        <w:rPr>
          <w:rFonts w:cs="Arial"/>
          <w:szCs w:val="22"/>
          <w:lang w:eastAsia="es-ES"/>
        </w:rPr>
        <w:t xml:space="preserve"> </w:t>
      </w:r>
    </w:p>
    <w:p w14:paraId="487B2935" w14:textId="19109FFA" w:rsidR="00C7030B" w:rsidRPr="005745E6" w:rsidRDefault="00C7030B"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A86AD8">
        <w:rPr>
          <w:rFonts w:cs="Arial"/>
          <w:szCs w:val="22"/>
          <w:lang w:eastAsia="es-ES"/>
        </w:rPr>
        <w:t xml:space="preserve">La Sala regional </w:t>
      </w:r>
      <w:r w:rsidR="00616A04">
        <w:rPr>
          <w:rFonts w:cs="Arial"/>
          <w:szCs w:val="22"/>
          <w:lang w:eastAsia="es-ES"/>
        </w:rPr>
        <w:t>declar</w:t>
      </w:r>
      <w:r w:rsidRPr="00A86AD8">
        <w:rPr>
          <w:rFonts w:cs="Arial"/>
          <w:szCs w:val="22"/>
          <w:lang w:eastAsia="es-ES"/>
        </w:rPr>
        <w:t xml:space="preserve">ó </w:t>
      </w:r>
      <w:r w:rsidRPr="001E43C7">
        <w:rPr>
          <w:rFonts w:cs="Arial"/>
          <w:b/>
          <w:bCs/>
          <w:szCs w:val="22"/>
          <w:lang w:eastAsia="es-ES"/>
        </w:rPr>
        <w:t>infundado</w:t>
      </w:r>
      <w:r w:rsidRPr="00A86AD8">
        <w:rPr>
          <w:rFonts w:cs="Arial"/>
          <w:szCs w:val="22"/>
          <w:lang w:eastAsia="es-ES"/>
        </w:rPr>
        <w:t xml:space="preserve"> el</w:t>
      </w:r>
      <w:r w:rsidR="00616A04">
        <w:rPr>
          <w:rFonts w:cs="Arial"/>
          <w:szCs w:val="22"/>
          <w:lang w:eastAsia="es-ES"/>
        </w:rPr>
        <w:t xml:space="preserve"> agravio </w:t>
      </w:r>
      <w:r w:rsidR="004E0E77">
        <w:rPr>
          <w:rFonts w:cs="Arial"/>
          <w:szCs w:val="22"/>
          <w:lang w:eastAsia="es-ES"/>
        </w:rPr>
        <w:t>relativo a</w:t>
      </w:r>
      <w:r w:rsidR="00616A04">
        <w:rPr>
          <w:rFonts w:cs="Arial"/>
          <w:szCs w:val="22"/>
          <w:lang w:eastAsia="es-ES"/>
        </w:rPr>
        <w:t xml:space="preserve"> que el Tribunal local</w:t>
      </w:r>
      <w:r w:rsidR="00616A04" w:rsidRPr="00152DBE">
        <w:rPr>
          <w:rFonts w:cs="Arial"/>
          <w:szCs w:val="22"/>
          <w:lang w:eastAsia="es-ES"/>
        </w:rPr>
        <w:t xml:space="preserve"> fragmentó nuevamente el estudio</w:t>
      </w:r>
      <w:r w:rsidR="004E0E77">
        <w:rPr>
          <w:rFonts w:cs="Arial"/>
          <w:szCs w:val="22"/>
          <w:lang w:eastAsia="es-ES"/>
        </w:rPr>
        <w:t>,</w:t>
      </w:r>
      <w:r w:rsidR="00616A04" w:rsidRPr="00152DBE">
        <w:rPr>
          <w:rFonts w:cs="Arial"/>
          <w:szCs w:val="22"/>
          <w:lang w:eastAsia="es-ES"/>
        </w:rPr>
        <w:t xml:space="preserve"> porque no real</w:t>
      </w:r>
      <w:r w:rsidR="00616A04">
        <w:rPr>
          <w:rFonts w:cs="Arial"/>
          <w:szCs w:val="22"/>
          <w:lang w:eastAsia="es-ES"/>
        </w:rPr>
        <w:t>i</w:t>
      </w:r>
      <w:r w:rsidR="00616A04" w:rsidRPr="00152DBE">
        <w:rPr>
          <w:rFonts w:cs="Arial"/>
          <w:szCs w:val="22"/>
          <w:lang w:eastAsia="es-ES"/>
        </w:rPr>
        <w:t xml:space="preserve">zó </w:t>
      </w:r>
      <w:r w:rsidR="00616A04" w:rsidRPr="00152DBE">
        <w:rPr>
          <w:rFonts w:cs="Arial"/>
        </w:rPr>
        <w:t>un análisis conjunto, contextual e integral de todos los hechos acreditados</w:t>
      </w:r>
      <w:r w:rsidR="004E0E77">
        <w:rPr>
          <w:rFonts w:cs="Arial"/>
          <w:szCs w:val="22"/>
          <w:lang w:eastAsia="es-ES"/>
        </w:rPr>
        <w:t xml:space="preserve">. Al respecto, la Sala responsable señaló </w:t>
      </w:r>
      <w:r w:rsidRPr="00A86AD8">
        <w:rPr>
          <w:rFonts w:cs="Arial"/>
          <w:szCs w:val="22"/>
          <w:lang w:eastAsia="es-ES"/>
        </w:rPr>
        <w:t xml:space="preserve">que el Tribunal local sí atendió los efectos de la </w:t>
      </w:r>
      <w:r w:rsidR="004E0E77">
        <w:rPr>
          <w:rFonts w:cs="Arial"/>
          <w:szCs w:val="22"/>
          <w:lang w:eastAsia="es-ES"/>
        </w:rPr>
        <w:t>resolución</w:t>
      </w:r>
      <w:r w:rsidRPr="00A86AD8">
        <w:rPr>
          <w:rFonts w:cs="Arial"/>
          <w:szCs w:val="22"/>
          <w:lang w:eastAsia="es-ES"/>
        </w:rPr>
        <w:t xml:space="preserve"> dictada en el juicio general </w:t>
      </w:r>
      <w:r w:rsidR="005349E8" w:rsidRPr="00B117B9">
        <w:rPr>
          <w:b/>
          <w:color w:val="FFFFFF" w:themeColor="background1"/>
          <w:szCs w:val="26"/>
          <w:shd w:val="clear" w:color="auto" w:fill="000000" w:themeFill="text1"/>
        </w:rPr>
        <w:t>DATO PROTEGIDO</w:t>
      </w:r>
      <w:r w:rsidR="004E0E77">
        <w:rPr>
          <w:rFonts w:cs="Arial"/>
          <w:szCs w:val="22"/>
          <w:lang w:eastAsia="es-ES"/>
        </w:rPr>
        <w:t xml:space="preserve">, ya que </w:t>
      </w:r>
      <w:r w:rsidRPr="00A86AD8">
        <w:rPr>
          <w:rFonts w:cs="Arial"/>
        </w:rPr>
        <w:t xml:space="preserve">valoró el conjunto de circunstancias que rodearon la difusión extemporánea del informe para determinar si, desde una perspectiva contextual, era posible </w:t>
      </w:r>
      <w:r w:rsidR="000925BC">
        <w:rPr>
          <w:rFonts w:cs="Arial"/>
        </w:rPr>
        <w:t xml:space="preserve">que se </w:t>
      </w:r>
      <w:r w:rsidRPr="00A86AD8">
        <w:rPr>
          <w:rFonts w:cs="Arial"/>
        </w:rPr>
        <w:t>actualizar</w:t>
      </w:r>
      <w:r w:rsidR="000925BC">
        <w:rPr>
          <w:rFonts w:cs="Arial"/>
        </w:rPr>
        <w:t>a</w:t>
      </w:r>
      <w:r w:rsidRPr="00A86AD8">
        <w:rPr>
          <w:rFonts w:cs="Arial"/>
        </w:rPr>
        <w:t xml:space="preserve"> el uso indebido de recursos públicos o la vulneración a los principios previstos en el artículo 134 Constitucional.</w:t>
      </w:r>
    </w:p>
    <w:p w14:paraId="37E8A587" w14:textId="6458EFCC" w:rsidR="00C7030B" w:rsidRPr="00A73235" w:rsidRDefault="004E0E77"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lastRenderedPageBreak/>
        <w:t>Señaló que el Tribunal local</w:t>
      </w:r>
      <w:r w:rsidR="00C7030B" w:rsidRPr="005745E6">
        <w:rPr>
          <w:rFonts w:cs="Arial"/>
        </w:rPr>
        <w:t xml:space="preserve"> retomó los hechos previamente acreditados como punto de partida</w:t>
      </w:r>
      <w:r w:rsidR="00C7030B">
        <w:rPr>
          <w:rFonts w:cs="Arial"/>
        </w:rPr>
        <w:t xml:space="preserve">, como </w:t>
      </w:r>
      <w:r>
        <w:rPr>
          <w:rFonts w:cs="Arial"/>
        </w:rPr>
        <w:t xml:space="preserve">se le </w:t>
      </w:r>
      <w:r w:rsidR="00C7030B" w:rsidRPr="005745E6">
        <w:rPr>
          <w:rFonts w:cs="Arial"/>
        </w:rPr>
        <w:t>exig</w:t>
      </w:r>
      <w:r>
        <w:rPr>
          <w:rFonts w:cs="Arial"/>
        </w:rPr>
        <w:t xml:space="preserve">ió </w:t>
      </w:r>
      <w:r w:rsidR="00C7030B">
        <w:rPr>
          <w:rFonts w:cs="Arial"/>
        </w:rPr>
        <w:t xml:space="preserve">en la </w:t>
      </w:r>
      <w:r w:rsidR="00C7030B" w:rsidRPr="005745E6">
        <w:rPr>
          <w:rFonts w:cs="Arial"/>
        </w:rPr>
        <w:t>ejecutoria federal</w:t>
      </w:r>
      <w:r w:rsidR="00C7030B">
        <w:rPr>
          <w:rFonts w:cs="Arial"/>
        </w:rPr>
        <w:t xml:space="preserve">, </w:t>
      </w:r>
      <w:r w:rsidR="00C7030B" w:rsidRPr="005745E6">
        <w:rPr>
          <w:rFonts w:cs="Arial"/>
        </w:rPr>
        <w:t>para determinar si esos mismos hechos, apreciados junto con el resto del acervo probatorio y el contexto completo del caso, permitían acreditar infracciones distintas.</w:t>
      </w:r>
    </w:p>
    <w:p w14:paraId="73230C9F" w14:textId="5893A3F3" w:rsidR="00C7030B" w:rsidRPr="001E43C7" w:rsidRDefault="00C7030B"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En lo concerniente a </w:t>
      </w:r>
      <w:r w:rsidRPr="001E43C7">
        <w:rPr>
          <w:rFonts w:cs="Arial"/>
        </w:rPr>
        <w:t>la vulneración de los principios de imparcialidad, neutralidad y equidad, l</w:t>
      </w:r>
      <w:r w:rsidRPr="001E43C7">
        <w:rPr>
          <w:rFonts w:cs="Arial"/>
          <w:szCs w:val="22"/>
          <w:lang w:eastAsia="es-ES"/>
        </w:rPr>
        <w:t xml:space="preserve">a Sala responsable señaló que </w:t>
      </w:r>
      <w:r w:rsidRPr="001E43C7">
        <w:rPr>
          <w:rFonts w:cs="Arial"/>
        </w:rPr>
        <w:t xml:space="preserve">el Tribunal responsable declaró inexistente la infracción al estimar </w:t>
      </w:r>
      <w:r w:rsidR="001E43C7" w:rsidRPr="001E43C7">
        <w:rPr>
          <w:rFonts w:cs="Arial"/>
        </w:rPr>
        <w:t>que,</w:t>
      </w:r>
      <w:r w:rsidRPr="001E43C7">
        <w:rPr>
          <w:rFonts w:cs="Arial"/>
        </w:rPr>
        <w:t xml:space="preserve"> si bien quedó firme la determinación relativa a que la propaganda relacionada con el Primer Informe de Gobierno </w:t>
      </w:r>
      <w:r w:rsidR="004E0E77">
        <w:rPr>
          <w:rFonts w:cs="Arial"/>
        </w:rPr>
        <w:t xml:space="preserve">fue </w:t>
      </w:r>
      <w:r w:rsidRPr="001E43C7">
        <w:rPr>
          <w:rFonts w:cs="Arial"/>
        </w:rPr>
        <w:t xml:space="preserve">extemporánea, esto no conducía automáticamente a concluir la existencia de una afectación a </w:t>
      </w:r>
      <w:r w:rsidR="001E43C7">
        <w:rPr>
          <w:rFonts w:cs="Arial"/>
        </w:rPr>
        <w:t xml:space="preserve">los </w:t>
      </w:r>
      <w:r w:rsidRPr="001E43C7">
        <w:rPr>
          <w:rFonts w:cs="Arial"/>
        </w:rPr>
        <w:t>citados principios.</w:t>
      </w:r>
    </w:p>
    <w:p w14:paraId="22A83523" w14:textId="35D572FE" w:rsidR="00C7030B" w:rsidRPr="001E43C7" w:rsidRDefault="00C7030B"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1E43C7">
        <w:rPr>
          <w:rFonts w:cs="Arial"/>
        </w:rPr>
        <w:t>Lo anterior, en virtud de que, para concluir que se vulneraron los principios señalados</w:t>
      </w:r>
      <w:r w:rsidR="004E0E77">
        <w:rPr>
          <w:rFonts w:cs="Arial"/>
        </w:rPr>
        <w:t xml:space="preserve"> se debía </w:t>
      </w:r>
      <w:r w:rsidRPr="001E43C7">
        <w:rPr>
          <w:rFonts w:cs="Arial"/>
        </w:rPr>
        <w:t>constatar que la conducta desplegada influyó en las preferencias electorales de la ciudadanía o generó una ventaja indebida en favor de la persona servidor</w:t>
      </w:r>
      <w:r w:rsidR="008E74A3">
        <w:rPr>
          <w:rFonts w:cs="Arial"/>
        </w:rPr>
        <w:t>a</w:t>
      </w:r>
      <w:r w:rsidRPr="001E43C7">
        <w:rPr>
          <w:rFonts w:cs="Arial"/>
        </w:rPr>
        <w:t xml:space="preserve"> pública</w:t>
      </w:r>
      <w:r w:rsidR="004E0E77">
        <w:rPr>
          <w:rFonts w:cs="Arial"/>
        </w:rPr>
        <w:t>,</w:t>
      </w:r>
      <w:r w:rsidRPr="001E43C7">
        <w:rPr>
          <w:rFonts w:cs="Arial"/>
        </w:rPr>
        <w:t xml:space="preserve"> y que la falta de retiro de la propaganda tenía el fin directo e inmediato de generar un posicionamiento.</w:t>
      </w:r>
    </w:p>
    <w:p w14:paraId="2A0B3F7B" w14:textId="30D3057C" w:rsidR="00C7030B" w:rsidRPr="00C93C43" w:rsidRDefault="00C7030B"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1E43C7">
        <w:rPr>
          <w:rFonts w:cs="Arial"/>
          <w:szCs w:val="22"/>
          <w:lang w:eastAsia="es-ES"/>
        </w:rPr>
        <w:t xml:space="preserve">La Sala responsable determinó que </w:t>
      </w:r>
      <w:r w:rsidRPr="001E43C7">
        <w:rPr>
          <w:rFonts w:cs="Arial"/>
        </w:rPr>
        <w:t>los planteamientos de la parte promovente revelaron únicamente su desacuerdo con la valoración realizada por el Tribunal responsable y con la conclusión jurídica alcanzada,</w:t>
      </w:r>
      <w:r>
        <w:rPr>
          <w:rFonts w:cs="Arial"/>
        </w:rPr>
        <w:t xml:space="preserve"> sin que demostrara que el Tribunal responsable </w:t>
      </w:r>
      <w:r w:rsidR="004E0E77">
        <w:rPr>
          <w:rFonts w:cs="Arial"/>
        </w:rPr>
        <w:t>omitiera</w:t>
      </w:r>
      <w:r>
        <w:rPr>
          <w:rFonts w:cs="Arial"/>
        </w:rPr>
        <w:t xml:space="preserve"> analizar algún elemento ordenado en la ejecutoria.</w:t>
      </w:r>
    </w:p>
    <w:p w14:paraId="4E83B62F" w14:textId="0738FD87" w:rsidR="00496277" w:rsidRPr="00496277" w:rsidRDefault="004E0E77"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rPr>
        <w:t xml:space="preserve">La Sala responsable estimó </w:t>
      </w:r>
      <w:r w:rsidR="00C7030B" w:rsidRPr="00794DA3">
        <w:rPr>
          <w:rFonts w:cs="Arial"/>
          <w:b/>
          <w:bCs/>
        </w:rPr>
        <w:t>infundado</w:t>
      </w:r>
      <w:r>
        <w:rPr>
          <w:rFonts w:cs="Arial"/>
          <w:b/>
          <w:bCs/>
        </w:rPr>
        <w:t xml:space="preserve"> </w:t>
      </w:r>
      <w:r>
        <w:rPr>
          <w:rFonts w:cs="Arial"/>
        </w:rPr>
        <w:t>el agravio relativo a</w:t>
      </w:r>
      <w:r w:rsidR="00496277">
        <w:rPr>
          <w:rFonts w:cs="Arial"/>
        </w:rPr>
        <w:t xml:space="preserve"> la falta de congruencia de la resolución del Tribunal local, al considerar que ese órgano jurisdiccional local sí </w:t>
      </w:r>
      <w:r w:rsidR="00C7030B" w:rsidRPr="00A4494D">
        <w:rPr>
          <w:rFonts w:cs="Arial"/>
        </w:rPr>
        <w:t>identificó expresamente cuáles aspectos habían adquirido firmeza con motivo de la ejecutoria</w:t>
      </w:r>
      <w:r w:rsidR="00496277">
        <w:rPr>
          <w:rFonts w:cs="Arial"/>
        </w:rPr>
        <w:t xml:space="preserve"> dictada en el</w:t>
      </w:r>
      <w:r w:rsidR="00C7030B" w:rsidRPr="00A4494D">
        <w:rPr>
          <w:rFonts w:cs="Arial"/>
        </w:rPr>
        <w:t xml:space="preserve"> </w:t>
      </w:r>
      <w:r w:rsidR="005349E8" w:rsidRPr="00B117B9">
        <w:rPr>
          <w:b/>
          <w:color w:val="FFFFFF" w:themeColor="background1"/>
          <w:szCs w:val="26"/>
          <w:shd w:val="clear" w:color="auto" w:fill="000000" w:themeFill="text1"/>
        </w:rPr>
        <w:t>DATO PROTEGIDO</w:t>
      </w:r>
      <w:r w:rsidR="00496277">
        <w:rPr>
          <w:rFonts w:cs="Arial"/>
        </w:rPr>
        <w:t>, de lo cual concluyó</w:t>
      </w:r>
      <w:r w:rsidR="00C7030B" w:rsidRPr="00A4494D">
        <w:rPr>
          <w:rFonts w:cs="Arial"/>
        </w:rPr>
        <w:t xml:space="preserve"> que la materia de cumplimiento se circunscribía exclusivamente al estudio del uso indebido de recursos públicos y de la posible vulneración a los principios de imparcialidad, neutralidad y equidad en la contienda electoral</w:t>
      </w:r>
      <w:r w:rsidR="00496277">
        <w:rPr>
          <w:rFonts w:cs="Arial"/>
        </w:rPr>
        <w:t xml:space="preserve">. </w:t>
      </w:r>
    </w:p>
    <w:p w14:paraId="4ABBC937" w14:textId="5DC45A87" w:rsidR="00C7030B" w:rsidRPr="00496277" w:rsidRDefault="00496277" w:rsidP="00C7030B">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496277">
        <w:rPr>
          <w:rFonts w:cs="Arial"/>
        </w:rPr>
        <w:t xml:space="preserve">De ahí que </w:t>
      </w:r>
      <w:r w:rsidR="00C7030B" w:rsidRPr="00496277">
        <w:rPr>
          <w:rFonts w:cs="Arial"/>
        </w:rPr>
        <w:t xml:space="preserve">el estudio </w:t>
      </w:r>
      <w:r w:rsidR="00AA01FE" w:rsidRPr="00496277">
        <w:rPr>
          <w:rFonts w:cs="Arial"/>
        </w:rPr>
        <w:t>de</w:t>
      </w:r>
      <w:r w:rsidR="00714DBB" w:rsidRPr="00496277">
        <w:rPr>
          <w:rFonts w:cs="Arial"/>
        </w:rPr>
        <w:t xml:space="preserve"> </w:t>
      </w:r>
      <w:r w:rsidR="00C7030B" w:rsidRPr="00496277">
        <w:rPr>
          <w:rFonts w:cs="Arial"/>
        </w:rPr>
        <w:t xml:space="preserve">las infracciones </w:t>
      </w:r>
      <w:r w:rsidRPr="00496277">
        <w:rPr>
          <w:rFonts w:cs="Arial"/>
        </w:rPr>
        <w:t xml:space="preserve">se </w:t>
      </w:r>
      <w:r w:rsidR="00C7030B" w:rsidRPr="00496277">
        <w:rPr>
          <w:rFonts w:cs="Arial"/>
        </w:rPr>
        <w:t>re</w:t>
      </w:r>
      <w:r w:rsidRPr="00496277">
        <w:rPr>
          <w:rFonts w:cs="Arial"/>
        </w:rPr>
        <w:t>aliz</w:t>
      </w:r>
      <w:r w:rsidR="00714DBB" w:rsidRPr="00496277">
        <w:rPr>
          <w:rFonts w:cs="Arial"/>
        </w:rPr>
        <w:t xml:space="preserve">ó conforme </w:t>
      </w:r>
      <w:r w:rsidRPr="00496277">
        <w:rPr>
          <w:rFonts w:cs="Arial"/>
        </w:rPr>
        <w:t xml:space="preserve">a lo estipulado previamente por esa </w:t>
      </w:r>
      <w:r w:rsidR="00C7030B" w:rsidRPr="00496277">
        <w:rPr>
          <w:rFonts w:cs="Arial"/>
        </w:rPr>
        <w:t>Sala Regional</w:t>
      </w:r>
      <w:r w:rsidRPr="00496277">
        <w:rPr>
          <w:rFonts w:cs="Arial"/>
        </w:rPr>
        <w:t xml:space="preserve">, por lo </w:t>
      </w:r>
      <w:r w:rsidR="00C7030B" w:rsidRPr="00496277">
        <w:rPr>
          <w:rFonts w:cs="Arial"/>
        </w:rPr>
        <w:t>que</w:t>
      </w:r>
      <w:r w:rsidRPr="00496277">
        <w:rPr>
          <w:rFonts w:cs="Arial"/>
        </w:rPr>
        <w:t xml:space="preserve"> resultó </w:t>
      </w:r>
      <w:r w:rsidR="00C7030B" w:rsidRPr="00496277">
        <w:rPr>
          <w:rFonts w:cs="Arial"/>
        </w:rPr>
        <w:t xml:space="preserve">incorrecta la </w:t>
      </w:r>
      <w:r w:rsidR="00C7030B" w:rsidRPr="00496277">
        <w:rPr>
          <w:rFonts w:cs="Arial"/>
        </w:rPr>
        <w:lastRenderedPageBreak/>
        <w:t xml:space="preserve">afirmación de la parte actora </w:t>
      </w:r>
      <w:r w:rsidRPr="00496277">
        <w:rPr>
          <w:rFonts w:cs="Arial"/>
        </w:rPr>
        <w:t>relativa a</w:t>
      </w:r>
      <w:r w:rsidR="00C7030B" w:rsidRPr="00496277">
        <w:rPr>
          <w:rFonts w:cs="Arial"/>
        </w:rPr>
        <w:t xml:space="preserve"> que el Tribunal local volvió a pronunciarse sobre las infracciones que habían adquirido firmeza</w:t>
      </w:r>
      <w:r>
        <w:rPr>
          <w:rFonts w:cs="Arial"/>
        </w:rPr>
        <w:t xml:space="preserve">; </w:t>
      </w:r>
      <w:r w:rsidR="00C7030B" w:rsidRPr="00496277">
        <w:rPr>
          <w:rFonts w:cs="Arial"/>
        </w:rPr>
        <w:t>por tanto, no se acreditó que el Tribunal responsable hubiera reabierto el estudio de cuestiones firmes</w:t>
      </w:r>
      <w:r>
        <w:rPr>
          <w:rFonts w:cs="Arial"/>
        </w:rPr>
        <w:t xml:space="preserve"> o que haya</w:t>
      </w:r>
      <w:r w:rsidR="00C7030B" w:rsidRPr="00496277">
        <w:rPr>
          <w:rFonts w:cs="Arial"/>
        </w:rPr>
        <w:t xml:space="preserve"> excedido los efectos de la ejecutoria </w:t>
      </w:r>
      <w:r>
        <w:rPr>
          <w:rFonts w:cs="Arial"/>
        </w:rPr>
        <w:t xml:space="preserve">dictada en el juicio </w:t>
      </w:r>
      <w:r w:rsidR="005349E8" w:rsidRPr="00B117B9">
        <w:rPr>
          <w:b/>
          <w:color w:val="FFFFFF" w:themeColor="background1"/>
          <w:szCs w:val="26"/>
          <w:shd w:val="clear" w:color="auto" w:fill="000000" w:themeFill="text1"/>
        </w:rPr>
        <w:t>DATO PROTEGIDO</w:t>
      </w:r>
      <w:r w:rsidR="00C7030B" w:rsidRPr="00496277">
        <w:rPr>
          <w:rFonts w:cs="Arial"/>
        </w:rPr>
        <w:t>.</w:t>
      </w:r>
    </w:p>
    <w:p w14:paraId="7A92AAAA" w14:textId="07DFCF99" w:rsidR="00A24C0C" w:rsidRPr="00496277" w:rsidRDefault="00496277" w:rsidP="00D40E4E">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496277">
        <w:rPr>
          <w:rFonts w:cs="Arial"/>
          <w:szCs w:val="22"/>
          <w:lang w:eastAsia="es-ES"/>
        </w:rPr>
        <w:t>L</w:t>
      </w:r>
      <w:r w:rsidR="00100E96" w:rsidRPr="00496277">
        <w:rPr>
          <w:rFonts w:cs="Arial"/>
          <w:szCs w:val="22"/>
          <w:lang w:eastAsia="es-ES"/>
        </w:rPr>
        <w:t xml:space="preserve">a Sala Regional </w:t>
      </w:r>
      <w:r w:rsidRPr="00496277">
        <w:rPr>
          <w:rFonts w:cs="Arial"/>
          <w:szCs w:val="22"/>
          <w:lang w:eastAsia="es-ES"/>
        </w:rPr>
        <w:t xml:space="preserve">declaró </w:t>
      </w:r>
      <w:r w:rsidR="00B9283B" w:rsidRPr="00496277">
        <w:rPr>
          <w:rFonts w:cs="Arial"/>
          <w:b/>
          <w:bCs/>
          <w:szCs w:val="22"/>
          <w:lang w:eastAsia="es-ES"/>
        </w:rPr>
        <w:t>infunda</w:t>
      </w:r>
      <w:r w:rsidR="00D37872" w:rsidRPr="00496277">
        <w:rPr>
          <w:rFonts w:cs="Arial"/>
          <w:b/>
          <w:bCs/>
          <w:szCs w:val="22"/>
          <w:lang w:eastAsia="es-ES"/>
        </w:rPr>
        <w:t>do</w:t>
      </w:r>
      <w:r w:rsidRPr="00496277">
        <w:rPr>
          <w:rFonts w:cs="Arial"/>
          <w:b/>
          <w:bCs/>
          <w:szCs w:val="22"/>
          <w:lang w:eastAsia="es-ES"/>
        </w:rPr>
        <w:t xml:space="preserve"> </w:t>
      </w:r>
      <w:r w:rsidRPr="00496277">
        <w:rPr>
          <w:rFonts w:cs="Arial"/>
          <w:szCs w:val="22"/>
          <w:lang w:eastAsia="es-ES"/>
        </w:rPr>
        <w:t xml:space="preserve">el agravio relativo a que realizó una incorrecta aplicación de lo dispuesto en el artículo 134 </w:t>
      </w:r>
      <w:r>
        <w:rPr>
          <w:rFonts w:cs="Arial"/>
          <w:szCs w:val="22"/>
          <w:lang w:eastAsia="es-ES"/>
        </w:rPr>
        <w:t>de la Constitución general</w:t>
      </w:r>
      <w:r w:rsidRPr="00496277">
        <w:rPr>
          <w:rFonts w:cs="Arial"/>
          <w:szCs w:val="22"/>
          <w:lang w:eastAsia="es-ES"/>
        </w:rPr>
        <w:t xml:space="preserve">, </w:t>
      </w:r>
      <w:r w:rsidR="00283749" w:rsidRPr="00496277">
        <w:rPr>
          <w:rFonts w:cs="Arial"/>
          <w:szCs w:val="22"/>
          <w:lang w:eastAsia="es-ES"/>
        </w:rPr>
        <w:t xml:space="preserve">al considerar que </w:t>
      </w:r>
      <w:r w:rsidR="000F2667" w:rsidRPr="00496277">
        <w:rPr>
          <w:rFonts w:cs="Arial"/>
          <w:szCs w:val="22"/>
          <w:lang w:eastAsia="es-ES"/>
        </w:rPr>
        <w:t>el Tribunal local no sustituyó el estándar constitucional de riesgo por un</w:t>
      </w:r>
      <w:r>
        <w:rPr>
          <w:rFonts w:cs="Arial"/>
          <w:szCs w:val="22"/>
          <w:lang w:eastAsia="es-ES"/>
        </w:rPr>
        <w:t>o de</w:t>
      </w:r>
      <w:r w:rsidR="000F2667" w:rsidRPr="00496277">
        <w:rPr>
          <w:rFonts w:cs="Arial"/>
          <w:szCs w:val="22"/>
          <w:lang w:eastAsia="es-ES"/>
        </w:rPr>
        <w:t xml:space="preserve"> resultado, sino que realizó el análisis contextual exigido </w:t>
      </w:r>
      <w:r>
        <w:rPr>
          <w:rFonts w:cs="Arial"/>
          <w:szCs w:val="22"/>
          <w:lang w:eastAsia="es-ES"/>
        </w:rPr>
        <w:t>por dicho precepto normativo</w:t>
      </w:r>
      <w:r w:rsidR="000F2667" w:rsidRPr="00496277">
        <w:rPr>
          <w:rFonts w:cs="Arial"/>
          <w:szCs w:val="22"/>
          <w:lang w:eastAsia="es-ES"/>
        </w:rPr>
        <w:t xml:space="preserve"> y por la ejecutoria de cumplimiento, </w:t>
      </w:r>
      <w:r>
        <w:rPr>
          <w:rFonts w:cs="Arial"/>
          <w:szCs w:val="22"/>
          <w:lang w:eastAsia="es-ES"/>
        </w:rPr>
        <w:t xml:space="preserve">y </w:t>
      </w:r>
      <w:r w:rsidR="00895B0E" w:rsidRPr="00496277">
        <w:rPr>
          <w:rFonts w:cs="Arial"/>
          <w:szCs w:val="22"/>
          <w:lang w:eastAsia="es-ES"/>
        </w:rPr>
        <w:t>valor</w:t>
      </w:r>
      <w:r>
        <w:rPr>
          <w:rFonts w:cs="Arial"/>
          <w:szCs w:val="22"/>
          <w:lang w:eastAsia="es-ES"/>
        </w:rPr>
        <w:t>ó</w:t>
      </w:r>
      <w:r w:rsidR="00895B0E" w:rsidRPr="00496277">
        <w:rPr>
          <w:rFonts w:cs="Arial"/>
          <w:szCs w:val="22"/>
          <w:lang w:eastAsia="es-ES"/>
        </w:rPr>
        <w:t xml:space="preserve"> si las circunstancias acreditadas </w:t>
      </w:r>
      <w:r w:rsidR="002456F1" w:rsidRPr="00496277">
        <w:rPr>
          <w:rFonts w:cs="Arial"/>
          <w:szCs w:val="22"/>
          <w:lang w:eastAsia="es-ES"/>
        </w:rPr>
        <w:t>permitían concluir que el empleo de recursos públicos tenía apti</w:t>
      </w:r>
      <w:r w:rsidR="003610A5" w:rsidRPr="00496277">
        <w:rPr>
          <w:rFonts w:cs="Arial"/>
          <w:szCs w:val="22"/>
          <w:lang w:eastAsia="es-ES"/>
        </w:rPr>
        <w:t>tud objetiva para afectar la imparcialidad, neutralidad y equidad de la contienda</w:t>
      </w:r>
      <w:r>
        <w:rPr>
          <w:rFonts w:cs="Arial"/>
          <w:szCs w:val="22"/>
          <w:lang w:eastAsia="es-ES"/>
        </w:rPr>
        <w:t>.</w:t>
      </w:r>
    </w:p>
    <w:p w14:paraId="42A04B59" w14:textId="77777777" w:rsidR="0062293A" w:rsidRDefault="00CA2021" w:rsidP="00CA2021">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3055D5">
        <w:rPr>
          <w:rFonts w:cs="Arial"/>
          <w:szCs w:val="22"/>
          <w:lang w:eastAsia="es-ES"/>
        </w:rPr>
        <w:t>En ese sentido, precisó que el hecho de que se acreditara la difusión extemporánea de la propaganda no implicaba, por sí mismo, la actualización automática del uso indebido de recursos públicos, ya que era necesario examinar el contexto integral del caso.</w:t>
      </w:r>
    </w:p>
    <w:p w14:paraId="473D0803" w14:textId="6A29389C" w:rsidR="00013697" w:rsidRDefault="00CA2021" w:rsidP="00CA2021">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62293A">
        <w:rPr>
          <w:rFonts w:cs="Arial"/>
          <w:szCs w:val="22"/>
          <w:lang w:eastAsia="es-ES"/>
        </w:rPr>
        <w:t>Asimismo, estimó que el Tribunal local no exigió la demostración de una finalidad electoral como requisito autónomo</w:t>
      </w:r>
      <w:r w:rsidR="006A0A66">
        <w:rPr>
          <w:rFonts w:cs="Arial"/>
          <w:szCs w:val="22"/>
          <w:lang w:eastAsia="es-ES"/>
        </w:rPr>
        <w:t>, tampoco</w:t>
      </w:r>
      <w:r w:rsidRPr="0062293A">
        <w:rPr>
          <w:rFonts w:cs="Arial"/>
          <w:szCs w:val="22"/>
          <w:lang w:eastAsia="es-ES"/>
        </w:rPr>
        <w:t xml:space="preserve"> condicionó la infracción a la obtención de un resultado efectivo en la contienda, sino que concluyó que las pruebas eran insuficientes para demostrar que la permanencia de la propaganda generó una afectación a los principios protegidos por el artículo 134 constitucional. Por </w:t>
      </w:r>
      <w:r w:rsidR="005641C8">
        <w:rPr>
          <w:rFonts w:cs="Arial"/>
          <w:szCs w:val="22"/>
          <w:lang w:eastAsia="es-ES"/>
        </w:rPr>
        <w:t>lo que</w:t>
      </w:r>
      <w:r w:rsidRPr="0062293A">
        <w:rPr>
          <w:rFonts w:cs="Arial"/>
          <w:szCs w:val="22"/>
          <w:lang w:eastAsia="es-ES"/>
        </w:rPr>
        <w:t xml:space="preserve"> descartó </w:t>
      </w:r>
      <w:r w:rsidR="002D5D79">
        <w:rPr>
          <w:rFonts w:cs="Arial"/>
          <w:szCs w:val="22"/>
          <w:lang w:eastAsia="es-ES"/>
        </w:rPr>
        <w:t xml:space="preserve">lo </w:t>
      </w:r>
      <w:r w:rsidR="006731E7">
        <w:rPr>
          <w:rFonts w:cs="Arial"/>
          <w:szCs w:val="22"/>
          <w:lang w:eastAsia="es-ES"/>
        </w:rPr>
        <w:t>señalado por el recurrente, al señalar una incongruencia interna</w:t>
      </w:r>
      <w:r w:rsidRPr="0062293A">
        <w:rPr>
          <w:rFonts w:cs="Arial"/>
          <w:szCs w:val="22"/>
          <w:lang w:eastAsia="es-ES"/>
        </w:rPr>
        <w:t>, al considerar que la sentencia mant</w:t>
      </w:r>
      <w:r w:rsidR="000315BF">
        <w:rPr>
          <w:rFonts w:cs="Arial"/>
          <w:szCs w:val="22"/>
          <w:lang w:eastAsia="es-ES"/>
        </w:rPr>
        <w:t>enía</w:t>
      </w:r>
      <w:r w:rsidRPr="0062293A">
        <w:rPr>
          <w:rFonts w:cs="Arial"/>
          <w:szCs w:val="22"/>
          <w:lang w:eastAsia="es-ES"/>
        </w:rPr>
        <w:t xml:space="preserve"> coherencia entre el marco jurídico aplicable y la valoración de los hechos.</w:t>
      </w:r>
    </w:p>
    <w:p w14:paraId="1E93B6DD" w14:textId="1AECFC18" w:rsidR="00D15E4B" w:rsidRDefault="00872F73" w:rsidP="00CA2021">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L</w:t>
      </w:r>
      <w:r w:rsidR="00CA2021" w:rsidRPr="00013697">
        <w:rPr>
          <w:rFonts w:cs="Arial"/>
          <w:szCs w:val="22"/>
          <w:lang w:eastAsia="es-ES"/>
        </w:rPr>
        <w:t>a Sala</w:t>
      </w:r>
      <w:r w:rsidR="00A20572">
        <w:rPr>
          <w:rFonts w:cs="Arial"/>
          <w:szCs w:val="22"/>
          <w:lang w:eastAsia="es-ES"/>
        </w:rPr>
        <w:t xml:space="preserve"> regional</w:t>
      </w:r>
      <w:r w:rsidR="00CA2021" w:rsidRPr="00013697">
        <w:rPr>
          <w:rFonts w:cs="Arial"/>
          <w:szCs w:val="22"/>
          <w:lang w:eastAsia="es-ES"/>
        </w:rPr>
        <w:t xml:space="preserve"> consideró </w:t>
      </w:r>
      <w:r w:rsidR="00CA2021" w:rsidRPr="00CC2AF4">
        <w:rPr>
          <w:rFonts w:cs="Arial"/>
          <w:b/>
          <w:bCs/>
          <w:szCs w:val="22"/>
          <w:lang w:eastAsia="es-ES"/>
        </w:rPr>
        <w:t>ineficaces</w:t>
      </w:r>
      <w:r w:rsidR="00CA2021" w:rsidRPr="00013697">
        <w:rPr>
          <w:rFonts w:cs="Arial"/>
          <w:szCs w:val="22"/>
          <w:lang w:eastAsia="es-ES"/>
        </w:rPr>
        <w:t xml:space="preserve"> los planteamientos relacionados con el contenido político de la propaganda, por dirigirse a cuestionar aspectos que ya habían quedado firmes en la ejecutoria </w:t>
      </w:r>
      <w:r w:rsidR="00A20572">
        <w:rPr>
          <w:rFonts w:cs="Arial"/>
          <w:szCs w:val="22"/>
          <w:lang w:eastAsia="es-ES"/>
        </w:rPr>
        <w:t xml:space="preserve">dictada en el juicio </w:t>
      </w:r>
      <w:r w:rsidR="005349E8" w:rsidRPr="00B117B9">
        <w:rPr>
          <w:b/>
          <w:color w:val="FFFFFF" w:themeColor="background1"/>
          <w:szCs w:val="26"/>
          <w:shd w:val="clear" w:color="auto" w:fill="000000" w:themeFill="text1"/>
        </w:rPr>
        <w:t>DATO PROTEGIDO</w:t>
      </w:r>
      <w:r w:rsidR="00CA2021" w:rsidRPr="00013697">
        <w:rPr>
          <w:rFonts w:cs="Arial"/>
          <w:szCs w:val="22"/>
          <w:lang w:eastAsia="es-ES"/>
        </w:rPr>
        <w:t>, así como el argumento sustentado en un voto particular, al carecer éste de fuerza vinculante.</w:t>
      </w:r>
    </w:p>
    <w:p w14:paraId="45200019" w14:textId="0A590F12" w:rsidR="0017461A" w:rsidRDefault="00CC2AF4" w:rsidP="00872F73">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872F73">
        <w:rPr>
          <w:rFonts w:cs="Arial"/>
          <w:szCs w:val="22"/>
          <w:lang w:eastAsia="es-ES"/>
        </w:rPr>
        <w:lastRenderedPageBreak/>
        <w:t>Por otra parte</w:t>
      </w:r>
      <w:r w:rsidR="00083B4D" w:rsidRPr="00872F73">
        <w:rPr>
          <w:rFonts w:cs="Arial"/>
          <w:szCs w:val="22"/>
          <w:lang w:eastAsia="es-ES"/>
        </w:rPr>
        <w:t xml:space="preserve">, </w:t>
      </w:r>
      <w:r w:rsidR="00872F73">
        <w:rPr>
          <w:rFonts w:cs="Arial"/>
          <w:szCs w:val="22"/>
          <w:lang w:eastAsia="es-ES"/>
        </w:rPr>
        <w:t>la</w:t>
      </w:r>
      <w:r w:rsidR="0017461A">
        <w:rPr>
          <w:rFonts w:cs="Arial"/>
          <w:szCs w:val="22"/>
          <w:lang w:eastAsia="es-ES"/>
        </w:rPr>
        <w:t xml:space="preserve"> Sala Regional determinó que no </w:t>
      </w:r>
      <w:r w:rsidR="008747D9">
        <w:rPr>
          <w:rFonts w:cs="Arial"/>
          <w:szCs w:val="22"/>
          <w:lang w:eastAsia="es-ES"/>
        </w:rPr>
        <w:t>le asistía la razón al recurrente</w:t>
      </w:r>
      <w:r w:rsidR="0017461A">
        <w:rPr>
          <w:rFonts w:cs="Arial"/>
          <w:szCs w:val="22"/>
          <w:lang w:eastAsia="es-ES"/>
        </w:rPr>
        <w:t>, porque de la sentencia impugnada se advi</w:t>
      </w:r>
      <w:r w:rsidR="00532B59">
        <w:rPr>
          <w:rFonts w:cs="Arial"/>
          <w:szCs w:val="22"/>
          <w:lang w:eastAsia="es-ES"/>
        </w:rPr>
        <w:t>rtió</w:t>
      </w:r>
      <w:r w:rsidR="0017461A">
        <w:rPr>
          <w:rFonts w:cs="Arial"/>
          <w:szCs w:val="22"/>
          <w:lang w:eastAsia="es-ES"/>
        </w:rPr>
        <w:t xml:space="preserve"> que el Tribunal Local no condicionó </w:t>
      </w:r>
      <w:r w:rsidR="00965E3D">
        <w:rPr>
          <w:rFonts w:cs="Arial"/>
          <w:szCs w:val="22"/>
          <w:lang w:eastAsia="es-ES"/>
        </w:rPr>
        <w:t>la actualización de la infracción a la existencia de una finalidad electoral como requisito autónomo, sin</w:t>
      </w:r>
      <w:r w:rsidR="00ED7CED">
        <w:rPr>
          <w:rFonts w:cs="Arial"/>
          <w:szCs w:val="22"/>
          <w:lang w:eastAsia="es-ES"/>
        </w:rPr>
        <w:t>o que, en cumplimiento a lo ordenado por la Sala Regional, realizó un análisis contextual para determinar si el empleo de los recursos públicos vulner</w:t>
      </w:r>
      <w:r w:rsidR="00532B59">
        <w:rPr>
          <w:rFonts w:cs="Arial"/>
          <w:szCs w:val="22"/>
          <w:lang w:eastAsia="es-ES"/>
        </w:rPr>
        <w:t>ó</w:t>
      </w:r>
      <w:r w:rsidR="00ED7CED">
        <w:rPr>
          <w:rFonts w:cs="Arial"/>
          <w:szCs w:val="22"/>
          <w:lang w:eastAsia="es-ES"/>
        </w:rPr>
        <w:t xml:space="preserve"> los principios de imparcialidad, neutralidad y equidad en la contienda electoral</w:t>
      </w:r>
      <w:r w:rsidR="008D62C0">
        <w:rPr>
          <w:rFonts w:cs="Arial"/>
          <w:szCs w:val="22"/>
          <w:lang w:eastAsia="es-ES"/>
        </w:rPr>
        <w:t>, previstos en el artículo 134 de la Constitución.</w:t>
      </w:r>
    </w:p>
    <w:p w14:paraId="7BD77F65" w14:textId="2D9A3F25" w:rsidR="008D62C0" w:rsidRDefault="00D577AF"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En ese sentido, la Sala Regional </w:t>
      </w:r>
      <w:r w:rsidR="00872F73">
        <w:rPr>
          <w:rFonts w:cs="Arial"/>
          <w:szCs w:val="22"/>
          <w:lang w:eastAsia="es-ES"/>
        </w:rPr>
        <w:t xml:space="preserve">señaló </w:t>
      </w:r>
      <w:r>
        <w:rPr>
          <w:rFonts w:cs="Arial"/>
          <w:szCs w:val="22"/>
          <w:lang w:eastAsia="es-ES"/>
        </w:rPr>
        <w:t xml:space="preserve">que el artículo 134 Constitucional no </w:t>
      </w:r>
      <w:r w:rsidR="00532B59">
        <w:rPr>
          <w:rFonts w:cs="Arial"/>
          <w:szCs w:val="22"/>
          <w:lang w:eastAsia="es-ES"/>
        </w:rPr>
        <w:t>prohibía</w:t>
      </w:r>
      <w:r>
        <w:rPr>
          <w:rFonts w:cs="Arial"/>
          <w:szCs w:val="22"/>
          <w:lang w:eastAsia="es-ES"/>
        </w:rPr>
        <w:t xml:space="preserve"> </w:t>
      </w:r>
      <w:r w:rsidR="003A0A51">
        <w:rPr>
          <w:rFonts w:cs="Arial"/>
          <w:szCs w:val="22"/>
          <w:lang w:eastAsia="es-ES"/>
        </w:rPr>
        <w:t>cualquier utilización de recursos, sino únicamente aquella que, por sus características y contexto, in</w:t>
      </w:r>
      <w:r w:rsidR="001F4610">
        <w:rPr>
          <w:rFonts w:cs="Arial"/>
          <w:szCs w:val="22"/>
          <w:lang w:eastAsia="es-ES"/>
        </w:rPr>
        <w:t>cid</w:t>
      </w:r>
      <w:r w:rsidR="00872F73">
        <w:rPr>
          <w:rFonts w:cs="Arial"/>
          <w:szCs w:val="22"/>
          <w:lang w:eastAsia="es-ES"/>
        </w:rPr>
        <w:t>ier</w:t>
      </w:r>
      <w:r w:rsidR="00532B59">
        <w:rPr>
          <w:rFonts w:cs="Arial"/>
          <w:szCs w:val="22"/>
          <w:lang w:eastAsia="es-ES"/>
        </w:rPr>
        <w:t>a</w:t>
      </w:r>
      <w:r w:rsidR="001F4610">
        <w:rPr>
          <w:rFonts w:cs="Arial"/>
          <w:szCs w:val="22"/>
          <w:lang w:eastAsia="es-ES"/>
        </w:rPr>
        <w:t xml:space="preserve"> en la equidad de la contienda </w:t>
      </w:r>
      <w:r w:rsidR="00BE7581">
        <w:rPr>
          <w:rFonts w:cs="Arial"/>
          <w:szCs w:val="22"/>
          <w:lang w:eastAsia="es-ES"/>
        </w:rPr>
        <w:t>o f</w:t>
      </w:r>
      <w:r w:rsidR="00CC279B">
        <w:rPr>
          <w:rFonts w:cs="Arial"/>
          <w:szCs w:val="22"/>
          <w:lang w:eastAsia="es-ES"/>
        </w:rPr>
        <w:t>avore</w:t>
      </w:r>
      <w:r w:rsidR="00532B59">
        <w:rPr>
          <w:rFonts w:cs="Arial"/>
          <w:szCs w:val="22"/>
          <w:lang w:eastAsia="es-ES"/>
        </w:rPr>
        <w:t>ciera</w:t>
      </w:r>
      <w:r w:rsidR="00CC279B">
        <w:rPr>
          <w:rFonts w:cs="Arial"/>
          <w:szCs w:val="22"/>
          <w:lang w:eastAsia="es-ES"/>
        </w:rPr>
        <w:t xml:space="preserve"> opciones político-electorales.</w:t>
      </w:r>
    </w:p>
    <w:p w14:paraId="1300170A" w14:textId="3F8E956A" w:rsidR="00A14986" w:rsidRDefault="00E971D6"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L</w:t>
      </w:r>
      <w:r w:rsidR="00DB683A">
        <w:rPr>
          <w:rFonts w:cs="Arial"/>
          <w:szCs w:val="22"/>
          <w:lang w:eastAsia="es-ES"/>
        </w:rPr>
        <w:t>a configuración de la infracción exig</w:t>
      </w:r>
      <w:r w:rsidR="00142110">
        <w:rPr>
          <w:rFonts w:cs="Arial"/>
          <w:szCs w:val="22"/>
          <w:lang w:eastAsia="es-ES"/>
        </w:rPr>
        <w:t>ía</w:t>
      </w:r>
      <w:r w:rsidR="00DB683A">
        <w:rPr>
          <w:rFonts w:cs="Arial"/>
          <w:szCs w:val="22"/>
          <w:lang w:eastAsia="es-ES"/>
        </w:rPr>
        <w:t xml:space="preserve"> algo más que la sola acreditación del empleo de recursos públicos, pues e</w:t>
      </w:r>
      <w:r w:rsidR="00142110">
        <w:rPr>
          <w:rFonts w:cs="Arial"/>
          <w:szCs w:val="22"/>
          <w:lang w:eastAsia="es-ES"/>
        </w:rPr>
        <w:t>ra</w:t>
      </w:r>
      <w:r w:rsidR="00DB683A">
        <w:rPr>
          <w:rFonts w:cs="Arial"/>
          <w:szCs w:val="22"/>
          <w:lang w:eastAsia="es-ES"/>
        </w:rPr>
        <w:t xml:space="preserve"> necesario verificar si ese uso</w:t>
      </w:r>
      <w:r w:rsidR="00B0499A">
        <w:rPr>
          <w:rFonts w:cs="Arial"/>
          <w:szCs w:val="22"/>
          <w:lang w:eastAsia="es-ES"/>
        </w:rPr>
        <w:t xml:space="preserve"> de recursos vulner</w:t>
      </w:r>
      <w:r w:rsidR="00C81791">
        <w:rPr>
          <w:rFonts w:cs="Arial"/>
          <w:szCs w:val="22"/>
          <w:lang w:eastAsia="es-ES"/>
        </w:rPr>
        <w:t>ó</w:t>
      </w:r>
      <w:r w:rsidR="00B0499A">
        <w:rPr>
          <w:rFonts w:cs="Arial"/>
          <w:szCs w:val="22"/>
          <w:lang w:eastAsia="es-ES"/>
        </w:rPr>
        <w:t xml:space="preserve"> los principios con</w:t>
      </w:r>
      <w:r w:rsidR="00A14986">
        <w:rPr>
          <w:rFonts w:cs="Arial"/>
          <w:szCs w:val="22"/>
          <w:lang w:eastAsia="es-ES"/>
        </w:rPr>
        <w:t xml:space="preserve">stitucionales. </w:t>
      </w:r>
    </w:p>
    <w:p w14:paraId="20A156B2" w14:textId="49085E4E" w:rsidR="00DB683A" w:rsidRDefault="00A14986"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Asimismo, la Sala Regional </w:t>
      </w:r>
      <w:r w:rsidR="00872F73">
        <w:rPr>
          <w:rFonts w:cs="Arial"/>
          <w:szCs w:val="22"/>
          <w:lang w:eastAsia="es-ES"/>
        </w:rPr>
        <w:t>concluy</w:t>
      </w:r>
      <w:r w:rsidR="00924250">
        <w:rPr>
          <w:rFonts w:cs="Arial"/>
          <w:szCs w:val="22"/>
          <w:lang w:eastAsia="es-ES"/>
        </w:rPr>
        <w:t xml:space="preserve">ó que no le asistía la razón </w:t>
      </w:r>
      <w:r w:rsidR="00790101">
        <w:rPr>
          <w:rFonts w:cs="Arial"/>
          <w:szCs w:val="22"/>
          <w:lang w:eastAsia="es-ES"/>
        </w:rPr>
        <w:t xml:space="preserve">al </w:t>
      </w:r>
      <w:r w:rsidR="00872F73">
        <w:rPr>
          <w:rFonts w:cs="Arial"/>
          <w:szCs w:val="22"/>
          <w:lang w:eastAsia="es-ES"/>
        </w:rPr>
        <w:t>promove</w:t>
      </w:r>
      <w:r w:rsidR="00790101">
        <w:rPr>
          <w:rFonts w:cs="Arial"/>
          <w:szCs w:val="22"/>
          <w:lang w:eastAsia="es-ES"/>
        </w:rPr>
        <w:t>nte</w:t>
      </w:r>
      <w:r w:rsidR="00924250">
        <w:rPr>
          <w:rFonts w:cs="Arial"/>
          <w:szCs w:val="22"/>
          <w:lang w:eastAsia="es-ES"/>
        </w:rPr>
        <w:t xml:space="preserve"> al i</w:t>
      </w:r>
      <w:r w:rsidR="00872F73">
        <w:rPr>
          <w:rFonts w:cs="Arial"/>
          <w:szCs w:val="22"/>
          <w:lang w:eastAsia="es-ES"/>
        </w:rPr>
        <w:t>ndicar como</w:t>
      </w:r>
      <w:r w:rsidR="00924250">
        <w:rPr>
          <w:rFonts w:cs="Arial"/>
          <w:szCs w:val="22"/>
          <w:lang w:eastAsia="es-ES"/>
        </w:rPr>
        <w:t xml:space="preserve"> precedente</w:t>
      </w:r>
      <w:r w:rsidR="00872F73">
        <w:rPr>
          <w:rFonts w:cs="Arial"/>
          <w:szCs w:val="22"/>
          <w:lang w:eastAsia="es-ES"/>
        </w:rPr>
        <w:t xml:space="preserve"> de este asunto lo resuelto en el procedimiento sancionador</w:t>
      </w:r>
      <w:r w:rsidR="00924250">
        <w:rPr>
          <w:rFonts w:cs="Arial"/>
          <w:szCs w:val="22"/>
          <w:lang w:eastAsia="es-ES"/>
        </w:rPr>
        <w:t xml:space="preserve"> SUP-PSC-29/2026</w:t>
      </w:r>
      <w:r w:rsidR="00233BF4">
        <w:rPr>
          <w:rFonts w:cs="Arial"/>
          <w:szCs w:val="22"/>
          <w:lang w:eastAsia="es-ES"/>
        </w:rPr>
        <w:t xml:space="preserve">, pues </w:t>
      </w:r>
      <w:r w:rsidR="00790101">
        <w:rPr>
          <w:rFonts w:cs="Arial"/>
          <w:szCs w:val="22"/>
          <w:lang w:eastAsia="es-ES"/>
        </w:rPr>
        <w:t xml:space="preserve">de </w:t>
      </w:r>
      <w:r w:rsidR="00233BF4">
        <w:rPr>
          <w:rFonts w:cs="Arial"/>
          <w:szCs w:val="22"/>
          <w:lang w:eastAsia="es-ES"/>
        </w:rPr>
        <w:t>esa resolución no se desprend</w:t>
      </w:r>
      <w:r w:rsidR="00142110">
        <w:rPr>
          <w:rFonts w:cs="Arial"/>
          <w:szCs w:val="22"/>
          <w:lang w:eastAsia="es-ES"/>
        </w:rPr>
        <w:t>ía</w:t>
      </w:r>
      <w:r w:rsidR="00233BF4">
        <w:rPr>
          <w:rFonts w:cs="Arial"/>
          <w:szCs w:val="22"/>
          <w:lang w:eastAsia="es-ES"/>
        </w:rPr>
        <w:t xml:space="preserve"> </w:t>
      </w:r>
      <w:r w:rsidR="00FC5997">
        <w:rPr>
          <w:rFonts w:cs="Arial"/>
          <w:szCs w:val="22"/>
          <w:lang w:eastAsia="es-ES"/>
        </w:rPr>
        <w:t xml:space="preserve">que la utilización de recursos públicos para difundir </w:t>
      </w:r>
      <w:r w:rsidR="005242C8">
        <w:rPr>
          <w:rFonts w:cs="Arial"/>
          <w:szCs w:val="22"/>
          <w:lang w:eastAsia="es-ES"/>
        </w:rPr>
        <w:t>propaganda gubernamental fuera del plazo legal actuali</w:t>
      </w:r>
      <w:r w:rsidR="00142110">
        <w:rPr>
          <w:rFonts w:cs="Arial"/>
          <w:szCs w:val="22"/>
          <w:lang w:eastAsia="es-ES"/>
        </w:rPr>
        <w:t>zara</w:t>
      </w:r>
      <w:r w:rsidR="005242C8">
        <w:rPr>
          <w:rFonts w:cs="Arial"/>
          <w:szCs w:val="22"/>
          <w:lang w:eastAsia="es-ES"/>
        </w:rPr>
        <w:t xml:space="preserve">, por sí misma, el uso de recursos públicos. </w:t>
      </w:r>
    </w:p>
    <w:p w14:paraId="07B4DA8E" w14:textId="4AADCB76" w:rsidR="00E93136" w:rsidRDefault="00E93136"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Por el contrario, en dicho </w:t>
      </w:r>
      <w:r w:rsidR="005911EE">
        <w:rPr>
          <w:rFonts w:cs="Arial"/>
          <w:szCs w:val="22"/>
          <w:lang w:eastAsia="es-ES"/>
        </w:rPr>
        <w:t xml:space="preserve">precedente la Sala Superior distinguió entre la infracción relativa a la difusión extemporánea del informe de labores y </w:t>
      </w:r>
      <w:r w:rsidR="00BB38FF">
        <w:rPr>
          <w:rFonts w:cs="Arial"/>
          <w:szCs w:val="22"/>
          <w:lang w:eastAsia="es-ES"/>
        </w:rPr>
        <w:t>el uso indebido de recursos públicos, declarando existente la primera e inexistente la segunda</w:t>
      </w:r>
      <w:r w:rsidR="0099396F">
        <w:rPr>
          <w:rFonts w:cs="Arial"/>
          <w:szCs w:val="22"/>
          <w:lang w:eastAsia="es-ES"/>
        </w:rPr>
        <w:t>, al considerar que los hechos ocurrieron fuera de proceso electoral y sin afectación a los principios de imparcialidad, neutralidad y equidad.</w:t>
      </w:r>
    </w:p>
    <w:p w14:paraId="77776B52" w14:textId="61B785FA" w:rsidR="00FA633D" w:rsidRDefault="00F22839"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De igual forma, la Sala Regional determinó que resultaba </w:t>
      </w:r>
      <w:r w:rsidRPr="00142110">
        <w:rPr>
          <w:rFonts w:cs="Arial"/>
          <w:b/>
          <w:bCs/>
          <w:szCs w:val="22"/>
          <w:lang w:eastAsia="es-ES"/>
        </w:rPr>
        <w:t>inoperante</w:t>
      </w:r>
      <w:r>
        <w:rPr>
          <w:rFonts w:cs="Arial"/>
          <w:szCs w:val="22"/>
          <w:lang w:eastAsia="es-ES"/>
        </w:rPr>
        <w:t xml:space="preserve"> </w:t>
      </w:r>
      <w:r w:rsidR="00872F73">
        <w:rPr>
          <w:rFonts w:cs="Arial"/>
          <w:szCs w:val="22"/>
          <w:lang w:eastAsia="es-ES"/>
        </w:rPr>
        <w:t xml:space="preserve">el agravio relativo a que, en el caso, era aplicable </w:t>
      </w:r>
      <w:r>
        <w:rPr>
          <w:rFonts w:cs="Arial"/>
          <w:szCs w:val="22"/>
          <w:lang w:eastAsia="es-ES"/>
        </w:rPr>
        <w:t xml:space="preserve">la </w:t>
      </w:r>
      <w:r w:rsidR="003E658B">
        <w:rPr>
          <w:rFonts w:cs="Arial"/>
          <w:szCs w:val="22"/>
          <w:lang w:eastAsia="es-ES"/>
        </w:rPr>
        <w:t xml:space="preserve">jurisprudencia 6/2019, </w:t>
      </w:r>
      <w:r w:rsidR="00872F73">
        <w:rPr>
          <w:rFonts w:cs="Arial"/>
          <w:szCs w:val="22"/>
          <w:lang w:eastAsia="es-ES"/>
        </w:rPr>
        <w:t xml:space="preserve">de rubro: </w:t>
      </w:r>
      <w:r w:rsidR="00872F73" w:rsidRPr="00872F73">
        <w:rPr>
          <w:rFonts w:cs="Arial"/>
          <w:szCs w:val="22"/>
          <w:lang w:eastAsia="es-ES"/>
        </w:rPr>
        <w:t xml:space="preserve">USO INDEBIDO DE PAUTAS. ELEMENTOS PARA IDENTIFICAR LA POSIBLE SOBREEXPOSICIÓN DE DIRIGENTES, SIMPATIZANTES, MILITANTES O VOCEROS DE PARTIDOS POLÍTICOS EN RADIO Y </w:t>
      </w:r>
      <w:r w:rsidR="00872F73" w:rsidRPr="00872F73">
        <w:rPr>
          <w:rFonts w:cs="Arial"/>
          <w:szCs w:val="22"/>
          <w:lang w:eastAsia="es-ES"/>
        </w:rPr>
        <w:lastRenderedPageBreak/>
        <w:t>TELEVISIÓN.</w:t>
      </w:r>
      <w:r w:rsidR="00872F73">
        <w:rPr>
          <w:rFonts w:cs="Arial"/>
          <w:szCs w:val="22"/>
          <w:lang w:eastAsia="es-ES"/>
        </w:rPr>
        <w:t>,</w:t>
      </w:r>
      <w:r w:rsidR="00872F73">
        <w:rPr>
          <w:rStyle w:val="Refdenotaalpie"/>
          <w:rFonts w:cs="Arial"/>
          <w:szCs w:val="22"/>
          <w:lang w:eastAsia="es-ES"/>
        </w:rPr>
        <w:footnoteReference w:id="13"/>
      </w:r>
      <w:r w:rsidR="00872F73">
        <w:rPr>
          <w:rFonts w:cs="Arial"/>
          <w:szCs w:val="22"/>
          <w:lang w:eastAsia="es-ES"/>
        </w:rPr>
        <w:t xml:space="preserve"> </w:t>
      </w:r>
      <w:r w:rsidR="003E658B">
        <w:rPr>
          <w:rFonts w:cs="Arial"/>
          <w:szCs w:val="22"/>
          <w:lang w:eastAsia="es-ES"/>
        </w:rPr>
        <w:t xml:space="preserve">ya que ese criterio se </w:t>
      </w:r>
      <w:r w:rsidR="00142110">
        <w:rPr>
          <w:rFonts w:cs="Arial"/>
          <w:szCs w:val="22"/>
          <w:lang w:eastAsia="es-ES"/>
        </w:rPr>
        <w:t>refería</w:t>
      </w:r>
      <w:r w:rsidR="003E658B">
        <w:rPr>
          <w:rFonts w:cs="Arial"/>
          <w:szCs w:val="22"/>
          <w:lang w:eastAsia="es-ES"/>
        </w:rPr>
        <w:t xml:space="preserve"> al análisis del uso indebido de pautas en radio y televisión y a la posible </w:t>
      </w:r>
      <w:r w:rsidR="008173D5">
        <w:rPr>
          <w:rFonts w:cs="Arial"/>
          <w:szCs w:val="22"/>
          <w:lang w:eastAsia="es-ES"/>
        </w:rPr>
        <w:t>sobreexposición de actores políticos, materia distinta a la controvertida en el asunto</w:t>
      </w:r>
      <w:r w:rsidR="00FA633D">
        <w:rPr>
          <w:rFonts w:cs="Arial"/>
          <w:szCs w:val="22"/>
          <w:lang w:eastAsia="es-ES"/>
        </w:rPr>
        <w:t>.</w:t>
      </w:r>
    </w:p>
    <w:p w14:paraId="16D8CF69" w14:textId="02DFA7CD" w:rsidR="009D1E19" w:rsidRDefault="00DB7269"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Por lo que el </w:t>
      </w:r>
      <w:r w:rsidR="009D1E19">
        <w:rPr>
          <w:rFonts w:cs="Arial"/>
          <w:szCs w:val="22"/>
          <w:lang w:eastAsia="es-ES"/>
        </w:rPr>
        <w:t xml:space="preserve">Tribunal local no desconoció que existieron </w:t>
      </w:r>
      <w:r w:rsidR="00337913">
        <w:rPr>
          <w:rFonts w:cs="Arial"/>
          <w:szCs w:val="22"/>
          <w:lang w:eastAsia="es-ES"/>
        </w:rPr>
        <w:t xml:space="preserve">recursos públicos involucrados en la organización y permanencia </w:t>
      </w:r>
      <w:r w:rsidR="005F0373">
        <w:rPr>
          <w:rFonts w:cs="Arial"/>
          <w:szCs w:val="22"/>
          <w:lang w:eastAsia="es-ES"/>
        </w:rPr>
        <w:t xml:space="preserve">de la propaganda denunciada, </w:t>
      </w:r>
      <w:r w:rsidR="00592855">
        <w:rPr>
          <w:rFonts w:cs="Arial"/>
          <w:szCs w:val="22"/>
          <w:lang w:eastAsia="es-ES"/>
        </w:rPr>
        <w:t>fuera del plazo legal</w:t>
      </w:r>
      <w:r w:rsidR="00872F73">
        <w:rPr>
          <w:rFonts w:cs="Arial"/>
          <w:szCs w:val="22"/>
          <w:lang w:eastAsia="es-ES"/>
        </w:rPr>
        <w:t>;</w:t>
      </w:r>
      <w:r w:rsidR="00AA6F30">
        <w:rPr>
          <w:rFonts w:cs="Arial"/>
          <w:szCs w:val="22"/>
          <w:lang w:eastAsia="es-ES"/>
        </w:rPr>
        <w:t xml:space="preserve"> lo que analizó fue si, conforme al contexto del caso y lo ordenado por la Sala Regional, </w:t>
      </w:r>
      <w:r w:rsidR="00EA70D6">
        <w:rPr>
          <w:rFonts w:cs="Arial"/>
          <w:szCs w:val="22"/>
          <w:lang w:eastAsia="es-ES"/>
        </w:rPr>
        <w:t>el uso de esos</w:t>
      </w:r>
      <w:r w:rsidR="00AA6F30">
        <w:rPr>
          <w:rFonts w:cs="Arial"/>
          <w:szCs w:val="22"/>
          <w:lang w:eastAsia="es-ES"/>
        </w:rPr>
        <w:t xml:space="preserve"> recursos </w:t>
      </w:r>
      <w:r w:rsidR="00A44F9A">
        <w:rPr>
          <w:rFonts w:cs="Arial"/>
          <w:szCs w:val="22"/>
          <w:lang w:eastAsia="es-ES"/>
        </w:rPr>
        <w:t>vulner</w:t>
      </w:r>
      <w:r w:rsidR="00EA70D6">
        <w:rPr>
          <w:rFonts w:cs="Arial"/>
          <w:szCs w:val="22"/>
          <w:lang w:eastAsia="es-ES"/>
        </w:rPr>
        <w:t>ó</w:t>
      </w:r>
      <w:r w:rsidR="00A44F9A">
        <w:rPr>
          <w:rFonts w:cs="Arial"/>
          <w:szCs w:val="22"/>
          <w:lang w:eastAsia="es-ES"/>
        </w:rPr>
        <w:t xml:space="preserve"> los principios constitucionales. </w:t>
      </w:r>
    </w:p>
    <w:p w14:paraId="102A0CBF" w14:textId="64D82448" w:rsidR="00BA1F0E" w:rsidRDefault="00EA70D6" w:rsidP="00A75C7A">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L</w:t>
      </w:r>
      <w:r w:rsidR="00BA1F0E">
        <w:rPr>
          <w:rFonts w:cs="Arial"/>
          <w:szCs w:val="22"/>
          <w:lang w:eastAsia="es-ES"/>
        </w:rPr>
        <w:t xml:space="preserve">a Sala Regional determinó que </w:t>
      </w:r>
      <w:r w:rsidR="002C293C">
        <w:rPr>
          <w:rFonts w:cs="Arial"/>
          <w:szCs w:val="22"/>
          <w:lang w:eastAsia="es-ES"/>
        </w:rPr>
        <w:t>el</w:t>
      </w:r>
      <w:r w:rsidR="00BA1F0E">
        <w:rPr>
          <w:rFonts w:cs="Arial"/>
          <w:szCs w:val="22"/>
          <w:lang w:eastAsia="es-ES"/>
        </w:rPr>
        <w:t xml:space="preserve"> ahora recurrente con</w:t>
      </w:r>
      <w:r w:rsidR="00511E72">
        <w:rPr>
          <w:rFonts w:cs="Arial"/>
          <w:szCs w:val="22"/>
          <w:lang w:eastAsia="es-ES"/>
        </w:rPr>
        <w:t xml:space="preserve">fundió dos infracciones autónomas, </w:t>
      </w:r>
      <w:r w:rsidR="000F08B8">
        <w:rPr>
          <w:rFonts w:cs="Arial"/>
          <w:szCs w:val="22"/>
          <w:lang w:eastAsia="es-ES"/>
        </w:rPr>
        <w:t xml:space="preserve">las cuales son la difusión extemporánea de propaganda gubernamental y el uso indebido de recursos públicos, pues la </w:t>
      </w:r>
      <w:r w:rsidR="00D45AFA">
        <w:rPr>
          <w:rFonts w:cs="Arial"/>
          <w:szCs w:val="22"/>
          <w:lang w:eastAsia="es-ES"/>
        </w:rPr>
        <w:t xml:space="preserve">acreditación </w:t>
      </w:r>
      <w:r w:rsidR="00F1045D">
        <w:rPr>
          <w:rFonts w:cs="Arial"/>
          <w:szCs w:val="22"/>
          <w:lang w:eastAsia="es-ES"/>
        </w:rPr>
        <w:t>de la primera no implica</w:t>
      </w:r>
      <w:r w:rsidR="00142110">
        <w:rPr>
          <w:rFonts w:cs="Arial"/>
          <w:szCs w:val="22"/>
          <w:lang w:eastAsia="es-ES"/>
        </w:rPr>
        <w:t>ba</w:t>
      </w:r>
      <w:r w:rsidR="00F1045D">
        <w:rPr>
          <w:rFonts w:cs="Arial"/>
          <w:szCs w:val="22"/>
          <w:lang w:eastAsia="es-ES"/>
        </w:rPr>
        <w:t xml:space="preserve">, por sí sola la actualización de la segunda. </w:t>
      </w:r>
    </w:p>
    <w:p w14:paraId="42AC9565" w14:textId="0E8B1D6C" w:rsidR="0088633C" w:rsidRPr="00F5432C" w:rsidRDefault="00EA70D6" w:rsidP="00EA70D6">
      <w:pPr>
        <w:pStyle w:val="Prrafodelista"/>
        <w:numPr>
          <w:ilvl w:val="0"/>
          <w:numId w:val="1"/>
        </w:numPr>
        <w:tabs>
          <w:tab w:val="left" w:pos="426"/>
        </w:tabs>
        <w:spacing w:before="240" w:after="240" w:line="360" w:lineRule="auto"/>
        <w:ind w:left="0" w:hanging="426"/>
        <w:contextualSpacing w:val="0"/>
        <w:jc w:val="both"/>
        <w:rPr>
          <w:rFonts w:cs="Arial"/>
        </w:rPr>
      </w:pPr>
      <w:r>
        <w:rPr>
          <w:rFonts w:cs="Arial"/>
          <w:szCs w:val="22"/>
          <w:lang w:eastAsia="es-ES"/>
        </w:rPr>
        <w:t>Finalmente, la Sala Regional</w:t>
      </w:r>
      <w:r w:rsidR="0088633C" w:rsidRPr="00F5432C">
        <w:rPr>
          <w:rFonts w:cs="Arial"/>
        </w:rPr>
        <w:t xml:space="preserve"> estim</w:t>
      </w:r>
      <w:r w:rsidR="002E1B72">
        <w:rPr>
          <w:rFonts w:cs="Arial"/>
        </w:rPr>
        <w:t>ó</w:t>
      </w:r>
      <w:r w:rsidR="0088633C" w:rsidRPr="00F5432C">
        <w:rPr>
          <w:rFonts w:cs="Arial"/>
        </w:rPr>
        <w:t xml:space="preserve"> </w:t>
      </w:r>
      <w:r w:rsidR="0088633C" w:rsidRPr="00F5432C">
        <w:rPr>
          <w:rFonts w:cs="Arial"/>
          <w:b/>
          <w:bCs/>
        </w:rPr>
        <w:t>inoperante</w:t>
      </w:r>
      <w:r>
        <w:rPr>
          <w:rFonts w:cs="Arial"/>
          <w:b/>
          <w:bCs/>
        </w:rPr>
        <w:t xml:space="preserve"> </w:t>
      </w:r>
      <w:r w:rsidRPr="00EA70D6">
        <w:rPr>
          <w:rFonts w:cs="Arial"/>
        </w:rPr>
        <w:t>el agravio</w:t>
      </w:r>
      <w:r>
        <w:rPr>
          <w:rFonts w:cs="Arial"/>
        </w:rPr>
        <w:t xml:space="preserve"> planteado por el promovente de ampliar la vista ordenada en la sentencia originaria, </w:t>
      </w:r>
      <w:r w:rsidR="0088633C" w:rsidRPr="00F5432C">
        <w:rPr>
          <w:rFonts w:cs="Arial"/>
        </w:rPr>
        <w:t xml:space="preserve">porque </w:t>
      </w:r>
      <w:r>
        <w:rPr>
          <w:rFonts w:cs="Arial"/>
        </w:rPr>
        <w:t xml:space="preserve">dicha solicitud carecía de sustento, ya que </w:t>
      </w:r>
      <w:r w:rsidR="0088633C" w:rsidRPr="00F5432C">
        <w:rPr>
          <w:rFonts w:cs="Arial"/>
        </w:rPr>
        <w:t>subsist</w:t>
      </w:r>
      <w:r w:rsidR="002E1B72">
        <w:rPr>
          <w:rFonts w:cs="Arial"/>
        </w:rPr>
        <w:t>ió</w:t>
      </w:r>
      <w:r w:rsidR="0088633C" w:rsidRPr="00F5432C">
        <w:rPr>
          <w:rFonts w:cs="Arial"/>
        </w:rPr>
        <w:t xml:space="preserve"> la determinación de la autoridad responsable de declarar inexistentes las infracciones. De </w:t>
      </w:r>
      <w:r>
        <w:rPr>
          <w:rFonts w:cs="Arial"/>
        </w:rPr>
        <w:t>ahí que estimara que el Tribunal local</w:t>
      </w:r>
      <w:r w:rsidR="0088633C" w:rsidRPr="00F5432C">
        <w:rPr>
          <w:rFonts w:cs="Arial"/>
        </w:rPr>
        <w:t xml:space="preserve"> observó estrictamente los efectos fijados en la ejecutoria federal, ya que mantuvo la vista originalmente ordenada respecto de la difusión extemporánea.</w:t>
      </w:r>
    </w:p>
    <w:p w14:paraId="62CED998" w14:textId="6997272C" w:rsidR="001C44F9" w:rsidRPr="00EA70D6" w:rsidRDefault="0029582D" w:rsidP="00EA70D6">
      <w:pPr>
        <w:pStyle w:val="Ttulo2"/>
        <w:spacing w:before="240" w:after="240"/>
        <w:rPr>
          <w:rFonts w:ascii="Arial" w:eastAsia="Calibri" w:hAnsi="Arial" w:cs="Arial"/>
          <w:b/>
          <w:bCs/>
          <w:color w:val="auto"/>
          <w:sz w:val="24"/>
          <w:szCs w:val="20"/>
        </w:rPr>
      </w:pPr>
      <w:bookmarkStart w:id="13" w:name="_Toc235708181"/>
      <w:r>
        <w:rPr>
          <w:rFonts w:ascii="Arial" w:hAnsi="Arial" w:cs="Arial"/>
          <w:b/>
          <w:bCs/>
          <w:color w:val="000000" w:themeColor="text1"/>
          <w:sz w:val="24"/>
          <w:szCs w:val="24"/>
        </w:rPr>
        <w:t>4</w:t>
      </w:r>
      <w:r w:rsidR="0099089F">
        <w:rPr>
          <w:rFonts w:ascii="Arial" w:hAnsi="Arial" w:cs="Arial"/>
          <w:b/>
          <w:bCs/>
          <w:color w:val="000000" w:themeColor="text1"/>
          <w:sz w:val="24"/>
          <w:szCs w:val="24"/>
        </w:rPr>
        <w:t>.3</w:t>
      </w:r>
      <w:r w:rsidR="0099089F" w:rsidRPr="00EA70D6">
        <w:rPr>
          <w:rFonts w:ascii="Arial" w:hAnsi="Arial" w:cs="Arial"/>
          <w:b/>
          <w:bCs/>
          <w:color w:val="000000" w:themeColor="text1"/>
          <w:sz w:val="24"/>
          <w:szCs w:val="24"/>
        </w:rPr>
        <w:t xml:space="preserve">. </w:t>
      </w:r>
      <w:r w:rsidR="001C44F9" w:rsidRPr="00EA70D6">
        <w:rPr>
          <w:rFonts w:ascii="Arial" w:eastAsia="Calibri" w:hAnsi="Arial" w:cs="Arial"/>
          <w:b/>
          <w:bCs/>
          <w:color w:val="auto"/>
          <w:sz w:val="24"/>
          <w:szCs w:val="20"/>
        </w:rPr>
        <w:t>Agravios ante esta Sala Superior</w:t>
      </w:r>
      <w:bookmarkEnd w:id="13"/>
    </w:p>
    <w:p w14:paraId="5C68D474" w14:textId="072CEA6A" w:rsidR="00F04C5D" w:rsidRPr="000C3340" w:rsidRDefault="00F04C5D" w:rsidP="00EA70D6">
      <w:pPr>
        <w:spacing w:before="240" w:after="240" w:line="360" w:lineRule="auto"/>
        <w:jc w:val="both"/>
        <w:rPr>
          <w:rFonts w:cs="Arial"/>
          <w:b/>
          <w:bCs/>
        </w:rPr>
      </w:pPr>
      <w:r w:rsidRPr="000C3340">
        <w:rPr>
          <w:rFonts w:cs="Arial"/>
          <w:b/>
          <w:bCs/>
        </w:rPr>
        <w:t>Mutación del estándar constitucional de neutralidad objetiva por uno de intencionalidad y resultado</w:t>
      </w:r>
    </w:p>
    <w:p w14:paraId="12745E55" w14:textId="36C8E38C" w:rsidR="00F04C5D" w:rsidRPr="00E073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07327">
        <w:rPr>
          <w:rFonts w:cs="Arial"/>
          <w:szCs w:val="22"/>
          <w:lang w:eastAsia="es-ES"/>
        </w:rPr>
        <w:t xml:space="preserve">El recurrente sostiene que la sentencia impugnada convalidó el criterio del Tribunal Electoral del Estado de México conforme al cual la infracción de uso indebido de recursos públicos exige, además de la acreditación objetiva del empleo de personal y bienes municipales fuera del marco legal, la demostración adicional de una </w:t>
      </w:r>
      <w:r w:rsidRPr="000C3340">
        <w:rPr>
          <w:rFonts w:cs="Arial"/>
          <w:i/>
          <w:iCs/>
          <w:szCs w:val="22"/>
          <w:lang w:eastAsia="es-ES"/>
        </w:rPr>
        <w:t>estrategia deliberada</w:t>
      </w:r>
      <w:r w:rsidRPr="00E07327">
        <w:rPr>
          <w:rFonts w:cs="Arial"/>
          <w:szCs w:val="22"/>
          <w:lang w:eastAsia="es-ES"/>
        </w:rPr>
        <w:t xml:space="preserve"> y de una </w:t>
      </w:r>
      <w:r w:rsidRPr="000C3340">
        <w:rPr>
          <w:rFonts w:cs="Arial"/>
          <w:i/>
          <w:iCs/>
          <w:szCs w:val="22"/>
          <w:lang w:eastAsia="es-ES"/>
        </w:rPr>
        <w:t>finalidad específica de obtención de respaldo ciudadano o ventaja político-electoral</w:t>
      </w:r>
      <w:r w:rsidRPr="00E07327">
        <w:rPr>
          <w:rFonts w:cs="Arial"/>
          <w:szCs w:val="22"/>
          <w:lang w:eastAsia="es-ES"/>
        </w:rPr>
        <w:t>.</w:t>
      </w:r>
    </w:p>
    <w:p w14:paraId="15538D71" w14:textId="000B3769" w:rsidR="00F04C5D" w:rsidRPr="000C3340"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07327">
        <w:rPr>
          <w:rFonts w:cs="Arial"/>
          <w:szCs w:val="22"/>
          <w:lang w:eastAsia="es-ES"/>
        </w:rPr>
        <w:lastRenderedPageBreak/>
        <w:t xml:space="preserve">Agrega que el Tribunal local </w:t>
      </w:r>
      <w:r w:rsidRPr="000C3340">
        <w:rPr>
          <w:rFonts w:cs="Arial"/>
          <w:szCs w:val="22"/>
          <w:lang w:eastAsia="es-ES"/>
        </w:rPr>
        <w:t xml:space="preserve">sostuvo que la permanencia de la propaganda por once días fuera del plazo legal solo denota una falta de diligencia en el retiro oportuno de la propaganda más no una estrategia deliberada encaminada a obtener una ventaja político electoral, y que la acreditación de la vulneración a los principios de imparcialidad, neutralidad y equidad exige constatar que la conducta influyó en las preferencias electorales de la ciudadanía o generó una ventaja indebida. </w:t>
      </w:r>
    </w:p>
    <w:p w14:paraId="4165E21F" w14:textId="10D1ED72" w:rsidR="00F04C5D" w:rsidRPr="00E073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07327">
        <w:rPr>
          <w:rFonts w:cs="Arial"/>
          <w:szCs w:val="22"/>
          <w:lang w:eastAsia="es-ES"/>
        </w:rPr>
        <w:t xml:space="preserve">Afirma el </w:t>
      </w:r>
      <w:r w:rsidR="000C3340">
        <w:rPr>
          <w:rFonts w:cs="Arial"/>
          <w:szCs w:val="22"/>
          <w:lang w:eastAsia="es-ES"/>
        </w:rPr>
        <w:t xml:space="preserve">recurrente </w:t>
      </w:r>
      <w:r w:rsidRPr="00E07327">
        <w:rPr>
          <w:rFonts w:cs="Arial"/>
          <w:szCs w:val="22"/>
          <w:lang w:eastAsia="es-ES"/>
        </w:rPr>
        <w:t>que lo anterior es incompatible con</w:t>
      </w:r>
      <w:r w:rsidR="000C3340">
        <w:rPr>
          <w:rFonts w:cs="Arial"/>
          <w:szCs w:val="22"/>
          <w:lang w:eastAsia="es-ES"/>
        </w:rPr>
        <w:t xml:space="preserve"> lo dispuesto en</w:t>
      </w:r>
      <w:r w:rsidRPr="00E07327">
        <w:rPr>
          <w:rFonts w:cs="Arial"/>
          <w:szCs w:val="22"/>
          <w:lang w:eastAsia="es-ES"/>
        </w:rPr>
        <w:t xml:space="preserve"> el artículo 134, párrafos séptimo y octavo,</w:t>
      </w:r>
      <w:r w:rsidR="000C3340">
        <w:rPr>
          <w:rFonts w:cs="Arial"/>
          <w:szCs w:val="22"/>
          <w:lang w:eastAsia="es-ES"/>
        </w:rPr>
        <w:t xml:space="preserve"> de la</w:t>
      </w:r>
      <w:r w:rsidRPr="00E07327">
        <w:rPr>
          <w:rFonts w:cs="Arial"/>
          <w:szCs w:val="22"/>
          <w:lang w:eastAsia="es-ES"/>
        </w:rPr>
        <w:t xml:space="preserve"> </w:t>
      </w:r>
      <w:r w:rsidR="000C3340">
        <w:rPr>
          <w:rFonts w:cs="Arial"/>
          <w:szCs w:val="22"/>
          <w:lang w:eastAsia="es-ES"/>
        </w:rPr>
        <w:t>C</w:t>
      </w:r>
      <w:r w:rsidRPr="00E07327">
        <w:rPr>
          <w:rFonts w:cs="Arial"/>
          <w:szCs w:val="22"/>
          <w:lang w:eastAsia="es-ES"/>
        </w:rPr>
        <w:t>onstituci</w:t>
      </w:r>
      <w:r w:rsidR="000C3340">
        <w:rPr>
          <w:rFonts w:cs="Arial"/>
          <w:szCs w:val="22"/>
          <w:lang w:eastAsia="es-ES"/>
        </w:rPr>
        <w:t>ón General</w:t>
      </w:r>
      <w:r w:rsidRPr="00E07327">
        <w:rPr>
          <w:rFonts w:cs="Arial"/>
          <w:szCs w:val="22"/>
          <w:lang w:eastAsia="es-ES"/>
        </w:rPr>
        <w:t xml:space="preserve">, porque ninguno de esos párrafos condiciona la actualización de la prohibición a la prueba de un elemento subjetivo —dolo, estrategia o intención— </w:t>
      </w:r>
      <w:r w:rsidR="000C3340">
        <w:rPr>
          <w:rFonts w:cs="Arial"/>
          <w:szCs w:val="22"/>
          <w:lang w:eastAsia="es-ES"/>
        </w:rPr>
        <w:t xml:space="preserve">o bien, </w:t>
      </w:r>
      <w:r w:rsidRPr="00E07327">
        <w:rPr>
          <w:rFonts w:cs="Arial"/>
          <w:szCs w:val="22"/>
          <w:lang w:eastAsia="es-ES"/>
        </w:rPr>
        <w:t>a la demostración de un resultado electoral efectivamente producido.</w:t>
      </w:r>
    </w:p>
    <w:p w14:paraId="7CA09055" w14:textId="68932AFD" w:rsidR="00F04C5D" w:rsidRPr="00E073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07327">
        <w:rPr>
          <w:rFonts w:cs="Arial"/>
          <w:szCs w:val="22"/>
          <w:lang w:eastAsia="es-ES"/>
        </w:rPr>
        <w:t xml:space="preserve">Aduce que, al exigir la </w:t>
      </w:r>
      <w:r w:rsidR="000C3340">
        <w:rPr>
          <w:rFonts w:cs="Arial"/>
          <w:szCs w:val="22"/>
          <w:lang w:eastAsia="es-ES"/>
        </w:rPr>
        <w:t>existencia de</w:t>
      </w:r>
      <w:r w:rsidRPr="00E07327">
        <w:rPr>
          <w:rFonts w:cs="Arial"/>
          <w:szCs w:val="22"/>
          <w:lang w:eastAsia="es-ES"/>
        </w:rPr>
        <w:t xml:space="preserve"> una </w:t>
      </w:r>
      <w:r w:rsidRPr="000C3340">
        <w:rPr>
          <w:rFonts w:cs="Arial"/>
          <w:szCs w:val="22"/>
          <w:lang w:eastAsia="es-ES"/>
        </w:rPr>
        <w:t>estrategia deliberada</w:t>
      </w:r>
      <w:r w:rsidRPr="00E07327">
        <w:rPr>
          <w:rFonts w:cs="Arial"/>
          <w:szCs w:val="22"/>
          <w:lang w:eastAsia="es-ES"/>
        </w:rPr>
        <w:t xml:space="preserve"> y de una incidencia real en las preferencias ciudadanas, la sentencia impugnada sustituyó el estándar de aptitud objetiva y riesgo por un estándar de resultado y dolo. Esta sustitución es, en sí misma, una interpretación directa del artículo 134 constitucional que modific</w:t>
      </w:r>
      <w:r w:rsidR="002E1B72">
        <w:rPr>
          <w:rFonts w:cs="Arial"/>
          <w:szCs w:val="22"/>
          <w:lang w:eastAsia="es-ES"/>
        </w:rPr>
        <w:t>ó</w:t>
      </w:r>
      <w:r w:rsidRPr="00E07327">
        <w:rPr>
          <w:rFonts w:cs="Arial"/>
          <w:szCs w:val="22"/>
          <w:lang w:eastAsia="es-ES"/>
        </w:rPr>
        <w:t xml:space="preserve"> su alcance normativo, al introducir por vía jurisdiccional un requisito de procedibilidad —la prueba de la intención— que la norma no contempla. </w:t>
      </w:r>
    </w:p>
    <w:p w14:paraId="36CDFB40" w14:textId="1DCCA068" w:rsidR="00F04C5D" w:rsidRPr="00E073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07327">
        <w:rPr>
          <w:rFonts w:cs="Arial"/>
          <w:szCs w:val="22"/>
          <w:lang w:eastAsia="es-ES"/>
        </w:rPr>
        <w:t xml:space="preserve">Asimismo, considera aplicable el precedente SUP-PSC-29/2026, porque en ese asunto se acreditó el empleo continuo y activo del personal operativo como sí se acreditó en el caso de la Coordinación de Alumbrado Público que mantuvo la propaganda vigente más allá del plazo legal. </w:t>
      </w:r>
    </w:p>
    <w:p w14:paraId="172C8F28" w14:textId="77777777" w:rsidR="00F04C5D" w:rsidRPr="005F4193"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b/>
          <w:bCs/>
          <w:szCs w:val="24"/>
        </w:rPr>
      </w:pPr>
      <w:r w:rsidRPr="00E07327">
        <w:rPr>
          <w:rFonts w:cs="Arial"/>
          <w:szCs w:val="22"/>
          <w:lang w:eastAsia="es-ES"/>
        </w:rPr>
        <w:t>Además, en el presente caso se acreditó que la propaganda contenía expresiones de filiación partidista que trascienden la función informativa.</w:t>
      </w:r>
    </w:p>
    <w:p w14:paraId="237CC142" w14:textId="4399B19D" w:rsidR="00F04C5D" w:rsidRPr="00E073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b/>
          <w:bCs/>
          <w:szCs w:val="24"/>
        </w:rPr>
      </w:pPr>
      <w:r w:rsidRPr="00E07327">
        <w:rPr>
          <w:rFonts w:cs="Arial"/>
          <w:szCs w:val="22"/>
          <w:lang w:eastAsia="es-ES"/>
        </w:rPr>
        <w:t xml:space="preserve">Por último, el precedente no sostiene que la utilización de recursos públicos de una conducta declarada ilegal sea insuficiente para configurar la infracción del artículo 134, porque exige un análisis diferenciado de cada infracción </w:t>
      </w:r>
      <w:r w:rsidR="000C3340">
        <w:rPr>
          <w:rFonts w:cs="Arial"/>
          <w:szCs w:val="22"/>
          <w:lang w:eastAsia="es-ES"/>
        </w:rPr>
        <w:t>y,</w:t>
      </w:r>
      <w:r w:rsidRPr="00E07327">
        <w:rPr>
          <w:rFonts w:cs="Arial"/>
          <w:szCs w:val="22"/>
          <w:lang w:eastAsia="es-ES"/>
        </w:rPr>
        <w:t xml:space="preserve"> en </w:t>
      </w:r>
      <w:r w:rsidR="000C3340">
        <w:rPr>
          <w:rFonts w:cs="Arial"/>
          <w:szCs w:val="22"/>
          <w:lang w:eastAsia="es-ES"/>
        </w:rPr>
        <w:t xml:space="preserve">el </w:t>
      </w:r>
      <w:r w:rsidRPr="00E07327">
        <w:rPr>
          <w:rFonts w:cs="Arial"/>
          <w:szCs w:val="22"/>
          <w:lang w:eastAsia="es-ES"/>
        </w:rPr>
        <w:t>caso concreto</w:t>
      </w:r>
      <w:r w:rsidR="000C3340">
        <w:rPr>
          <w:rFonts w:cs="Arial"/>
          <w:szCs w:val="22"/>
          <w:lang w:eastAsia="es-ES"/>
        </w:rPr>
        <w:t>,</w:t>
      </w:r>
      <w:r w:rsidRPr="00E07327">
        <w:rPr>
          <w:rFonts w:cs="Arial"/>
          <w:szCs w:val="22"/>
          <w:lang w:eastAsia="es-ES"/>
        </w:rPr>
        <w:t xml:space="preserve"> la responsable redujo el análisis del uso indebido de recursos a la pregunta sobre la intención, sin ponderar que fue el personal del municipio el que sostuvo la propaganda </w:t>
      </w:r>
      <w:r w:rsidR="000C3340">
        <w:rPr>
          <w:rFonts w:cs="Arial"/>
          <w:szCs w:val="22"/>
          <w:lang w:eastAsia="es-ES"/>
        </w:rPr>
        <w:t>estuvo expuesta fuera</w:t>
      </w:r>
      <w:r w:rsidRPr="00E07327">
        <w:rPr>
          <w:rFonts w:cs="Arial"/>
          <w:szCs w:val="22"/>
          <w:lang w:eastAsia="es-ES"/>
        </w:rPr>
        <w:t xml:space="preserve"> del plazo legal.</w:t>
      </w:r>
      <w:r>
        <w:rPr>
          <w:rFonts w:ascii="Bookman Old Style" w:hAnsi="Bookman Old Style"/>
        </w:rPr>
        <w:t xml:space="preserve"> </w:t>
      </w:r>
    </w:p>
    <w:p w14:paraId="040EBEA6" w14:textId="24013A89" w:rsidR="00F04C5D" w:rsidRPr="000C3340" w:rsidRDefault="00F04C5D" w:rsidP="00F04C5D">
      <w:pPr>
        <w:spacing w:after="160" w:line="360" w:lineRule="auto"/>
        <w:jc w:val="both"/>
        <w:rPr>
          <w:rFonts w:cs="Arial"/>
          <w:b/>
          <w:bCs/>
          <w:szCs w:val="24"/>
        </w:rPr>
      </w:pPr>
      <w:r w:rsidRPr="000C3340">
        <w:rPr>
          <w:rFonts w:cs="Arial"/>
          <w:b/>
          <w:bCs/>
          <w:szCs w:val="24"/>
        </w:rPr>
        <w:lastRenderedPageBreak/>
        <w:t>Inaplicación implícita del principio de supremacía constitucional</w:t>
      </w:r>
    </w:p>
    <w:p w14:paraId="44B48639" w14:textId="2D3A1DFD" w:rsidR="00F04C5D" w:rsidRPr="000C3340"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i/>
          <w:iCs/>
          <w:szCs w:val="22"/>
          <w:lang w:eastAsia="es-ES"/>
        </w:rPr>
      </w:pPr>
      <w:r w:rsidRPr="005F4193">
        <w:rPr>
          <w:rFonts w:cs="Arial"/>
          <w:szCs w:val="22"/>
          <w:lang w:eastAsia="es-ES"/>
        </w:rPr>
        <w:t>El recurrente aduce que una vez concluido el plazo establecido en el artículo 242, párrafo 5, de la L</w:t>
      </w:r>
      <w:r w:rsidR="000C3340">
        <w:rPr>
          <w:rFonts w:cs="Arial"/>
          <w:szCs w:val="22"/>
          <w:lang w:eastAsia="es-ES"/>
        </w:rPr>
        <w:t>ey General</w:t>
      </w:r>
      <w:r w:rsidRPr="005F4193">
        <w:rPr>
          <w:rFonts w:cs="Arial"/>
          <w:szCs w:val="22"/>
          <w:lang w:eastAsia="es-ES"/>
        </w:rPr>
        <w:t xml:space="preserve">, para la difusión del informe de labores, la conducta queda sujeta a la prohibición general del artículo 134, sin que exista disposición legal ni constitucional que prevea una categoría como </w:t>
      </w:r>
      <w:r w:rsidRPr="000C3340">
        <w:rPr>
          <w:rFonts w:cs="Arial"/>
          <w:szCs w:val="22"/>
          <w:lang w:eastAsia="es-ES"/>
        </w:rPr>
        <w:t>propaganda extemporánea por negligencia</w:t>
      </w:r>
      <w:r w:rsidR="000C3340">
        <w:rPr>
          <w:rFonts w:cs="Arial"/>
          <w:i/>
          <w:iCs/>
          <w:szCs w:val="22"/>
          <w:lang w:eastAsia="es-ES"/>
        </w:rPr>
        <w:t>.</w:t>
      </w:r>
    </w:p>
    <w:p w14:paraId="5C8E2115" w14:textId="48336DC9" w:rsidR="00F04C5D" w:rsidRPr="005F4193" w:rsidRDefault="000C3340"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E</w:t>
      </w:r>
      <w:r w:rsidR="00F04C5D" w:rsidRPr="005F4193">
        <w:rPr>
          <w:rFonts w:cs="Arial"/>
          <w:szCs w:val="22"/>
          <w:lang w:eastAsia="es-ES"/>
        </w:rPr>
        <w:t>l recurrente</w:t>
      </w:r>
      <w:r>
        <w:rPr>
          <w:rFonts w:cs="Arial"/>
          <w:szCs w:val="22"/>
          <w:lang w:eastAsia="es-ES"/>
        </w:rPr>
        <w:t xml:space="preserve"> agrega</w:t>
      </w:r>
      <w:r w:rsidR="00F04C5D" w:rsidRPr="005F4193">
        <w:rPr>
          <w:rFonts w:cs="Arial"/>
          <w:szCs w:val="22"/>
          <w:lang w:eastAsia="es-ES"/>
        </w:rPr>
        <w:t xml:space="preserve"> que, al razonar que la sola permanencia de la propaganda fuera del plazo legal </w:t>
      </w:r>
      <w:r w:rsidR="00F04C5D" w:rsidRPr="000C3340">
        <w:rPr>
          <w:rFonts w:cs="Arial"/>
          <w:szCs w:val="22"/>
          <w:lang w:eastAsia="es-ES"/>
        </w:rPr>
        <w:t>no conduce automáticamente</w:t>
      </w:r>
      <w:r>
        <w:rPr>
          <w:rFonts w:cs="Arial"/>
          <w:szCs w:val="22"/>
          <w:lang w:eastAsia="es-ES"/>
        </w:rPr>
        <w:t xml:space="preserve"> </w:t>
      </w:r>
      <w:r w:rsidR="00F04C5D" w:rsidRPr="005F4193">
        <w:rPr>
          <w:rFonts w:cs="Arial"/>
          <w:szCs w:val="22"/>
          <w:lang w:eastAsia="es-ES"/>
        </w:rPr>
        <w:t>a la actualización de la infracción, y que requiere además la prueba de una finalidad electoral específica, la sentencia impugnada inaplica, en los hechos, la prohibición absoluta contenida en el artículo 134 constitucional para el período en que la propaganda ya no está amparada por excepción legal alguna.</w:t>
      </w:r>
    </w:p>
    <w:p w14:paraId="5397FD71" w14:textId="77777777" w:rsidR="00F04C5D" w:rsidRPr="005F4193"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5F4193">
        <w:rPr>
          <w:rFonts w:cs="Arial"/>
          <w:szCs w:val="22"/>
          <w:lang w:eastAsia="es-ES"/>
        </w:rPr>
        <w:t>Sostiene que la responsable creó, por vía interpretativa, una zona de inmunidad constitucional para el uso de recursos públicos, condicionada a que la autoridad municipal simplemente omita retirar oportunamente la propaganda ilegal y alegue después que se trató de un descuido administrativo, no de una estrategia, lo que es inadmisible a la luz del principio de supremacía constitucional conforme con el artículo 133 de la Constitución Federal.</w:t>
      </w:r>
    </w:p>
    <w:p w14:paraId="08E2B797" w14:textId="1FB502CB" w:rsidR="00F04C5D" w:rsidRPr="005F4193"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5F4193">
        <w:rPr>
          <w:rFonts w:cs="Arial"/>
          <w:szCs w:val="22"/>
          <w:lang w:eastAsia="es-ES"/>
        </w:rPr>
        <w:t xml:space="preserve">Si la propaganda ya no está amparada por la excepción del artículo 242, párrafo 5, de la Ley General, entonces la totalidad de la conducta desplegada durante el período excedente </w:t>
      </w:r>
      <w:r w:rsidR="00862E3C">
        <w:rPr>
          <w:rFonts w:cs="Arial"/>
          <w:szCs w:val="22"/>
          <w:lang w:eastAsia="es-ES"/>
        </w:rPr>
        <w:t>─</w:t>
      </w:r>
      <w:r w:rsidRPr="005F4193">
        <w:rPr>
          <w:rFonts w:cs="Arial"/>
          <w:szCs w:val="22"/>
          <w:lang w:eastAsia="es-ES"/>
        </w:rPr>
        <w:t>incluida la intervención de personal y bienes del Ayuntamiento para mantenerla vigente</w:t>
      </w:r>
      <w:r w:rsidR="00862E3C">
        <w:rPr>
          <w:rFonts w:cs="Arial"/>
          <w:szCs w:val="22"/>
          <w:lang w:eastAsia="es-ES"/>
        </w:rPr>
        <w:t>─</w:t>
      </w:r>
      <w:r w:rsidRPr="005F4193">
        <w:rPr>
          <w:rFonts w:cs="Arial"/>
          <w:szCs w:val="22"/>
          <w:lang w:eastAsia="es-ES"/>
        </w:rPr>
        <w:t xml:space="preserve"> debe analizarse bajo la prohibición general y objetiva del artículo 134 constitucional, sin que la etiqueta de negligencia administrativa pueda operar como eximente de responsabilidad constitucional.</w:t>
      </w:r>
    </w:p>
    <w:p w14:paraId="7CA9BFAB" w14:textId="77777777" w:rsidR="00F04C5D" w:rsidRPr="00862E3C" w:rsidRDefault="00F04C5D" w:rsidP="00F04C5D">
      <w:pPr>
        <w:autoSpaceDE w:val="0"/>
        <w:autoSpaceDN w:val="0"/>
        <w:adjustRightInd w:val="0"/>
        <w:spacing w:after="160" w:line="360" w:lineRule="auto"/>
        <w:jc w:val="both"/>
        <w:rPr>
          <w:rFonts w:cs="Arial"/>
          <w:b/>
          <w:bCs/>
        </w:rPr>
      </w:pPr>
      <w:r w:rsidRPr="00862E3C">
        <w:rPr>
          <w:rFonts w:cs="Arial"/>
          <w:b/>
          <w:bCs/>
          <w:szCs w:val="24"/>
        </w:rPr>
        <w:t>Violación al derecho a la tutela judicial efectiva</w:t>
      </w:r>
    </w:p>
    <w:p w14:paraId="172AFC95" w14:textId="2A510419" w:rsidR="00F04C5D" w:rsidRPr="006D0A18" w:rsidRDefault="002E1B72"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Manifiesta el recurrente que l</w:t>
      </w:r>
      <w:r w:rsidR="00F04C5D" w:rsidRPr="006D0A18">
        <w:rPr>
          <w:rFonts w:cs="Arial"/>
          <w:szCs w:val="22"/>
          <w:lang w:eastAsia="es-ES"/>
        </w:rPr>
        <w:t xml:space="preserve">a ejecutoria </w:t>
      </w:r>
      <w:r w:rsidR="005349E8" w:rsidRPr="00B117B9">
        <w:rPr>
          <w:b/>
          <w:color w:val="FFFFFF" w:themeColor="background1"/>
          <w:szCs w:val="26"/>
          <w:shd w:val="clear" w:color="auto" w:fill="000000" w:themeFill="text1"/>
        </w:rPr>
        <w:t>DATO PROTEGIDO</w:t>
      </w:r>
      <w:r w:rsidR="00F04C5D" w:rsidRPr="006D0A18">
        <w:rPr>
          <w:rFonts w:cs="Arial"/>
          <w:szCs w:val="22"/>
          <w:lang w:eastAsia="es-ES"/>
        </w:rPr>
        <w:t xml:space="preserve"> ordenó dictar una nueva resolución en la que se realizara un nuevo análisis contextual de los hechos, argumentos de las parte</w:t>
      </w:r>
      <w:r w:rsidR="00862E3C">
        <w:rPr>
          <w:rFonts w:cs="Arial"/>
          <w:szCs w:val="22"/>
          <w:lang w:eastAsia="es-ES"/>
        </w:rPr>
        <w:t>s</w:t>
      </w:r>
      <w:r w:rsidR="00F04C5D" w:rsidRPr="006D0A18">
        <w:rPr>
          <w:rFonts w:cs="Arial"/>
          <w:szCs w:val="22"/>
          <w:lang w:eastAsia="es-ES"/>
        </w:rPr>
        <w:t xml:space="preserve"> y pruebas, para determinar si la </w:t>
      </w:r>
      <w:r w:rsidR="00F04C5D" w:rsidRPr="006D0A18">
        <w:rPr>
          <w:rFonts w:cs="Arial"/>
          <w:szCs w:val="22"/>
          <w:lang w:eastAsia="es-ES"/>
        </w:rPr>
        <w:lastRenderedPageBreak/>
        <w:t>difusión extemporánea del informe de gobierno municipal actualizaba el uso indebido de recursos públicos y la vulneración a los principios de imparcialidad, neutralidad y equidad.</w:t>
      </w:r>
    </w:p>
    <w:p w14:paraId="6728A489" w14:textId="7C54559E" w:rsidR="00F04C5D" w:rsidRPr="006D0A18"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6D0A18">
        <w:rPr>
          <w:rFonts w:cs="Arial"/>
          <w:szCs w:val="22"/>
          <w:lang w:eastAsia="es-ES"/>
        </w:rPr>
        <w:t>Sin embargo, sostiene que la Sala Regional convalidó el nuevo pronunciamiento de la autoridad local en el que incorporó un apartado específico de cumplimiento y desarrolló nuevamente el marco jurídico aplicable. Sin embargo, la propia sentencia impugnada reconoció que la conclusión alcanzada por la autoridad local en el nuevo pronunciamiento es idéntica a la que había sido revocada al declarar la inexistencia del uso indebido de recursos públicos y de la vulneración a los principios constitucionales, sustentada en el mismo argumento de la ausencia de estrategia deliberada. En consecuencia, considera que el cumplimiento debe ser sustancial y no una apariencia de acatamiento.</w:t>
      </w:r>
    </w:p>
    <w:p w14:paraId="1D3D15C1" w14:textId="6E21A950" w:rsidR="00F04C5D" w:rsidRPr="00C26D22" w:rsidRDefault="0029582D" w:rsidP="00F04C5D">
      <w:pPr>
        <w:pStyle w:val="Ttulo2"/>
        <w:spacing w:before="240" w:after="240" w:line="360" w:lineRule="auto"/>
        <w:rPr>
          <w:rFonts w:ascii="Arial" w:hAnsi="Arial" w:cs="Arial"/>
          <w:b/>
          <w:bCs/>
          <w:color w:val="000000" w:themeColor="text1"/>
          <w:sz w:val="24"/>
          <w:szCs w:val="24"/>
        </w:rPr>
      </w:pPr>
      <w:bookmarkStart w:id="14" w:name="_Toc235708182"/>
      <w:r>
        <w:rPr>
          <w:rFonts w:ascii="Arial" w:hAnsi="Arial" w:cs="Arial"/>
          <w:b/>
          <w:bCs/>
          <w:color w:val="000000" w:themeColor="text1"/>
          <w:sz w:val="24"/>
          <w:szCs w:val="24"/>
        </w:rPr>
        <w:t>4</w:t>
      </w:r>
      <w:r w:rsidR="00F04C5D" w:rsidRPr="00C26D22">
        <w:rPr>
          <w:rFonts w:ascii="Arial" w:hAnsi="Arial" w:cs="Arial"/>
          <w:b/>
          <w:bCs/>
          <w:color w:val="000000" w:themeColor="text1"/>
          <w:sz w:val="24"/>
          <w:szCs w:val="24"/>
        </w:rPr>
        <w:t>.4. Razones que sustentan la decisión de esta Sala Superior</w:t>
      </w:r>
      <w:bookmarkEnd w:id="14"/>
    </w:p>
    <w:p w14:paraId="4B785BDD" w14:textId="1ADCACE7" w:rsidR="00F04C5D" w:rsidRPr="00C26D22"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4"/>
          <w:lang w:eastAsia="es-ES"/>
        </w:rPr>
      </w:pPr>
      <w:r w:rsidRPr="00C26D22">
        <w:rPr>
          <w:rFonts w:cs="Arial"/>
          <w:szCs w:val="24"/>
          <w:lang w:eastAsia="es-ES"/>
        </w:rPr>
        <w:t xml:space="preserve">Como se anticipó, el recurso de reconsideración es improcedente porque no se actualiza el requisito especial de procedencia, al no advertirse que subsista una cuestión de constitucionalidad o convencionalidad que amerite la revisión extraordinaria de la sentencia impugnada. </w:t>
      </w:r>
    </w:p>
    <w:p w14:paraId="63690373" w14:textId="77777777" w:rsidR="00F04C5D" w:rsidRPr="00C26D22"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4"/>
          <w:lang w:eastAsia="es-ES"/>
        </w:rPr>
      </w:pPr>
      <w:r w:rsidRPr="00C26D22">
        <w:rPr>
          <w:rFonts w:cs="Arial"/>
          <w:szCs w:val="24"/>
        </w:rPr>
        <w:t>Tampoco se considera actualizada alguna de las hipótesis adicionales previstas en los criterios jurisprudenciales de este órgano jurisdiccional que fueron previamente enunciadas.</w:t>
      </w:r>
    </w:p>
    <w:p w14:paraId="4EB64EA2" w14:textId="688ED6FD" w:rsidR="00F04C5D" w:rsidRPr="00E63302"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4"/>
          <w:lang w:eastAsia="es-ES"/>
        </w:rPr>
      </w:pPr>
      <w:bookmarkStart w:id="15" w:name="_Toc231389705"/>
      <w:bookmarkEnd w:id="15"/>
      <w:r w:rsidRPr="003D6EF6">
        <w:rPr>
          <w:rFonts w:cs="Arial"/>
          <w:szCs w:val="22"/>
          <w:lang w:eastAsia="es-ES"/>
        </w:rPr>
        <w:t xml:space="preserve">Del análisis de la </w:t>
      </w:r>
      <w:r w:rsidRPr="00E63302">
        <w:rPr>
          <w:rFonts w:cs="Arial"/>
          <w:szCs w:val="24"/>
          <w:lang w:eastAsia="es-ES"/>
        </w:rPr>
        <w:t xml:space="preserve">resolución controvertida se observa que la Sala Regional se limitó a revisar cuestiones de estricta legalidad vinculadas con los efectos ordenados en la diversa sentencia </w:t>
      </w:r>
      <w:r w:rsidR="00862E3C">
        <w:rPr>
          <w:rFonts w:cs="Arial"/>
          <w:szCs w:val="24"/>
          <w:lang w:eastAsia="es-ES"/>
        </w:rPr>
        <w:t xml:space="preserve">dictada en el juicio </w:t>
      </w:r>
      <w:r w:rsidR="005349E8" w:rsidRPr="00B117B9">
        <w:rPr>
          <w:b/>
          <w:color w:val="FFFFFF" w:themeColor="background1"/>
          <w:szCs w:val="26"/>
          <w:shd w:val="clear" w:color="auto" w:fill="000000" w:themeFill="text1"/>
        </w:rPr>
        <w:t>DATO PROTEGIDO</w:t>
      </w:r>
      <w:r w:rsidR="00862E3C">
        <w:rPr>
          <w:rFonts w:cs="Arial"/>
          <w:color w:val="000000" w:themeColor="text1"/>
          <w:szCs w:val="24"/>
        </w:rPr>
        <w:t>, por la cual o</w:t>
      </w:r>
      <w:r w:rsidRPr="00E63302">
        <w:rPr>
          <w:rFonts w:cs="Arial"/>
          <w:szCs w:val="24"/>
        </w:rPr>
        <w:t>rdenó al Tribunal local dictar una nueva resolución en la que analizara el contexto de los hechos denunciados y acreditados, los argumentos de las partes y la totalidad de las pruebas del expediente, para que determinara si, al haberse actualizado la difusión extemporánea del informe de gobierno municipal, las circunstancias y el período excedente de esa difusión pudieran constituir elementos relevantes para la acreditación o no del uso indebido de recursos públicos y de la vulneración a los principios de imparcialidad, neutralidad y equidad.</w:t>
      </w:r>
    </w:p>
    <w:p w14:paraId="42F3805B" w14:textId="3CC75357" w:rsidR="00F04C5D" w:rsidRPr="004A41A2" w:rsidRDefault="00493B59"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lastRenderedPageBreak/>
        <w:t>Por lo anterior,</w:t>
      </w:r>
      <w:r w:rsidR="00F04C5D" w:rsidRPr="006A69C6">
        <w:rPr>
          <w:rFonts w:cs="Arial"/>
          <w:szCs w:val="22"/>
          <w:lang w:eastAsia="es-ES"/>
        </w:rPr>
        <w:t xml:space="preserve"> la Sala Toluca confirmó en lo que fue materia de impugnación la sentencia del Tribunal local, al advertir que los agravios expuestos por la parte actora no cuestionaron frontalmente las consideraciones del Tribunal local </w:t>
      </w:r>
      <w:r w:rsidR="00F04C5D" w:rsidRPr="004A41A2">
        <w:rPr>
          <w:rFonts w:cs="Arial"/>
          <w:szCs w:val="22"/>
          <w:lang w:eastAsia="es-ES"/>
        </w:rPr>
        <w:t xml:space="preserve">con motivo del acatamiento a la diversa sentencia </w:t>
      </w:r>
      <w:r w:rsidR="005349E8" w:rsidRPr="00B117B9">
        <w:rPr>
          <w:b/>
          <w:color w:val="FFFFFF" w:themeColor="background1"/>
          <w:szCs w:val="26"/>
          <w:shd w:val="clear" w:color="auto" w:fill="000000" w:themeFill="text1"/>
        </w:rPr>
        <w:t>DATO PROTEGIDO</w:t>
      </w:r>
      <w:r w:rsidR="00F04C5D">
        <w:rPr>
          <w:rFonts w:cs="Arial"/>
          <w:szCs w:val="22"/>
          <w:lang w:eastAsia="es-ES"/>
        </w:rPr>
        <w:t>.</w:t>
      </w:r>
    </w:p>
    <w:p w14:paraId="1290054B" w14:textId="5AA48FF5" w:rsidR="00F04C5D" w:rsidRPr="000717A2"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8D4FBC">
        <w:rPr>
          <w:rFonts w:cs="Arial"/>
          <w:szCs w:val="22"/>
          <w:lang w:eastAsia="es-ES"/>
        </w:rPr>
        <w:t>En ese sentido, a consideración de este órgano jurisdiccional, la Sala responsable únicamente analizó si fue correcta la decisión del Tribunal local de declarar inexistentes las dos infracciones referidas</w:t>
      </w:r>
      <w:r>
        <w:rPr>
          <w:rFonts w:cs="Arial"/>
          <w:szCs w:val="22"/>
          <w:lang w:eastAsia="es-ES"/>
        </w:rPr>
        <w:t>,</w:t>
      </w:r>
      <w:r w:rsidRPr="000717A2">
        <w:rPr>
          <w:rFonts w:cs="Arial"/>
          <w:color w:val="000000" w:themeColor="text1"/>
          <w:szCs w:val="24"/>
        </w:rPr>
        <w:t xml:space="preserve"> </w:t>
      </w:r>
      <w:r w:rsidRPr="000717A2">
        <w:rPr>
          <w:rFonts w:cs="Arial"/>
          <w:szCs w:val="22"/>
          <w:lang w:eastAsia="es-ES"/>
        </w:rPr>
        <w:t>sin realizar algún ejercicio de control de constitucionalidad o convencionalidad</w:t>
      </w:r>
      <w:r w:rsidR="00862E3C">
        <w:rPr>
          <w:rFonts w:cs="Arial"/>
          <w:szCs w:val="22"/>
          <w:lang w:eastAsia="es-ES"/>
        </w:rPr>
        <w:t xml:space="preserve">; tampoco </w:t>
      </w:r>
      <w:r w:rsidRPr="000717A2">
        <w:rPr>
          <w:rFonts w:cs="Arial"/>
          <w:szCs w:val="22"/>
          <w:lang w:eastAsia="es-ES"/>
        </w:rPr>
        <w:t>interpret</w:t>
      </w:r>
      <w:r w:rsidR="00862E3C">
        <w:rPr>
          <w:rFonts w:cs="Arial"/>
          <w:szCs w:val="22"/>
          <w:lang w:eastAsia="es-ES"/>
        </w:rPr>
        <w:t>ó</w:t>
      </w:r>
      <w:r w:rsidRPr="000717A2">
        <w:rPr>
          <w:rFonts w:cs="Arial"/>
          <w:szCs w:val="22"/>
          <w:lang w:eastAsia="es-ES"/>
        </w:rPr>
        <w:t xml:space="preserve"> directamente precepto constitucional alguno</w:t>
      </w:r>
      <w:r w:rsidR="00164625">
        <w:rPr>
          <w:rFonts w:cs="Arial"/>
          <w:szCs w:val="22"/>
          <w:lang w:eastAsia="es-ES"/>
        </w:rPr>
        <w:t xml:space="preserve"> o</w:t>
      </w:r>
      <w:r w:rsidRPr="000717A2">
        <w:rPr>
          <w:rFonts w:cs="Arial"/>
          <w:szCs w:val="22"/>
          <w:lang w:eastAsia="es-ES"/>
        </w:rPr>
        <w:t xml:space="preserve"> inaplicó expresa o implícitamente disposición normativa. </w:t>
      </w:r>
    </w:p>
    <w:p w14:paraId="0B02D62C" w14:textId="77777777" w:rsidR="00164625" w:rsidRDefault="00164625"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N</w:t>
      </w:r>
      <w:r w:rsidR="00F04C5D" w:rsidRPr="00E419A4">
        <w:rPr>
          <w:rFonts w:cs="Arial"/>
          <w:szCs w:val="22"/>
          <w:lang w:eastAsia="es-ES"/>
        </w:rPr>
        <w:t xml:space="preserve">o pasa inadvertido que la parte recurrente sostiene que </w:t>
      </w:r>
      <w:r w:rsidR="00F04C5D">
        <w:rPr>
          <w:rFonts w:cs="Arial"/>
          <w:szCs w:val="22"/>
          <w:lang w:eastAsia="es-ES"/>
        </w:rPr>
        <w:t xml:space="preserve">se satisface el requisito especial de procedencia del presente recurso </w:t>
      </w:r>
      <w:r>
        <w:rPr>
          <w:rFonts w:cs="Arial"/>
          <w:szCs w:val="22"/>
          <w:lang w:eastAsia="es-ES"/>
        </w:rPr>
        <w:t xml:space="preserve">al estimar </w:t>
      </w:r>
      <w:r w:rsidR="00F04C5D">
        <w:rPr>
          <w:rFonts w:cs="Arial"/>
          <w:szCs w:val="22"/>
          <w:lang w:eastAsia="es-ES"/>
        </w:rPr>
        <w:t xml:space="preserve">que en </w:t>
      </w:r>
      <w:r w:rsidR="00F04C5D" w:rsidRPr="00E419A4">
        <w:rPr>
          <w:rFonts w:cs="Arial"/>
          <w:szCs w:val="22"/>
          <w:lang w:eastAsia="es-ES"/>
        </w:rPr>
        <w:t>la sentencia impugnada</w:t>
      </w:r>
      <w:r w:rsidR="00F04C5D">
        <w:rPr>
          <w:rFonts w:cs="Arial"/>
          <w:szCs w:val="22"/>
          <w:lang w:eastAsia="es-ES"/>
        </w:rPr>
        <w:t xml:space="preserve"> se</w:t>
      </w:r>
      <w:r w:rsidR="00F04C5D" w:rsidRPr="00E419A4">
        <w:rPr>
          <w:rFonts w:cs="Arial"/>
          <w:szCs w:val="22"/>
          <w:lang w:eastAsia="es-ES"/>
        </w:rPr>
        <w:t xml:space="preserve"> realizó una interpretación directa del artículo 134 de la Constitución General</w:t>
      </w:r>
      <w:r>
        <w:rPr>
          <w:rFonts w:cs="Arial"/>
          <w:szCs w:val="22"/>
          <w:lang w:eastAsia="es-ES"/>
        </w:rPr>
        <w:t>, ya que la Sala Regional fijó</w:t>
      </w:r>
      <w:r w:rsidR="00F04C5D" w:rsidRPr="00E419A4">
        <w:rPr>
          <w:rFonts w:cs="Arial"/>
          <w:szCs w:val="22"/>
          <w:lang w:eastAsia="es-ES"/>
        </w:rPr>
        <w:t xml:space="preserve"> su alcance normativo</w:t>
      </w:r>
      <w:r w:rsidR="00493B59">
        <w:rPr>
          <w:rFonts w:cs="Arial"/>
          <w:szCs w:val="22"/>
          <w:lang w:eastAsia="es-ES"/>
        </w:rPr>
        <w:t xml:space="preserve">. </w:t>
      </w:r>
    </w:p>
    <w:p w14:paraId="598296F2" w14:textId="77777777" w:rsidR="00164625" w:rsidRDefault="00164625"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También r</w:t>
      </w:r>
      <w:r w:rsidR="00244080">
        <w:rPr>
          <w:rFonts w:cs="Arial"/>
          <w:szCs w:val="22"/>
          <w:lang w:eastAsia="es-ES"/>
        </w:rPr>
        <w:t>efiere que</w:t>
      </w:r>
      <w:r w:rsidR="00F04C5D">
        <w:rPr>
          <w:rFonts w:cs="Arial"/>
          <w:szCs w:val="22"/>
          <w:lang w:eastAsia="es-ES"/>
        </w:rPr>
        <w:t xml:space="preserve"> </w:t>
      </w:r>
      <w:r w:rsidR="00F04C5D" w:rsidRPr="00E419A4">
        <w:rPr>
          <w:rFonts w:cs="Arial"/>
          <w:szCs w:val="22"/>
          <w:lang w:eastAsia="es-ES"/>
        </w:rPr>
        <w:t>se actualiza</w:t>
      </w:r>
      <w:r w:rsidR="00493B59">
        <w:rPr>
          <w:rFonts w:cs="Arial"/>
          <w:szCs w:val="22"/>
          <w:lang w:eastAsia="es-ES"/>
        </w:rPr>
        <w:t xml:space="preserve"> lo dispuesto por</w:t>
      </w:r>
      <w:r w:rsidR="00F04C5D" w:rsidRPr="00E419A4">
        <w:rPr>
          <w:rFonts w:cs="Arial"/>
          <w:szCs w:val="22"/>
          <w:lang w:eastAsia="es-ES"/>
        </w:rPr>
        <w:t xml:space="preserve"> la jurisprudencia 5/2014</w:t>
      </w:r>
      <w:r>
        <w:rPr>
          <w:rFonts w:cs="Arial"/>
          <w:szCs w:val="22"/>
          <w:lang w:eastAsia="es-ES"/>
        </w:rPr>
        <w:t xml:space="preserve">, de rubro: </w:t>
      </w:r>
      <w:r w:rsidRPr="00E419A4">
        <w:rPr>
          <w:rFonts w:cs="Arial"/>
          <w:szCs w:val="22"/>
        </w:rPr>
        <w:t>RECURSO DE RECONSIDERACIÓN. PROCEDE CUANDO SE ADUZCA LA EXISTENCIA DE IRREGULARIDADES GRAVES QUE PUEDAN AFECTAR LOS PRINCIPIOS CONSTITUCIONALES Y CONVENCIONALES EXIGIDOS PARA LA VALIDEZ DE LAS ELECCIONES</w:t>
      </w:r>
      <w:r>
        <w:rPr>
          <w:rFonts w:cs="Arial"/>
          <w:szCs w:val="22"/>
        </w:rPr>
        <w:t>.,</w:t>
      </w:r>
      <w:r w:rsidR="00F04C5D">
        <w:rPr>
          <w:rStyle w:val="Refdenotaalpie"/>
          <w:rFonts w:cs="Arial"/>
          <w:szCs w:val="22"/>
          <w:lang w:eastAsia="es-ES"/>
        </w:rPr>
        <w:footnoteReference w:id="14"/>
      </w:r>
      <w:r w:rsidR="00F04C5D" w:rsidRPr="00E419A4">
        <w:rPr>
          <w:rFonts w:cs="Arial"/>
          <w:szCs w:val="22"/>
          <w:lang w:eastAsia="es-ES"/>
        </w:rPr>
        <w:t xml:space="preserve"> porque la responsable convalidó, en los hechos, el uso continuado de personal y bienes municipales para sostener propaganda gubernamental personalizada y de contenido partidista</w:t>
      </w:r>
      <w:r w:rsidR="00F04C5D">
        <w:rPr>
          <w:rFonts w:cs="Arial"/>
          <w:szCs w:val="22"/>
          <w:lang w:eastAsia="es-ES"/>
        </w:rPr>
        <w:t>.</w:t>
      </w:r>
    </w:p>
    <w:p w14:paraId="3A27C6BE" w14:textId="039A3C53" w:rsidR="00F04C5D" w:rsidRPr="00252C97" w:rsidRDefault="00244080"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Asimismo</w:t>
      </w:r>
      <w:r w:rsidR="00F04C5D">
        <w:rPr>
          <w:rFonts w:cs="Arial"/>
          <w:szCs w:val="22"/>
          <w:lang w:eastAsia="es-ES"/>
        </w:rPr>
        <w:t>, refiere que el asunto es</w:t>
      </w:r>
      <w:r w:rsidR="00F04C5D" w:rsidRPr="00252C97">
        <w:rPr>
          <w:rFonts w:cs="Arial"/>
          <w:szCs w:val="22"/>
          <w:lang w:eastAsia="es-ES"/>
        </w:rPr>
        <w:t xml:space="preserve"> relevante porque involucra la determinación del estándar probatorio y normativo aplicable a la infracción de uso indebido de recursos públicos, con incidencia directa en la rendición de cuentas de las administraciones municipales frente al proceso electoral 2026-2027 en el Estado de México, por lo que estima que resulta aplicable la jurisprudencia 5/2019</w:t>
      </w:r>
      <w:r w:rsidR="00164625">
        <w:rPr>
          <w:rFonts w:cs="Arial"/>
          <w:szCs w:val="22"/>
          <w:lang w:eastAsia="es-ES"/>
        </w:rPr>
        <w:t xml:space="preserve">, de rubro: </w:t>
      </w:r>
      <w:r w:rsidR="00164625" w:rsidRPr="00252C97">
        <w:rPr>
          <w:rFonts w:cs="Arial"/>
          <w:szCs w:val="22"/>
        </w:rPr>
        <w:t xml:space="preserve">RECURSO DE RECONSIDERACIÓN. </w:t>
      </w:r>
      <w:r w:rsidR="00164625" w:rsidRPr="00252C97">
        <w:rPr>
          <w:rFonts w:cs="Arial"/>
          <w:szCs w:val="22"/>
        </w:rPr>
        <w:lastRenderedPageBreak/>
        <w:t>ES PROCEDENTE PARA ANALIZAR ASUNTOS RELEVANTES Y TRASCENDENTES</w:t>
      </w:r>
      <w:r w:rsidR="00F04C5D">
        <w:rPr>
          <w:rFonts w:cs="Arial"/>
          <w:szCs w:val="22"/>
          <w:lang w:eastAsia="es-ES"/>
        </w:rPr>
        <w:t>.</w:t>
      </w:r>
      <w:r w:rsidR="00F04C5D">
        <w:rPr>
          <w:rStyle w:val="Refdenotaalpie"/>
          <w:rFonts w:cs="Arial"/>
          <w:szCs w:val="22"/>
          <w:lang w:eastAsia="es-ES"/>
        </w:rPr>
        <w:footnoteReference w:id="15"/>
      </w:r>
    </w:p>
    <w:p w14:paraId="23003F37" w14:textId="0225EAC9" w:rsidR="00F04C5D" w:rsidRPr="00E503A9"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S</w:t>
      </w:r>
      <w:r w:rsidRPr="00E503A9">
        <w:rPr>
          <w:rFonts w:cs="Arial"/>
          <w:szCs w:val="22"/>
          <w:lang w:eastAsia="es-ES"/>
        </w:rPr>
        <w:t xml:space="preserve">in embargo, de la lectura integral de la sentencia </w:t>
      </w:r>
      <w:r>
        <w:rPr>
          <w:rFonts w:cs="Arial"/>
          <w:szCs w:val="22"/>
          <w:lang w:eastAsia="es-ES"/>
        </w:rPr>
        <w:t xml:space="preserve">impugnada </w:t>
      </w:r>
      <w:r w:rsidR="00164625">
        <w:rPr>
          <w:rFonts w:cs="Arial"/>
          <w:szCs w:val="22"/>
          <w:lang w:eastAsia="es-ES"/>
        </w:rPr>
        <w:t>este órgano jurisdiccional no</w:t>
      </w:r>
      <w:r w:rsidRPr="00E503A9">
        <w:rPr>
          <w:rFonts w:cs="Arial"/>
          <w:szCs w:val="22"/>
          <w:lang w:eastAsia="es-ES"/>
        </w:rPr>
        <w:t xml:space="preserve"> advierte </w:t>
      </w:r>
      <w:r>
        <w:rPr>
          <w:rFonts w:cs="Arial"/>
          <w:szCs w:val="22"/>
          <w:lang w:eastAsia="es-ES"/>
        </w:rPr>
        <w:t>que la Sala Regional haya</w:t>
      </w:r>
      <w:r w:rsidRPr="00E419A4">
        <w:rPr>
          <w:rFonts w:cs="Arial"/>
          <w:szCs w:val="22"/>
          <w:lang w:eastAsia="es-ES"/>
        </w:rPr>
        <w:t xml:space="preserve"> interpreta</w:t>
      </w:r>
      <w:r w:rsidR="00164625">
        <w:rPr>
          <w:rFonts w:cs="Arial"/>
          <w:szCs w:val="22"/>
          <w:lang w:eastAsia="es-ES"/>
        </w:rPr>
        <w:t xml:space="preserve">do de forma </w:t>
      </w:r>
      <w:r w:rsidRPr="00E419A4">
        <w:rPr>
          <w:rFonts w:cs="Arial"/>
          <w:szCs w:val="22"/>
          <w:lang w:eastAsia="es-ES"/>
        </w:rPr>
        <w:t xml:space="preserve">directa </w:t>
      </w:r>
      <w:r w:rsidR="00164625">
        <w:rPr>
          <w:rFonts w:cs="Arial"/>
          <w:szCs w:val="22"/>
          <w:lang w:eastAsia="es-ES"/>
        </w:rPr>
        <w:t>el contenido del</w:t>
      </w:r>
      <w:r w:rsidRPr="00E419A4">
        <w:rPr>
          <w:rFonts w:cs="Arial"/>
          <w:szCs w:val="22"/>
          <w:lang w:eastAsia="es-ES"/>
        </w:rPr>
        <w:t xml:space="preserve"> artículo 134 de la Constitución General</w:t>
      </w:r>
      <w:r>
        <w:rPr>
          <w:rFonts w:cs="Arial"/>
          <w:szCs w:val="22"/>
          <w:lang w:eastAsia="es-ES"/>
        </w:rPr>
        <w:t xml:space="preserve">, </w:t>
      </w:r>
      <w:r w:rsidR="00164625">
        <w:rPr>
          <w:rFonts w:cs="Arial"/>
          <w:szCs w:val="22"/>
          <w:lang w:eastAsia="es-ES"/>
        </w:rPr>
        <w:t xml:space="preserve">o que haya realizado </w:t>
      </w:r>
      <w:r w:rsidRPr="00E503A9">
        <w:rPr>
          <w:rFonts w:cs="Arial"/>
          <w:szCs w:val="22"/>
          <w:lang w:eastAsia="es-ES"/>
        </w:rPr>
        <w:t xml:space="preserve">una confronta entre normas secundarias y la Constitución, </w:t>
      </w:r>
      <w:r>
        <w:rPr>
          <w:rFonts w:cs="Arial"/>
          <w:szCs w:val="22"/>
          <w:lang w:eastAsia="es-ES"/>
        </w:rPr>
        <w:t>tampoco</w:t>
      </w:r>
      <w:r w:rsidRPr="00E503A9">
        <w:rPr>
          <w:rFonts w:cs="Arial"/>
          <w:szCs w:val="22"/>
          <w:lang w:eastAsia="es-ES"/>
        </w:rPr>
        <w:t xml:space="preserve"> un análisis encaminado a definir el alcance de algún derecho o principio constitucional. </w:t>
      </w:r>
    </w:p>
    <w:p w14:paraId="575F9060" w14:textId="21DF3CF5" w:rsidR="00EE723A"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244080">
        <w:rPr>
          <w:rFonts w:cs="Arial"/>
          <w:szCs w:val="22"/>
          <w:lang w:eastAsia="es-ES"/>
        </w:rPr>
        <w:t xml:space="preserve">Por el contrario, los planteamientos del recurrente se dirigen a cuestionar que la Sala Regional convalidó el criterio del Tribunal local en el sentido de que, respecto de la infracción de uso indebido de recursos públicos, se debía probar la estrategia deliberada y la finalidad específica de obtención de respaldo ciudadano o ventaja político-electoral. Asimismo, que la acreditación de la vulneración a los principios de imparcialidad, neutralidad y equidad exigía constatar que la conducta </w:t>
      </w:r>
      <w:r w:rsidR="00164625">
        <w:rPr>
          <w:rFonts w:cs="Arial"/>
          <w:szCs w:val="22"/>
          <w:lang w:eastAsia="es-ES"/>
        </w:rPr>
        <w:t>i</w:t>
      </w:r>
      <w:r w:rsidRPr="00244080">
        <w:rPr>
          <w:rFonts w:cs="Arial"/>
          <w:szCs w:val="22"/>
          <w:lang w:eastAsia="es-ES"/>
        </w:rPr>
        <w:t xml:space="preserve">nfluyó en las preferencias electorales de la ciudadanía o generó una ventaja indebida. </w:t>
      </w:r>
    </w:p>
    <w:p w14:paraId="3CE730F5" w14:textId="7E211C97" w:rsidR="00C93E27"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244080">
        <w:rPr>
          <w:rFonts w:cs="Arial"/>
          <w:szCs w:val="22"/>
          <w:lang w:eastAsia="es-ES"/>
        </w:rPr>
        <w:t xml:space="preserve">También cuestiona la aplicación </w:t>
      </w:r>
      <w:r w:rsidR="000C6FC3">
        <w:rPr>
          <w:rFonts w:cs="Arial"/>
          <w:szCs w:val="22"/>
          <w:lang w:eastAsia="es-ES"/>
        </w:rPr>
        <w:t xml:space="preserve">mecánica </w:t>
      </w:r>
      <w:r w:rsidRPr="00244080">
        <w:rPr>
          <w:rFonts w:cs="Arial"/>
          <w:szCs w:val="22"/>
          <w:lang w:eastAsia="es-ES"/>
        </w:rPr>
        <w:t>del precedente SUP-PSC-29/2026</w:t>
      </w:r>
      <w:r w:rsidR="00164625">
        <w:rPr>
          <w:rFonts w:cs="Arial"/>
          <w:szCs w:val="22"/>
          <w:lang w:eastAsia="es-ES"/>
        </w:rPr>
        <w:t>,</w:t>
      </w:r>
      <w:r w:rsidR="005E56F1">
        <w:rPr>
          <w:rFonts w:cs="Arial"/>
          <w:szCs w:val="22"/>
          <w:lang w:eastAsia="es-ES"/>
        </w:rPr>
        <w:t xml:space="preserve"> </w:t>
      </w:r>
      <w:r w:rsidR="00FC586A">
        <w:rPr>
          <w:rFonts w:cs="Arial"/>
          <w:szCs w:val="22"/>
          <w:lang w:eastAsia="es-ES"/>
        </w:rPr>
        <w:t xml:space="preserve">porque considera que no </w:t>
      </w:r>
      <w:r w:rsidR="005E56F1">
        <w:rPr>
          <w:rFonts w:cs="Arial"/>
          <w:szCs w:val="22"/>
          <w:lang w:eastAsia="es-ES"/>
        </w:rPr>
        <w:t>conduce a la misma conclusión</w:t>
      </w:r>
      <w:r w:rsidR="00020CDC">
        <w:rPr>
          <w:rFonts w:cs="Arial"/>
          <w:szCs w:val="22"/>
          <w:lang w:eastAsia="es-ES"/>
        </w:rPr>
        <w:t xml:space="preserve"> porque </w:t>
      </w:r>
      <w:r w:rsidR="004D6623">
        <w:rPr>
          <w:rFonts w:cs="Arial"/>
          <w:szCs w:val="22"/>
          <w:lang w:eastAsia="es-ES"/>
        </w:rPr>
        <w:t xml:space="preserve">trata de cuestiones fácticas diversas al </w:t>
      </w:r>
      <w:r w:rsidR="00EE723A">
        <w:rPr>
          <w:rFonts w:cs="Arial"/>
          <w:szCs w:val="22"/>
          <w:lang w:eastAsia="es-ES"/>
        </w:rPr>
        <w:t xml:space="preserve">presente </w:t>
      </w:r>
      <w:r w:rsidR="004D6623">
        <w:rPr>
          <w:rFonts w:cs="Arial"/>
          <w:szCs w:val="22"/>
          <w:lang w:eastAsia="es-ES"/>
        </w:rPr>
        <w:t xml:space="preserve">caso </w:t>
      </w:r>
      <w:r w:rsidR="00EE723A">
        <w:rPr>
          <w:rFonts w:cs="Arial"/>
          <w:szCs w:val="22"/>
          <w:lang w:eastAsia="es-ES"/>
        </w:rPr>
        <w:t>concreto.</w:t>
      </w:r>
    </w:p>
    <w:p w14:paraId="1567231A" w14:textId="1F3E0270" w:rsidR="008F6C1B" w:rsidRDefault="005E27B9"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Además, </w:t>
      </w:r>
      <w:r w:rsidR="008F6C1B">
        <w:rPr>
          <w:rFonts w:cs="Arial"/>
          <w:szCs w:val="22"/>
          <w:lang w:eastAsia="es-ES"/>
        </w:rPr>
        <w:t xml:space="preserve">alega </w:t>
      </w:r>
      <w:r w:rsidR="00C93E27">
        <w:rPr>
          <w:rFonts w:cs="Arial"/>
          <w:szCs w:val="22"/>
          <w:lang w:eastAsia="es-ES"/>
        </w:rPr>
        <w:t>q</w:t>
      </w:r>
      <w:r w:rsidR="00F04C5D" w:rsidRPr="00244080">
        <w:rPr>
          <w:rFonts w:cs="Arial"/>
          <w:szCs w:val="22"/>
          <w:lang w:eastAsia="es-ES"/>
        </w:rPr>
        <w:t xml:space="preserve">ue se razonó que la permanencia de la propaganda fuera del plazo legal no conduce automáticamente a la actualización de la infracción, y que se requiere además la prueba de una finalidad electoral específica, en consecuencia, sostiene que se inaplicó, en los hechos, la prohibición absoluta contenida en el artículo 134 constitucional para el período en que la propaganda ya no está amparada por excepción legal alguna, lo que además </w:t>
      </w:r>
      <w:r w:rsidR="00086A5D">
        <w:rPr>
          <w:rFonts w:cs="Arial"/>
          <w:szCs w:val="22"/>
          <w:lang w:eastAsia="es-ES"/>
        </w:rPr>
        <w:t xml:space="preserve">considera que </w:t>
      </w:r>
      <w:r w:rsidR="00F04C5D" w:rsidRPr="00244080">
        <w:rPr>
          <w:rFonts w:cs="Arial"/>
          <w:szCs w:val="22"/>
          <w:lang w:eastAsia="es-ES"/>
        </w:rPr>
        <w:t xml:space="preserve">es inadmisible conforme con el principio de supremacía constitucional establecido en el artículo 133 de la Constitución Federal. </w:t>
      </w:r>
    </w:p>
    <w:p w14:paraId="5B85F2CD" w14:textId="1B0F714B" w:rsidR="00F04C5D" w:rsidRPr="00244080" w:rsidRDefault="00A7187C"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 xml:space="preserve">Expone </w:t>
      </w:r>
      <w:r w:rsidR="00F04C5D" w:rsidRPr="00244080">
        <w:rPr>
          <w:rFonts w:cs="Arial"/>
          <w:szCs w:val="22"/>
          <w:lang w:eastAsia="es-ES"/>
        </w:rPr>
        <w:t>que la Sala Regional viol</w:t>
      </w:r>
      <w:r>
        <w:rPr>
          <w:rFonts w:cs="Arial"/>
          <w:szCs w:val="22"/>
          <w:lang w:eastAsia="es-ES"/>
        </w:rPr>
        <w:t>ó</w:t>
      </w:r>
      <w:r w:rsidR="00F04C5D" w:rsidRPr="00244080">
        <w:rPr>
          <w:rFonts w:cs="Arial"/>
          <w:szCs w:val="22"/>
          <w:lang w:eastAsia="es-ES"/>
        </w:rPr>
        <w:t xml:space="preserve"> el artículo 17 de la constitución general porque convalidó el nuevo pronunciamiento del Tribunal local y consideró </w:t>
      </w:r>
      <w:r w:rsidR="00F04C5D" w:rsidRPr="00244080">
        <w:rPr>
          <w:rFonts w:cs="Arial"/>
          <w:szCs w:val="22"/>
          <w:lang w:eastAsia="es-ES"/>
        </w:rPr>
        <w:lastRenderedPageBreak/>
        <w:t xml:space="preserve">que el cumplimiento de la sentencia </w:t>
      </w:r>
      <w:r w:rsidR="00164625">
        <w:rPr>
          <w:rFonts w:cs="Arial"/>
          <w:szCs w:val="22"/>
          <w:lang w:eastAsia="es-ES"/>
        </w:rPr>
        <w:t xml:space="preserve">dictada en el juicio </w:t>
      </w:r>
      <w:r w:rsidR="005349E8" w:rsidRPr="00B117B9">
        <w:rPr>
          <w:b/>
          <w:color w:val="FFFFFF" w:themeColor="background1"/>
          <w:szCs w:val="26"/>
          <w:shd w:val="clear" w:color="auto" w:fill="000000" w:themeFill="text1"/>
        </w:rPr>
        <w:t>DATO PROTEGIDO</w:t>
      </w:r>
      <w:r w:rsidR="00F04C5D" w:rsidRPr="00244080">
        <w:rPr>
          <w:rFonts w:cs="Arial"/>
          <w:szCs w:val="22"/>
          <w:lang w:eastAsia="es-ES"/>
        </w:rPr>
        <w:t xml:space="preserve"> debió ser sustancial y no una apariencia de acatamiento, por lo que se vulner</w:t>
      </w:r>
      <w:r>
        <w:rPr>
          <w:rFonts w:cs="Arial"/>
          <w:szCs w:val="22"/>
          <w:lang w:eastAsia="es-ES"/>
        </w:rPr>
        <w:t>ó</w:t>
      </w:r>
      <w:r w:rsidR="00F04C5D" w:rsidRPr="00244080">
        <w:rPr>
          <w:rFonts w:cs="Arial"/>
          <w:szCs w:val="22"/>
          <w:lang w:eastAsia="es-ES"/>
        </w:rPr>
        <w:t xml:space="preserve"> el derecho a la tutela judicial efectiva.</w:t>
      </w:r>
    </w:p>
    <w:p w14:paraId="30F4D22F" w14:textId="77777777" w:rsidR="00164625" w:rsidRDefault="00164625" w:rsidP="00164625">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Pr>
          <w:rFonts w:cs="Arial"/>
          <w:szCs w:val="22"/>
          <w:lang w:eastAsia="es-ES"/>
        </w:rPr>
        <w:t>Al respecto, este órgano jurisdiccional considera que, aun cuando</w:t>
      </w:r>
      <w:r w:rsidR="00F04C5D" w:rsidRPr="00654F15">
        <w:rPr>
          <w:rFonts w:cs="Arial"/>
          <w:szCs w:val="22"/>
          <w:lang w:eastAsia="es-ES"/>
        </w:rPr>
        <w:t xml:space="preserve"> </w:t>
      </w:r>
      <w:r w:rsidR="00F04C5D">
        <w:rPr>
          <w:rFonts w:cs="Arial"/>
          <w:szCs w:val="22"/>
          <w:lang w:eastAsia="es-ES"/>
        </w:rPr>
        <w:t xml:space="preserve">el recurrente </w:t>
      </w:r>
      <w:r>
        <w:rPr>
          <w:rFonts w:cs="Arial"/>
          <w:szCs w:val="22"/>
          <w:lang w:eastAsia="es-ES"/>
        </w:rPr>
        <w:t xml:space="preserve">señala en sus agravios que la resolución combatida realizó </w:t>
      </w:r>
      <w:r w:rsidRPr="00654F15">
        <w:rPr>
          <w:rFonts w:cs="Arial"/>
          <w:szCs w:val="22"/>
          <w:lang w:eastAsia="es-ES"/>
        </w:rPr>
        <w:t>una interpretación directa o una inaplicación implícita</w:t>
      </w:r>
      <w:r>
        <w:rPr>
          <w:rFonts w:cs="Arial"/>
          <w:szCs w:val="22"/>
          <w:lang w:eastAsia="es-ES"/>
        </w:rPr>
        <w:t xml:space="preserve"> de </w:t>
      </w:r>
      <w:r w:rsidR="00F04C5D" w:rsidRPr="00654F15">
        <w:rPr>
          <w:rFonts w:cs="Arial"/>
          <w:szCs w:val="22"/>
          <w:lang w:eastAsia="es-ES"/>
        </w:rPr>
        <w:t>los artículos 17, 133 y 134 constitucionales</w:t>
      </w:r>
      <w:r>
        <w:rPr>
          <w:rFonts w:cs="Arial"/>
          <w:szCs w:val="22"/>
          <w:lang w:eastAsia="es-ES"/>
        </w:rPr>
        <w:t xml:space="preserve">, </w:t>
      </w:r>
      <w:r w:rsidR="00F04C5D" w:rsidRPr="00654F15">
        <w:rPr>
          <w:rFonts w:cs="Arial"/>
          <w:szCs w:val="22"/>
          <w:lang w:eastAsia="es-ES"/>
        </w:rPr>
        <w:t>sus planteamientos no contienen un problema propiamente constitucional</w:t>
      </w:r>
      <w:r>
        <w:rPr>
          <w:rFonts w:cs="Arial"/>
          <w:szCs w:val="22"/>
          <w:lang w:eastAsia="es-ES"/>
        </w:rPr>
        <w:t xml:space="preserve">, </w:t>
      </w:r>
      <w:r w:rsidRPr="00164625">
        <w:rPr>
          <w:rFonts w:cs="Arial"/>
          <w:szCs w:val="22"/>
          <w:lang w:eastAsia="es-ES"/>
        </w:rPr>
        <w:t>dado que, e</w:t>
      </w:r>
      <w:r w:rsidR="00F04C5D" w:rsidRPr="00164625">
        <w:rPr>
          <w:rFonts w:cs="Arial"/>
          <w:szCs w:val="22"/>
          <w:lang w:eastAsia="es-ES"/>
        </w:rPr>
        <w:t xml:space="preserve">n esencia, expresan su desacuerdo con la valoración de los hechos y las pruebas, la aplicación de precedentes y la motivación de la sentencia impugnada. </w:t>
      </w:r>
    </w:p>
    <w:p w14:paraId="3CC089CD" w14:textId="3FF0E882" w:rsidR="00F04C5D" w:rsidRPr="00164625" w:rsidRDefault="00F04C5D" w:rsidP="00164625">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164625">
        <w:rPr>
          <w:rFonts w:cs="Arial"/>
          <w:szCs w:val="22"/>
          <w:lang w:eastAsia="es-ES"/>
        </w:rPr>
        <w:t xml:space="preserve">Por </w:t>
      </w:r>
      <w:r w:rsidR="00891E61" w:rsidRPr="00164625">
        <w:rPr>
          <w:rFonts w:cs="Arial"/>
          <w:szCs w:val="22"/>
          <w:lang w:eastAsia="es-ES"/>
        </w:rPr>
        <w:t xml:space="preserve">lo </w:t>
      </w:r>
      <w:r w:rsidR="00164625">
        <w:rPr>
          <w:rFonts w:cs="Arial"/>
          <w:szCs w:val="22"/>
          <w:lang w:eastAsia="es-ES"/>
        </w:rPr>
        <w:t xml:space="preserve">cual se estima </w:t>
      </w:r>
      <w:r w:rsidR="00891E61" w:rsidRPr="00164625">
        <w:rPr>
          <w:rFonts w:cs="Arial"/>
          <w:szCs w:val="22"/>
          <w:lang w:eastAsia="es-ES"/>
        </w:rPr>
        <w:t>que</w:t>
      </w:r>
      <w:r w:rsidRPr="00164625">
        <w:rPr>
          <w:rFonts w:cs="Arial"/>
          <w:szCs w:val="22"/>
          <w:lang w:eastAsia="es-ES"/>
        </w:rPr>
        <w:t xml:space="preserve"> se trata de cuestiones de legalidad, </w:t>
      </w:r>
      <w:r w:rsidR="00164625">
        <w:rPr>
          <w:rFonts w:cs="Arial"/>
          <w:szCs w:val="22"/>
          <w:lang w:eastAsia="es-ES"/>
        </w:rPr>
        <w:t>ya que</w:t>
      </w:r>
      <w:r w:rsidRPr="00164625">
        <w:rPr>
          <w:rFonts w:cs="Arial"/>
          <w:szCs w:val="22"/>
          <w:lang w:eastAsia="es-ES"/>
        </w:rPr>
        <w:t xml:space="preserve"> no se advierte que la Sala Regional haya interpretado directamente algún precepto constitucional</w:t>
      </w:r>
      <w:r w:rsidR="00164625">
        <w:rPr>
          <w:rFonts w:cs="Arial"/>
          <w:szCs w:val="22"/>
          <w:lang w:eastAsia="es-ES"/>
        </w:rPr>
        <w:t xml:space="preserve">, o bien, que haya </w:t>
      </w:r>
      <w:r w:rsidRPr="00164625">
        <w:rPr>
          <w:rFonts w:cs="Arial"/>
          <w:szCs w:val="22"/>
          <w:lang w:eastAsia="es-ES"/>
        </w:rPr>
        <w:t>fijado su alcance</w:t>
      </w:r>
      <w:r w:rsidR="00164625">
        <w:rPr>
          <w:rFonts w:cs="Arial"/>
          <w:szCs w:val="22"/>
          <w:lang w:eastAsia="es-ES"/>
        </w:rPr>
        <w:t xml:space="preserve"> respecto de la controversia planteada.</w:t>
      </w:r>
    </w:p>
    <w:p w14:paraId="41734375" w14:textId="01EE3DD7" w:rsidR="00F04C5D" w:rsidRPr="00D36D15" w:rsidRDefault="00F04C5D" w:rsidP="006D3620">
      <w:pPr>
        <w:pStyle w:val="Prrafodelista"/>
        <w:numPr>
          <w:ilvl w:val="0"/>
          <w:numId w:val="1"/>
        </w:numPr>
        <w:tabs>
          <w:tab w:val="left" w:pos="426"/>
          <w:tab w:val="left" w:pos="3969"/>
        </w:tabs>
        <w:spacing w:before="240" w:after="240" w:line="360" w:lineRule="auto"/>
        <w:ind w:left="0" w:hanging="426"/>
        <w:contextualSpacing w:val="0"/>
        <w:jc w:val="both"/>
        <w:rPr>
          <w:rFonts w:cs="Arial"/>
          <w:szCs w:val="22"/>
          <w:lang w:eastAsia="es-ES"/>
        </w:rPr>
      </w:pPr>
      <w:r w:rsidRPr="00D36D15">
        <w:rPr>
          <w:rFonts w:cs="Arial"/>
          <w:szCs w:val="22"/>
          <w:lang w:eastAsia="es-ES"/>
        </w:rPr>
        <w:t>Asimismo, para satisfacer el requisito especial de procedencia</w:t>
      </w:r>
      <w:r w:rsidR="00164625">
        <w:rPr>
          <w:rFonts w:cs="Arial"/>
          <w:szCs w:val="22"/>
          <w:lang w:eastAsia="es-ES"/>
        </w:rPr>
        <w:t xml:space="preserve"> </w:t>
      </w:r>
      <w:r w:rsidR="00164625" w:rsidRPr="00D36D15">
        <w:rPr>
          <w:rFonts w:cs="Arial"/>
          <w:szCs w:val="22"/>
          <w:lang w:eastAsia="es-ES"/>
        </w:rPr>
        <w:t>resulta insuficiente</w:t>
      </w:r>
      <w:r w:rsidR="00164625">
        <w:rPr>
          <w:rFonts w:cs="Arial"/>
          <w:szCs w:val="22"/>
          <w:lang w:eastAsia="es-ES"/>
        </w:rPr>
        <w:t xml:space="preserve"> el hecho de que el recurrente refiera la violación a diversas disposiciones constitucionales, </w:t>
      </w:r>
      <w:r w:rsidRPr="00D36D15">
        <w:rPr>
          <w:rFonts w:cs="Arial"/>
          <w:szCs w:val="22"/>
          <w:lang w:eastAsia="es-ES"/>
        </w:rPr>
        <w:t>pues esta Sala Superior ha sostenido</w:t>
      </w:r>
      <w:r w:rsidR="00164625">
        <w:rPr>
          <w:rFonts w:cs="Arial"/>
          <w:szCs w:val="22"/>
          <w:lang w:eastAsia="es-ES"/>
        </w:rPr>
        <w:t>,</w:t>
      </w:r>
      <w:r w:rsidRPr="00D36D15">
        <w:rPr>
          <w:rFonts w:cs="Arial"/>
          <w:szCs w:val="22"/>
          <w:lang w:eastAsia="es-ES"/>
        </w:rPr>
        <w:t xml:space="preserve"> de manera reiterada</w:t>
      </w:r>
      <w:r w:rsidR="00164625">
        <w:rPr>
          <w:rFonts w:cs="Arial"/>
          <w:szCs w:val="22"/>
          <w:lang w:eastAsia="es-ES"/>
        </w:rPr>
        <w:t>,</w:t>
      </w:r>
      <w:r w:rsidRPr="00D36D15">
        <w:rPr>
          <w:rFonts w:cs="Arial"/>
          <w:szCs w:val="22"/>
          <w:lang w:eastAsia="es-ES"/>
        </w:rPr>
        <w:t xml:space="preserve"> que la sola cita de artículos constitucionales o convencionales no actualiza, por sí misma, un auténtico problema de constitucionalidad que amerite la procedencia del recurso de reconsideración</w:t>
      </w:r>
      <w:r w:rsidRPr="00E503A9">
        <w:rPr>
          <w:rStyle w:val="Refdenotaalpie"/>
          <w:rFonts w:eastAsia="Times New Roman" w:cs="Arial"/>
          <w:lang w:eastAsia="es-ES"/>
        </w:rPr>
        <w:footnoteReference w:id="16"/>
      </w:r>
      <w:r w:rsidRPr="00D36D15">
        <w:rPr>
          <w:rStyle w:val="Refdenotaalpie"/>
          <w:rFonts w:eastAsia="Times New Roman"/>
          <w:lang w:eastAsia="es-ES"/>
        </w:rPr>
        <w:t>.</w:t>
      </w:r>
      <w:r w:rsidRPr="00D36D15">
        <w:rPr>
          <w:rFonts w:eastAsia="Times New Roman"/>
          <w:lang w:eastAsia="es-ES"/>
        </w:rPr>
        <w:t>.</w:t>
      </w:r>
    </w:p>
    <w:p w14:paraId="7DEFAC01" w14:textId="1B79A6CC" w:rsidR="00F04C5D" w:rsidRPr="00E503A9"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503A9">
        <w:rPr>
          <w:rFonts w:cs="Arial"/>
          <w:szCs w:val="22"/>
          <w:lang w:eastAsia="es-ES"/>
        </w:rPr>
        <w:t xml:space="preserve">Tampoco se actualiza el supuesto de importancia y trascendencia previsto en la jurisprudencia de esta Sala Superior, pues el problema jurídico planteado no implica un tema novedoso o excepcional que requiera fijar un criterio relevante para el orden jurídico nacional, sino que se circunscribe a determinar la legalidad </w:t>
      </w:r>
      <w:r w:rsidR="001930E9">
        <w:rPr>
          <w:rFonts w:cs="Arial"/>
          <w:szCs w:val="22"/>
          <w:lang w:eastAsia="es-ES"/>
        </w:rPr>
        <w:t xml:space="preserve">de la sentencia del Tribunal local. </w:t>
      </w:r>
    </w:p>
    <w:p w14:paraId="6EA68DA8" w14:textId="77777777" w:rsidR="00F04C5D" w:rsidRPr="00E503A9"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503A9">
        <w:rPr>
          <w:rFonts w:cs="Arial"/>
          <w:szCs w:val="22"/>
          <w:lang w:eastAsia="es-ES"/>
        </w:rPr>
        <w:t xml:space="preserve">Finalmente, tampoco se advierte la existencia de error judicial evidente o de una violación manifiesta al debido proceso, pues la Sala Regional emprendió el análisis de fondo de los agravios planteados y sustentó su determinación en consideraciones jurídicamente razonadas, sin que el </w:t>
      </w:r>
      <w:r w:rsidRPr="00E503A9">
        <w:rPr>
          <w:rFonts w:cs="Arial"/>
          <w:szCs w:val="22"/>
          <w:lang w:eastAsia="es-ES"/>
        </w:rPr>
        <w:lastRenderedPageBreak/>
        <w:t xml:space="preserve">eventual desacuerdo con sus conclusiones sea suficiente para actualizar la procedencia excepcional del recurso. </w:t>
      </w:r>
    </w:p>
    <w:p w14:paraId="06956A6F" w14:textId="77777777" w:rsidR="00F04C5D" w:rsidRPr="00E503A9" w:rsidRDefault="00F04C5D" w:rsidP="00F04C5D">
      <w:pPr>
        <w:pStyle w:val="Prrafodelista"/>
        <w:numPr>
          <w:ilvl w:val="0"/>
          <w:numId w:val="1"/>
        </w:numPr>
        <w:tabs>
          <w:tab w:val="left" w:pos="426"/>
        </w:tabs>
        <w:spacing w:before="240" w:after="240" w:line="360" w:lineRule="auto"/>
        <w:ind w:left="0" w:hanging="426"/>
        <w:contextualSpacing w:val="0"/>
        <w:jc w:val="both"/>
        <w:rPr>
          <w:rFonts w:cs="Arial"/>
          <w:szCs w:val="22"/>
          <w:lang w:eastAsia="es-ES"/>
        </w:rPr>
      </w:pPr>
      <w:r w:rsidRPr="00E503A9">
        <w:rPr>
          <w:rFonts w:cs="Arial"/>
          <w:szCs w:val="22"/>
          <w:lang w:eastAsia="es-ES"/>
        </w:rPr>
        <w:t xml:space="preserve">En consecuencia, al no actualizarse alguno de los supuestos de procedencia del recurso de reconsideración previstos en la normativa electoral aplicable ni en los criterios jurisprudenciales de esta Sala Superior, lo procedente es desechar de plano la demanda. </w:t>
      </w:r>
    </w:p>
    <w:p w14:paraId="09808CED" w14:textId="306358FD" w:rsidR="000D0D0F" w:rsidRPr="00C26D22" w:rsidRDefault="00B72D95" w:rsidP="00621C12">
      <w:pPr>
        <w:pStyle w:val="Ttulo1"/>
        <w:numPr>
          <w:ilvl w:val="0"/>
          <w:numId w:val="31"/>
        </w:numPr>
        <w:spacing w:before="240" w:after="240" w:line="360" w:lineRule="auto"/>
        <w:jc w:val="center"/>
        <w:rPr>
          <w:rFonts w:ascii="Arial" w:hAnsi="Arial" w:cs="Arial"/>
          <w:b/>
          <w:bCs/>
          <w:color w:val="000000" w:themeColor="text1"/>
          <w:sz w:val="24"/>
          <w:szCs w:val="24"/>
        </w:rPr>
      </w:pPr>
      <w:bookmarkStart w:id="16" w:name="_Toc235708183"/>
      <w:r w:rsidRPr="00C26D22">
        <w:rPr>
          <w:rFonts w:ascii="Arial" w:hAnsi="Arial" w:cs="Arial"/>
          <w:b/>
          <w:bCs/>
          <w:color w:val="000000" w:themeColor="text1"/>
          <w:sz w:val="24"/>
          <w:szCs w:val="24"/>
          <w:lang w:eastAsia="en-US" w:bidi="en-US"/>
        </w:rPr>
        <w:t>RESOLUTIVO</w:t>
      </w:r>
      <w:bookmarkEnd w:id="16"/>
    </w:p>
    <w:p w14:paraId="0DC91BE1" w14:textId="77777777" w:rsidR="00F04C5D" w:rsidRDefault="00F04C5D" w:rsidP="005319D0">
      <w:pPr>
        <w:spacing w:before="240" w:after="240" w:line="360" w:lineRule="auto"/>
        <w:jc w:val="both"/>
        <w:rPr>
          <w:rFonts w:cs="Arial"/>
          <w:bCs/>
          <w:szCs w:val="24"/>
        </w:rPr>
      </w:pPr>
      <w:r w:rsidRPr="00F04C5D">
        <w:rPr>
          <w:rFonts w:cs="Arial"/>
          <w:b/>
          <w:szCs w:val="24"/>
        </w:rPr>
        <w:t>ÚNICO</w:t>
      </w:r>
      <w:r w:rsidRPr="00F04C5D">
        <w:rPr>
          <w:rFonts w:cs="Arial"/>
          <w:bCs/>
          <w:szCs w:val="24"/>
        </w:rPr>
        <w:t>.</w:t>
      </w:r>
      <w:r w:rsidRPr="00F04C5D">
        <w:rPr>
          <w:rFonts w:cs="Arial"/>
          <w:b/>
          <w:szCs w:val="24"/>
        </w:rPr>
        <w:t xml:space="preserve"> </w:t>
      </w:r>
      <w:r w:rsidRPr="00F04C5D">
        <w:rPr>
          <w:rFonts w:cs="Arial"/>
          <w:bCs/>
          <w:szCs w:val="24"/>
        </w:rPr>
        <w:t xml:space="preserve">Se </w:t>
      </w:r>
      <w:r w:rsidRPr="00F04C5D">
        <w:rPr>
          <w:rFonts w:cs="Arial"/>
          <w:b/>
          <w:szCs w:val="24"/>
        </w:rPr>
        <w:t>desecha</w:t>
      </w:r>
      <w:r w:rsidRPr="00F04C5D">
        <w:rPr>
          <w:rFonts w:cs="Arial"/>
          <w:bCs/>
          <w:szCs w:val="24"/>
        </w:rPr>
        <w:t xml:space="preserve"> </w:t>
      </w:r>
      <w:r w:rsidRPr="00F04C5D">
        <w:rPr>
          <w:rFonts w:cs="Arial"/>
          <w:b/>
          <w:szCs w:val="24"/>
        </w:rPr>
        <w:t>de plano</w:t>
      </w:r>
      <w:r w:rsidRPr="00F04C5D">
        <w:rPr>
          <w:rFonts w:cs="Arial"/>
          <w:bCs/>
          <w:szCs w:val="24"/>
        </w:rPr>
        <w:t xml:space="preserve"> la demanda.</w:t>
      </w:r>
    </w:p>
    <w:p w14:paraId="51CB6828" w14:textId="77777777" w:rsidR="00BF7705" w:rsidRDefault="00F04C5D" w:rsidP="005319D0">
      <w:pPr>
        <w:spacing w:before="240" w:after="240" w:line="360" w:lineRule="auto"/>
        <w:jc w:val="both"/>
        <w:rPr>
          <w:rFonts w:cs="Arial"/>
          <w:szCs w:val="24"/>
        </w:rPr>
      </w:pPr>
      <w:r w:rsidRPr="00F04C5D">
        <w:rPr>
          <w:rFonts w:cs="Arial"/>
          <w:b/>
          <w:bCs/>
          <w:szCs w:val="24"/>
        </w:rPr>
        <w:t>NOTIFÍQUESE</w:t>
      </w:r>
      <w:r w:rsidRPr="00F04C5D">
        <w:rPr>
          <w:rFonts w:cs="Arial"/>
          <w:szCs w:val="24"/>
        </w:rPr>
        <w:t xml:space="preserve"> como en Derecho corresponda. </w:t>
      </w:r>
    </w:p>
    <w:p w14:paraId="4C6633C2" w14:textId="22A93E65" w:rsidR="00F04C5D" w:rsidRPr="00F04C5D" w:rsidRDefault="00F04C5D" w:rsidP="005319D0">
      <w:pPr>
        <w:spacing w:before="240" w:after="240" w:line="360" w:lineRule="auto"/>
        <w:jc w:val="both"/>
        <w:rPr>
          <w:rFonts w:cs="Arial"/>
          <w:bCs/>
          <w:szCs w:val="24"/>
        </w:rPr>
      </w:pPr>
      <w:r w:rsidRPr="00F04C5D">
        <w:rPr>
          <w:rFonts w:cs="Arial"/>
          <w:szCs w:val="24"/>
        </w:rPr>
        <w:t>En su oportunidad, archívese el presente expediente como asunto concluido y, en su caso, devuélvase la documentación atinente.</w:t>
      </w:r>
    </w:p>
    <w:p w14:paraId="07DC64B5" w14:textId="6F2969C3" w:rsidR="00F04C5D" w:rsidRPr="00F04C5D" w:rsidRDefault="00F04C5D" w:rsidP="00F04C5D">
      <w:pPr>
        <w:spacing w:before="240" w:after="240" w:line="360" w:lineRule="auto"/>
        <w:jc w:val="both"/>
        <w:rPr>
          <w:rFonts w:cs="Arial"/>
          <w:szCs w:val="24"/>
        </w:rPr>
      </w:pPr>
      <w:r w:rsidRPr="00F04C5D">
        <w:rPr>
          <w:rFonts w:cs="Arial"/>
          <w:szCs w:val="24"/>
        </w:rPr>
        <w:t xml:space="preserve">Así, por </w:t>
      </w:r>
      <w:r w:rsidR="00E80D0A">
        <w:rPr>
          <w:rFonts w:cs="Arial"/>
          <w:b/>
          <w:bCs/>
          <w:szCs w:val="24"/>
        </w:rPr>
        <w:t>unanimi</w:t>
      </w:r>
      <w:r w:rsidR="00B23288">
        <w:rPr>
          <w:rFonts w:cs="Arial"/>
          <w:b/>
          <w:bCs/>
          <w:szCs w:val="24"/>
        </w:rPr>
        <w:t>dad</w:t>
      </w:r>
      <w:r w:rsidRPr="00F04C5D">
        <w:rPr>
          <w:rFonts w:cs="Arial"/>
          <w:b/>
          <w:bCs/>
          <w:szCs w:val="24"/>
        </w:rPr>
        <w:t xml:space="preserve"> </w:t>
      </w:r>
      <w:r w:rsidRPr="00F04C5D">
        <w:rPr>
          <w:rFonts w:cs="Arial"/>
          <w:szCs w:val="24"/>
        </w:rPr>
        <w:t>de votos lo resolvieron la</w:t>
      </w:r>
      <w:r w:rsidR="009C2AFD">
        <w:rPr>
          <w:rFonts w:cs="Arial"/>
          <w:szCs w:val="24"/>
        </w:rPr>
        <w:t>s</w:t>
      </w:r>
      <w:r w:rsidRPr="00F04C5D">
        <w:rPr>
          <w:rFonts w:cs="Arial"/>
          <w:szCs w:val="24"/>
        </w:rPr>
        <w:t xml:space="preserve"> Magistrada</w:t>
      </w:r>
      <w:r w:rsidR="009C2AFD">
        <w:rPr>
          <w:rFonts w:cs="Arial"/>
          <w:szCs w:val="24"/>
        </w:rPr>
        <w:t>s</w:t>
      </w:r>
      <w:r w:rsidRPr="00F04C5D">
        <w:rPr>
          <w:rFonts w:cs="Arial"/>
          <w:szCs w:val="24"/>
        </w:rPr>
        <w:t xml:space="preserve"> y los Magistrados que integran la Sala Superior del Tribunal Electoral del Poder Judicial de la Federación</w:t>
      </w:r>
      <w:r w:rsidR="00AA0693">
        <w:rPr>
          <w:rFonts w:cs="Arial"/>
          <w:szCs w:val="24"/>
        </w:rPr>
        <w:t>,</w:t>
      </w:r>
      <w:r w:rsidR="00AA0693">
        <w:rPr>
          <w:rFonts w:cs="Arial"/>
        </w:rPr>
        <w:t xml:space="preserve"> con la ausencia del Magistrado Felipe de la Mata Pizaña</w:t>
      </w:r>
      <w:r w:rsidR="00200503">
        <w:rPr>
          <w:rFonts w:cs="Arial"/>
        </w:rPr>
        <w:t>, ante el</w:t>
      </w:r>
      <w:r w:rsidRPr="00F04C5D">
        <w:rPr>
          <w:rFonts w:cs="Arial"/>
          <w:szCs w:val="24"/>
        </w:rPr>
        <w:t xml:space="preserve"> Secretario General de Acuerdos da fe que se firma de manera electrónica</w:t>
      </w:r>
      <w:r w:rsidRPr="00F04C5D">
        <w:rPr>
          <w:rFonts w:cs="Arial"/>
          <w:szCs w:val="24"/>
          <w:lang w:val="es-ES"/>
        </w:rPr>
        <w:t>.</w:t>
      </w:r>
    </w:p>
    <w:p w14:paraId="2D103551" w14:textId="77777777" w:rsidR="00F04C5D" w:rsidRPr="00F04C5D" w:rsidRDefault="00F04C5D" w:rsidP="005319D0">
      <w:pPr>
        <w:tabs>
          <w:tab w:val="left" w:pos="426"/>
        </w:tabs>
        <w:spacing w:before="240" w:after="240"/>
        <w:jc w:val="both"/>
        <w:rPr>
          <w:rFonts w:cs="Arial"/>
          <w:szCs w:val="22"/>
          <w:lang w:eastAsia="es-ES"/>
        </w:rPr>
      </w:pPr>
      <w:r w:rsidRPr="00F04C5D">
        <w:rPr>
          <w:rFonts w:cs="Arial"/>
          <w:sz w:val="20"/>
        </w:rPr>
        <w:t xml:space="preserve">Este documento es una representación </w:t>
      </w:r>
      <w:r w:rsidRPr="00BF7705">
        <w:rPr>
          <w:rFonts w:cs="Arial"/>
          <w:sz w:val="20"/>
        </w:rPr>
        <w:t>gráfica autorizada mediante firmas electrónicas certificadas, el cual tiene plena validez jurídica de conformidad con los numerales segundo y cuarto del Acuerdo General de la Sala</w:t>
      </w:r>
      <w:r w:rsidRPr="00F04C5D">
        <w:rPr>
          <w:rFonts w:cs="Arial"/>
          <w:sz w:val="20"/>
        </w:rPr>
        <w:t xml:space="preserve"> Superior del Tribunal Electoral del Poder Judicial de la Federación 3/2020, por el que se implementa la firma electrónica certificada del Poder Judicial de la Federación en los acuerdos, resoluciones y sentencias que se dicten con motivo del trámite, turno, sustanciación y resolución de los medios de impugnación en materia</w:t>
      </w:r>
    </w:p>
    <w:p w14:paraId="2B303D10" w14:textId="7EEC2D68" w:rsidR="008A6957" w:rsidRPr="00CB6284" w:rsidRDefault="008A6957" w:rsidP="00F04C5D">
      <w:pPr>
        <w:spacing w:before="240" w:after="240"/>
        <w:jc w:val="both"/>
        <w:rPr>
          <w:rFonts w:eastAsia="Times New Roman" w:cs="Arial"/>
          <w:b/>
          <w:bCs/>
          <w:sz w:val="20"/>
          <w:u w:val="single"/>
        </w:rPr>
      </w:pPr>
    </w:p>
    <w:sectPr w:rsidR="008A6957" w:rsidRPr="00CB6284" w:rsidSect="007037E4">
      <w:headerReference w:type="even" r:id="rId8"/>
      <w:headerReference w:type="default" r:id="rId9"/>
      <w:footerReference w:type="even" r:id="rId10"/>
      <w:footerReference w:type="default" r:id="rId11"/>
      <w:headerReference w:type="first" r:id="rId12"/>
      <w:footerReference w:type="first" r:id="rId13"/>
      <w:pgSz w:w="12242" w:h="18722" w:code="14"/>
      <w:pgMar w:top="1134" w:right="1418" w:bottom="1985" w:left="2835"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7F1C3" w14:textId="77777777" w:rsidR="00410170" w:rsidRDefault="00410170" w:rsidP="000D0D0F">
      <w:r>
        <w:separator/>
      </w:r>
    </w:p>
  </w:endnote>
  <w:endnote w:type="continuationSeparator" w:id="0">
    <w:p w14:paraId="3FD32858" w14:textId="77777777" w:rsidR="00410170" w:rsidRDefault="00410170" w:rsidP="000D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1E19" w14:textId="77777777" w:rsidR="000D0D0F" w:rsidRDefault="000D0D0F" w:rsidP="005220C1">
    <w:pPr>
      <w:pStyle w:val="Piedepgina"/>
      <w:jc w:val="center"/>
    </w:pPr>
    <w:r>
      <w:fldChar w:fldCharType="begin"/>
    </w:r>
    <w:r>
      <w:instrText>PAGE   \* MERGEFORMAT</w:instrText>
    </w:r>
    <w:r>
      <w:fldChar w:fldCharType="separate"/>
    </w:r>
    <w:r>
      <w:rPr>
        <w:lang w:val="es-ES"/>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AEFF" w14:textId="77777777" w:rsidR="000D0D0F" w:rsidRDefault="000D0D0F" w:rsidP="005220C1">
    <w:pPr>
      <w:pStyle w:val="Piedepgina"/>
      <w:jc w:val="center"/>
    </w:pPr>
    <w:r>
      <w:fldChar w:fldCharType="begin"/>
    </w:r>
    <w:r>
      <w:instrText>PAGE   \* MERGEFORMAT</w:instrText>
    </w:r>
    <w:r>
      <w:fldChar w:fldCharType="separate"/>
    </w:r>
    <w:r>
      <w:rPr>
        <w:lang w:val="es-ES"/>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08ED" w14:textId="77777777" w:rsidR="000D0D0F" w:rsidRDefault="000D0D0F" w:rsidP="005220C1">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D9C5" w14:textId="77777777" w:rsidR="00410170" w:rsidRDefault="00410170" w:rsidP="000D0D0F">
      <w:r>
        <w:separator/>
      </w:r>
    </w:p>
  </w:footnote>
  <w:footnote w:type="continuationSeparator" w:id="0">
    <w:p w14:paraId="2C64E6F4" w14:textId="77777777" w:rsidR="00410170" w:rsidRDefault="00410170" w:rsidP="000D0D0F">
      <w:r>
        <w:continuationSeparator/>
      </w:r>
    </w:p>
  </w:footnote>
  <w:footnote w:id="1">
    <w:p w14:paraId="4098D759" w14:textId="4BC8E1E3" w:rsidR="007F2101" w:rsidRPr="007F2101" w:rsidRDefault="007F2101" w:rsidP="009E1122">
      <w:pPr>
        <w:pStyle w:val="Textonotapie"/>
        <w:jc w:val="both"/>
        <w:rPr>
          <w:lang w:val="es-MX"/>
        </w:rPr>
      </w:pPr>
      <w:r>
        <w:rPr>
          <w:rStyle w:val="Refdenotaalpie"/>
        </w:rPr>
        <w:footnoteRef/>
      </w:r>
      <w:r>
        <w:t xml:space="preserve"> </w:t>
      </w:r>
      <w:r w:rsidR="009E1122" w:rsidRPr="00C52547">
        <w:rPr>
          <w:rFonts w:cs="Arial"/>
        </w:rPr>
        <w:t>Dato protegido con fundamento en los artículos 6 y 16 de la Constitución general; 68, fracción VI, y 116 de la Ley General de Transparencia y Acceso a la Información Pública; así como 3, fracción IX; 31 y 47, de la Ley General de Protección de Datos Personales en Posesión de Sujetos Obligados</w:t>
      </w:r>
      <w:r w:rsidR="009E1122">
        <w:rPr>
          <w:rFonts w:cs="Arial"/>
        </w:rPr>
        <w:t>.</w:t>
      </w:r>
    </w:p>
  </w:footnote>
  <w:footnote w:id="2">
    <w:p w14:paraId="19FEBC8C" w14:textId="113991F6" w:rsidR="000D0D0F" w:rsidRPr="009A629B" w:rsidRDefault="000D0D0F" w:rsidP="006F6C22">
      <w:pPr>
        <w:pStyle w:val="Textonotapie"/>
        <w:jc w:val="both"/>
        <w:rPr>
          <w:lang w:val="es-MX"/>
        </w:rPr>
      </w:pPr>
      <w:r w:rsidRPr="009A629B">
        <w:rPr>
          <w:rStyle w:val="Refdenotaalpie"/>
        </w:rPr>
        <w:footnoteRef/>
      </w:r>
      <w:r w:rsidRPr="009A629B">
        <w:t xml:space="preserve"> Las fechas corresponden a dos mil veinti</w:t>
      </w:r>
      <w:r w:rsidR="0044087B" w:rsidRPr="009A629B">
        <w:t>séis</w:t>
      </w:r>
      <w:r w:rsidRPr="009A629B">
        <w:t xml:space="preserve">, salvo </w:t>
      </w:r>
      <w:r w:rsidR="007D5B5B" w:rsidRPr="009A629B">
        <w:t>distinta precisión.</w:t>
      </w:r>
    </w:p>
  </w:footnote>
  <w:footnote w:id="3">
    <w:p w14:paraId="6365AB05" w14:textId="163D7EBA" w:rsidR="000D0D0F" w:rsidRPr="009A629B" w:rsidRDefault="000D0D0F" w:rsidP="00487EDE">
      <w:pPr>
        <w:pStyle w:val="Textonotapie"/>
        <w:jc w:val="both"/>
        <w:rPr>
          <w:rFonts w:cs="Arial"/>
          <w:color w:val="000000"/>
        </w:rPr>
      </w:pPr>
      <w:r w:rsidRPr="009A629B">
        <w:rPr>
          <w:rStyle w:val="Refdenotaalpie"/>
          <w:rFonts w:cs="Arial"/>
          <w:color w:val="000000"/>
        </w:rPr>
        <w:footnoteRef/>
      </w:r>
      <w:r w:rsidRPr="009A629B">
        <w:rPr>
          <w:rFonts w:cs="Arial"/>
          <w:color w:val="000000"/>
        </w:rPr>
        <w:t xml:space="preserve"> Con fundamento en lo establecido por los artículos 41, párrafo tercero, base VI</w:t>
      </w:r>
      <w:r w:rsidR="0037266A">
        <w:rPr>
          <w:rFonts w:cs="Arial"/>
          <w:color w:val="000000"/>
        </w:rPr>
        <w:t>,</w:t>
      </w:r>
      <w:r w:rsidRPr="009A629B">
        <w:rPr>
          <w:rFonts w:cs="Arial"/>
          <w:color w:val="000000"/>
        </w:rPr>
        <w:t xml:space="preserve"> y 99, párrafo cuarto, fracción X, de la Constitución </w:t>
      </w:r>
      <w:r w:rsidR="00C748F9">
        <w:rPr>
          <w:rFonts w:cs="Arial"/>
          <w:color w:val="000000"/>
        </w:rPr>
        <w:t>General</w:t>
      </w:r>
      <w:r w:rsidRPr="009A629B">
        <w:rPr>
          <w:rFonts w:cs="Arial"/>
          <w:color w:val="000000"/>
        </w:rPr>
        <w:t xml:space="preserve">; 256, </w:t>
      </w:r>
      <w:r w:rsidRPr="002B7CB9">
        <w:rPr>
          <w:rFonts w:cs="Arial"/>
          <w:color w:val="000000"/>
        </w:rPr>
        <w:t>fracción I</w:t>
      </w:r>
      <w:r w:rsidRPr="009A629B">
        <w:rPr>
          <w:rFonts w:cs="Arial"/>
          <w:color w:val="000000"/>
        </w:rPr>
        <w:t>, inciso b)</w:t>
      </w:r>
      <w:r w:rsidR="0037266A">
        <w:rPr>
          <w:rFonts w:cs="Arial"/>
          <w:color w:val="000000"/>
        </w:rPr>
        <w:t>,</w:t>
      </w:r>
      <w:r w:rsidRPr="009A629B">
        <w:rPr>
          <w:rFonts w:cs="Arial"/>
          <w:color w:val="000000"/>
        </w:rPr>
        <w:t xml:space="preserve"> de la Ley Orgánica del Poder Judicial de la Federación</w:t>
      </w:r>
      <w:r w:rsidR="0037266A">
        <w:rPr>
          <w:rFonts w:cs="Arial"/>
          <w:color w:val="000000"/>
        </w:rPr>
        <w:t>,</w:t>
      </w:r>
      <w:r w:rsidRPr="009A629B">
        <w:rPr>
          <w:rFonts w:cs="Arial"/>
          <w:color w:val="000000"/>
        </w:rPr>
        <w:t xml:space="preserve"> así como 4, párrafo 1</w:t>
      </w:r>
      <w:r w:rsidR="0037266A">
        <w:rPr>
          <w:rFonts w:cs="Arial"/>
          <w:color w:val="000000"/>
        </w:rPr>
        <w:t>,</w:t>
      </w:r>
      <w:r w:rsidRPr="009A629B">
        <w:rPr>
          <w:rFonts w:cs="Arial"/>
          <w:color w:val="000000"/>
        </w:rPr>
        <w:t xml:space="preserve"> y 64 de la Ley de Medios.</w:t>
      </w:r>
    </w:p>
  </w:footnote>
  <w:footnote w:id="4">
    <w:p w14:paraId="747B8EE5" w14:textId="77777777" w:rsidR="005A1580" w:rsidRPr="00D55232" w:rsidRDefault="005A1580" w:rsidP="005A1580">
      <w:pPr>
        <w:pStyle w:val="Textonotapie"/>
        <w:jc w:val="both"/>
        <w:rPr>
          <w:rFonts w:cs="Arial"/>
        </w:rPr>
      </w:pPr>
      <w:r w:rsidRPr="00D55232">
        <w:rPr>
          <w:rStyle w:val="Refdenotaalpie"/>
          <w:rFonts w:cs="Arial"/>
        </w:rPr>
        <w:footnoteRef/>
      </w:r>
      <w:r w:rsidRPr="00D55232">
        <w:rPr>
          <w:rFonts w:cs="Arial"/>
        </w:rPr>
        <w:t xml:space="preserve"> Jurisprudencia 32/2009, de rubro: RECURSO DE RECONSIDERACIÓN. PROCEDE SI EN LA SENTENCIA LA SALA REGIONAL INAPLICA, EXPRESA O IMPLÍCITAMENTE, UNA LEY ELECTORAL POR CONSIDERARLA INCONSTITUCIONAL; publicada en la </w:t>
      </w:r>
      <w:r w:rsidRPr="00D55232">
        <w:rPr>
          <w:rFonts w:cs="Arial"/>
          <w:i/>
          <w:iCs/>
        </w:rPr>
        <w:t>Gaceta de Jurisprudencia y Tesis en materia electoral</w:t>
      </w:r>
      <w:r w:rsidRPr="00D55232">
        <w:rPr>
          <w:rFonts w:cs="Arial"/>
        </w:rPr>
        <w:t xml:space="preserve">, Tribunal Electoral del Poder Judicial de la Federación, año 3, número 5, 2010, pp. 46 a 48. </w:t>
      </w:r>
    </w:p>
    <w:p w14:paraId="4325E200" w14:textId="77777777" w:rsidR="005A1580" w:rsidRPr="00D55232" w:rsidRDefault="005A1580" w:rsidP="005A1580">
      <w:pPr>
        <w:pStyle w:val="Textonotapie"/>
        <w:jc w:val="both"/>
        <w:rPr>
          <w:rFonts w:cs="Arial"/>
        </w:rPr>
      </w:pPr>
      <w:r w:rsidRPr="00D55232">
        <w:rPr>
          <w:rFonts w:cs="Arial"/>
        </w:rPr>
        <w:t xml:space="preserve">Jurisprudencia 17/2012, de rubro: RECURSO DE RECONSIDERACIÓN. PROCEDE CONTRA SENTENCIAS DE LAS SALAS REGIONALES EN LAS QUE EXPRESA O IMPLÍCITAMENTE, SE INAPLICAN NORMAS PARTIDISTAS; publicada en la </w:t>
      </w:r>
      <w:r w:rsidRPr="00D55232">
        <w:rPr>
          <w:rFonts w:cs="Arial"/>
          <w:i/>
          <w:iCs/>
        </w:rPr>
        <w:t>Gaceta de Jurisprudencia y Tesis en materia electoral</w:t>
      </w:r>
      <w:r w:rsidRPr="00D55232">
        <w:rPr>
          <w:rFonts w:cs="Arial"/>
        </w:rPr>
        <w:t xml:space="preserve">, Tribunal Electoral del Poder Judicial de la Federación, año 5, número 10, 2012, pp. 32-34. </w:t>
      </w:r>
    </w:p>
    <w:p w14:paraId="1F5BE8C1" w14:textId="77777777" w:rsidR="005A1580" w:rsidRPr="00D55232" w:rsidRDefault="005A1580" w:rsidP="005A1580">
      <w:pPr>
        <w:pStyle w:val="Textonotapie"/>
        <w:jc w:val="both"/>
        <w:rPr>
          <w:rFonts w:cs="Arial"/>
          <w:lang w:val="es-MX"/>
        </w:rPr>
      </w:pPr>
      <w:r w:rsidRPr="00D55232">
        <w:rPr>
          <w:rFonts w:cs="Arial"/>
        </w:rPr>
        <w:t xml:space="preserve">Jurisprudencia 19/2012, de rubro: RECURSO DE RECONSIDERACIÓN. PROCEDE CONTRA SENTENCIAS DE LAS SALAS REGIONALES CUANDO INAPLIQUEN NORMAS CONSUETUDINARIAS DE CARÁCTER ELECTORAL; publicada en </w:t>
      </w:r>
      <w:r w:rsidRPr="00D55232">
        <w:rPr>
          <w:rFonts w:cs="Arial"/>
          <w:i/>
          <w:iCs/>
        </w:rPr>
        <w:t>Gaceta de Jurisprudencia y Tesis en materia electoral</w:t>
      </w:r>
      <w:r w:rsidRPr="00D55232">
        <w:rPr>
          <w:rFonts w:cs="Arial"/>
        </w:rPr>
        <w:t xml:space="preserve">, Tribunal Electoral del Poder Judicial de la Federación, año 5, número 10, 2012, pp. 30-32. </w:t>
      </w:r>
    </w:p>
  </w:footnote>
  <w:footnote w:id="5">
    <w:p w14:paraId="23FCE3EB"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10/2011, de rubro: RECONSIDERACIÓN. PROCEDE CONTRA SENTENCIAS DE LAS SALAS REGIONALES CUANDO SE OMITE EL ESTUDIO O SE DECLARAN INOPERANTES LOS AGRAVIOS RELACIONADOS CON LA INCONSTITUCIONALIDAD DE NORMAS ELECTORALES, publicada en la </w:t>
      </w:r>
      <w:r w:rsidRPr="00D55232">
        <w:rPr>
          <w:rFonts w:cs="Arial"/>
          <w:i/>
          <w:iCs/>
        </w:rPr>
        <w:t>Gaceta de Jurisprudencia y Tesis en materia electoral</w:t>
      </w:r>
      <w:r w:rsidRPr="00D55232">
        <w:rPr>
          <w:rFonts w:cs="Arial"/>
        </w:rPr>
        <w:t xml:space="preserve">, Tribunal Electoral del Poder Judicial de la Federación, año 4, número 9, 2011, pp. 38 y 39. </w:t>
      </w:r>
    </w:p>
  </w:footnote>
  <w:footnote w:id="6">
    <w:p w14:paraId="37C083DD"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26/2012, de rubro: RECURSO DE RECONSIDERACIÓN. PROCEDE CONTRA SENTENCIAS DE SALAS REGIONALES EN LAS QUE SE INTERPRETEN DIRECTAMENTE PRECEPTOS CONSTITUCIONALES; publicada en la </w:t>
      </w:r>
      <w:r w:rsidRPr="00D55232">
        <w:rPr>
          <w:rFonts w:cs="Arial"/>
          <w:i/>
          <w:iCs/>
        </w:rPr>
        <w:t>Gaceta de Jurisprudencia y Tesis en materia electoral</w:t>
      </w:r>
      <w:r w:rsidRPr="00D55232">
        <w:rPr>
          <w:rFonts w:cs="Arial"/>
        </w:rPr>
        <w:t xml:space="preserve">, Tribunal Electoral del Poder Judicial de la Federación, año 5, número 11, 2012, pp. 24 y 25. </w:t>
      </w:r>
    </w:p>
  </w:footnote>
  <w:footnote w:id="7">
    <w:p w14:paraId="6F8F98CA"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28/2013, de rubro: RECURSO DE RECONSIDERACIÓN. PROCEDE PARA CONTROVERTIR SENTENCIAS DE LAS SALAS REGIONALES CUANDO EJERZAN CONTROL DE CONVENCIONALIDAD; publicada en la </w:t>
      </w:r>
      <w:r w:rsidRPr="00D55232">
        <w:rPr>
          <w:rFonts w:cs="Arial"/>
          <w:i/>
          <w:iCs/>
        </w:rPr>
        <w:t>Gaceta de Jurisprudencia y Tesis en materia electoral</w:t>
      </w:r>
      <w:r w:rsidRPr="00D55232">
        <w:rPr>
          <w:rFonts w:cs="Arial"/>
        </w:rPr>
        <w:t xml:space="preserve">, Tribunal Electoral del Poder Judicial de la Federación, año 6, número 13, 2013, pp. 67 y 68. </w:t>
      </w:r>
    </w:p>
  </w:footnote>
  <w:footnote w:id="8">
    <w:p w14:paraId="72E55F9C" w14:textId="77777777" w:rsidR="005A1580" w:rsidRPr="00D55232" w:rsidRDefault="005A1580" w:rsidP="005A1580">
      <w:pPr>
        <w:pStyle w:val="Textonotapie"/>
        <w:jc w:val="both"/>
        <w:rPr>
          <w:rFonts w:cs="Arial"/>
          <w:color w:val="7030A0"/>
          <w:lang w:val="es-MX"/>
        </w:rPr>
      </w:pPr>
      <w:r w:rsidRPr="00D55232">
        <w:rPr>
          <w:rStyle w:val="Refdenotaalpie"/>
          <w:rFonts w:cs="Arial"/>
        </w:rPr>
        <w:footnoteRef/>
      </w:r>
      <w:r w:rsidRPr="00D55232">
        <w:rPr>
          <w:rFonts w:cs="Arial"/>
        </w:rPr>
        <w:t xml:space="preserve"> Jurisprudencia 5/2014, de rubro: RECURSO DE RECONSIDERACIÓN. PROCEDE CUANDO SE ADUZCA LA EXISTENCIA DE IRREGULARIDADES GRAVES QUE PUEDAN AFECTAR LOS PRINCIPIOS CONSTITUCIONALES Y CONVENCIONALES EXIGIDOS PARA LA VALIDEZ DE LAS ELECCIONES; publicada en la </w:t>
      </w:r>
      <w:r w:rsidRPr="00D55232">
        <w:rPr>
          <w:rFonts w:cs="Arial"/>
          <w:i/>
          <w:iCs/>
        </w:rPr>
        <w:t>Gaceta de Jurisprudencia y Tesis en materia electoral</w:t>
      </w:r>
      <w:r w:rsidRPr="00D55232">
        <w:rPr>
          <w:rFonts w:cs="Arial"/>
        </w:rPr>
        <w:t xml:space="preserve">, Tribunal Electoral del Poder Judicial de la Federación, año 7, número 14, 2014, pp. 25 y 26. </w:t>
      </w:r>
    </w:p>
  </w:footnote>
  <w:footnote w:id="9">
    <w:p w14:paraId="6491E8F8"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12/2018, de rubro: RECURSO DE RECONSIDERACIÓN. PROCEDE CONTRA SENTENCIAS DE DESECHAMIENTO CUANDO SE ADVIERTA UNA VIOLACIÓN MANIFIESTA AL DEBIDO PROCESO O EN CASO DE NOTORIO ERROR JUDICIAL; publicada en la </w:t>
      </w:r>
      <w:r w:rsidRPr="00D55232">
        <w:rPr>
          <w:rFonts w:cs="Arial"/>
          <w:i/>
          <w:iCs/>
        </w:rPr>
        <w:t>Gaceta de Jurisprudencia y Tesis en materia electoral</w:t>
      </w:r>
      <w:r w:rsidRPr="00D55232">
        <w:rPr>
          <w:rFonts w:cs="Arial"/>
        </w:rPr>
        <w:t xml:space="preserve">, Tribunal Electoral del Poder Judicial de la Federación, año 10, número 21, 2018, pp. 30 y 31. </w:t>
      </w:r>
    </w:p>
  </w:footnote>
  <w:footnote w:id="10">
    <w:p w14:paraId="4CA35154"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5/2019, de rubro: </w:t>
      </w:r>
      <w:r w:rsidRPr="00D55232">
        <w:rPr>
          <w:rFonts w:cs="Arial"/>
          <w:shd w:val="clear" w:color="auto" w:fill="FFFFFF"/>
        </w:rPr>
        <w:t xml:space="preserve">RECURSO DE RECONSIDERACIÓN. ES PROCEDENTE PARA ANALIZAR ASUNTOS RELEVANTES Y TRASCENDENTES; publicada en la </w:t>
      </w:r>
      <w:r w:rsidRPr="00D55232">
        <w:rPr>
          <w:rFonts w:cs="Arial"/>
          <w:i/>
          <w:iCs/>
          <w:shd w:val="clear" w:color="auto" w:fill="FFFFFF"/>
        </w:rPr>
        <w:t>Gaceta de Jurisprudencia y Tesis en materia electoral</w:t>
      </w:r>
      <w:r w:rsidRPr="00D55232">
        <w:rPr>
          <w:rFonts w:cs="Arial"/>
          <w:shd w:val="clear" w:color="auto" w:fill="FFFFFF"/>
        </w:rPr>
        <w:t xml:space="preserve">, Tribunal Electoral del Poder Judicial de la Federación, año 12, número 23, 2019, pp. 21 y 22. </w:t>
      </w:r>
    </w:p>
  </w:footnote>
  <w:footnote w:id="11">
    <w:p w14:paraId="3073D830" w14:textId="77777777" w:rsidR="005A1580" w:rsidRPr="00D55232" w:rsidRDefault="005A1580" w:rsidP="005A1580">
      <w:pPr>
        <w:pStyle w:val="Textonotapie"/>
        <w:jc w:val="both"/>
        <w:rPr>
          <w:rFonts w:cs="Arial"/>
          <w:lang w:val="es-MX"/>
        </w:rPr>
      </w:pPr>
      <w:r w:rsidRPr="00D55232">
        <w:rPr>
          <w:rStyle w:val="Refdenotaalpie"/>
          <w:rFonts w:cs="Arial"/>
        </w:rPr>
        <w:footnoteRef/>
      </w:r>
      <w:r w:rsidRPr="00D55232">
        <w:rPr>
          <w:rFonts w:cs="Arial"/>
        </w:rPr>
        <w:t xml:space="preserve"> Jurisprudencia 13/2022, de rubro: RECURSO DE RECONSIDERACIÓN. ES LA VÍA IDÓNEA PARA CONTROVERTIR LAS MEDIDAS DE APREMIO IMPUESTAS POR LAS SALAS REGIONALES POR IRREGULARIDADES COMETIDAS DURANTE LA SUSTANCIACIÓN DE MEDIOS DE IMPUGNACIÓN O VINCULADAS CON LA EJECUCIÓN DE SUS SENTENCIAS; publicada en la </w:t>
      </w:r>
      <w:r w:rsidRPr="00D55232">
        <w:rPr>
          <w:rFonts w:cs="Arial"/>
          <w:i/>
          <w:iCs/>
        </w:rPr>
        <w:t>Gaceta de Jurisprudencia y Tesis en materia electoral</w:t>
      </w:r>
      <w:r w:rsidRPr="00D55232">
        <w:rPr>
          <w:rFonts w:cs="Arial"/>
        </w:rPr>
        <w:t>, Tribunal Electoral del Poder Judicial de la Federación, año 15, número 27, 2022, pp. 49, 50 y 51.</w:t>
      </w:r>
    </w:p>
  </w:footnote>
  <w:footnote w:id="12">
    <w:p w14:paraId="673966A7" w14:textId="77777777" w:rsidR="005A1580" w:rsidRPr="00D55232" w:rsidRDefault="005A1580" w:rsidP="005A1580">
      <w:pPr>
        <w:pStyle w:val="Textonotapie"/>
        <w:jc w:val="both"/>
        <w:rPr>
          <w:rFonts w:cs="Arial"/>
          <w:color w:val="7030A0"/>
          <w:lang w:val="es-MX"/>
        </w:rPr>
      </w:pPr>
      <w:r w:rsidRPr="00D55232">
        <w:rPr>
          <w:rStyle w:val="Refdenotaalpie"/>
          <w:rFonts w:cs="Arial"/>
        </w:rPr>
        <w:footnoteRef/>
      </w:r>
      <w:r w:rsidRPr="00D55232">
        <w:rPr>
          <w:rFonts w:cs="Arial"/>
        </w:rPr>
        <w:t xml:space="preserve"> Jurisprudencia 13/2023, de rubro: RECURSO DE RECONSIDERACIÓN. ES PROCEDENTE PARA IMPUGNAR LAS RESOLUCIONES DE LAS SALAS REGIONALES EN LAS QUE SE DECLARE LA IMPOSIBILIDAD DE CUMPLIR UNA SENTENCIA; publicada en la </w:t>
      </w:r>
      <w:r w:rsidRPr="00D55232">
        <w:rPr>
          <w:rFonts w:cs="Arial"/>
          <w:i/>
          <w:iCs/>
        </w:rPr>
        <w:t>Gaceta Jurisprudencia y Tesis en materia electoral</w:t>
      </w:r>
      <w:r w:rsidRPr="00D55232">
        <w:rPr>
          <w:rFonts w:cs="Arial"/>
        </w:rPr>
        <w:t>, Tribunal Electoral del Poder Judicial de la Federación, año 16, número 28, 2023, pp. 44 y 45.</w:t>
      </w:r>
    </w:p>
  </w:footnote>
  <w:footnote w:id="13">
    <w:p w14:paraId="589BAC5F" w14:textId="153F5BD2" w:rsidR="00872F73" w:rsidRPr="00872F73" w:rsidRDefault="00872F73" w:rsidP="00872F73">
      <w:pPr>
        <w:pStyle w:val="Textonotapie"/>
        <w:jc w:val="both"/>
        <w:rPr>
          <w:lang w:val="es-MX"/>
        </w:rPr>
      </w:pPr>
      <w:r>
        <w:rPr>
          <w:rStyle w:val="Refdenotaalpie"/>
        </w:rPr>
        <w:footnoteRef/>
      </w:r>
      <w:r>
        <w:t xml:space="preserve"> Ver </w:t>
      </w:r>
      <w:r w:rsidRPr="00872F73">
        <w:rPr>
          <w:i/>
          <w:iCs/>
        </w:rPr>
        <w:t>Gaceta de Jurisprudencia y Tesis en materia electoral</w:t>
      </w:r>
      <w:r w:rsidRPr="00872F73">
        <w:t>, Tribunal Electoral del Poder Judicial de la Federación, Año 12, Número 23, 2019, páginas 23 y 24.</w:t>
      </w:r>
    </w:p>
  </w:footnote>
  <w:footnote w:id="14">
    <w:p w14:paraId="55970FA9" w14:textId="6EF80DA9" w:rsidR="00F04C5D" w:rsidRPr="005D0F56" w:rsidRDefault="00F04C5D" w:rsidP="00F04C5D">
      <w:pPr>
        <w:pStyle w:val="Textonotapie"/>
        <w:jc w:val="both"/>
        <w:rPr>
          <w:rFonts w:cs="Arial"/>
          <w:szCs w:val="22"/>
        </w:rPr>
      </w:pPr>
      <w:r>
        <w:rPr>
          <w:rStyle w:val="Refdenotaalpie"/>
        </w:rPr>
        <w:footnoteRef/>
      </w:r>
      <w:r>
        <w:t xml:space="preserve"> </w:t>
      </w:r>
      <w:r w:rsidR="00164625">
        <w:t xml:space="preserve">Ver </w:t>
      </w:r>
      <w:r w:rsidRPr="00164625">
        <w:rPr>
          <w:rFonts w:cs="Arial"/>
          <w:i/>
          <w:iCs/>
          <w:szCs w:val="22"/>
          <w:lang w:val="es-MX"/>
        </w:rPr>
        <w:t>Gaceta de Jurisprudencia y Tesis en materia electoral</w:t>
      </w:r>
      <w:r w:rsidRPr="00990E1E">
        <w:rPr>
          <w:rFonts w:cs="Arial"/>
          <w:szCs w:val="22"/>
          <w:lang w:val="es-MX"/>
        </w:rPr>
        <w:t>, Tribunal Electoral del Poder Judicial de la Federación, Año 7, Número 14, 2014, páginas 25 y 26.</w:t>
      </w:r>
    </w:p>
  </w:footnote>
  <w:footnote w:id="15">
    <w:p w14:paraId="0E80A1C3" w14:textId="0867DD9E" w:rsidR="00F04C5D" w:rsidRPr="00164625" w:rsidRDefault="00F04C5D" w:rsidP="00164625">
      <w:pPr>
        <w:pStyle w:val="Textonotapie"/>
        <w:jc w:val="both"/>
        <w:rPr>
          <w:rFonts w:cs="Arial"/>
          <w:szCs w:val="22"/>
        </w:rPr>
      </w:pPr>
      <w:r>
        <w:rPr>
          <w:rStyle w:val="Refdenotaalpie"/>
        </w:rPr>
        <w:footnoteRef/>
      </w:r>
      <w:r>
        <w:t xml:space="preserve"> </w:t>
      </w:r>
      <w:r w:rsidR="00164625">
        <w:t xml:space="preserve">Consultar </w:t>
      </w:r>
      <w:r w:rsidRPr="00164625">
        <w:rPr>
          <w:rFonts w:cs="Arial"/>
          <w:i/>
          <w:iCs/>
          <w:szCs w:val="22"/>
        </w:rPr>
        <w:t>Gaceta de Jurisprudencia y Tesis en materia electoral</w:t>
      </w:r>
      <w:r w:rsidRPr="004A41A2">
        <w:rPr>
          <w:rFonts w:cs="Arial"/>
          <w:szCs w:val="22"/>
        </w:rPr>
        <w:t>, Tribunal Electoral del Poder Judicial de la Federación, Año 12, Número 23, 2019, páginas 21 y 22.</w:t>
      </w:r>
      <w:r>
        <w:rPr>
          <w:rFonts w:cs="Arial"/>
          <w:szCs w:val="22"/>
        </w:rPr>
        <w:t xml:space="preserve"> </w:t>
      </w:r>
    </w:p>
  </w:footnote>
  <w:footnote w:id="16">
    <w:p w14:paraId="77CA8064" w14:textId="77777777" w:rsidR="00F04C5D" w:rsidRPr="00C55404" w:rsidRDefault="00F04C5D" w:rsidP="00F04C5D">
      <w:pPr>
        <w:pStyle w:val="Textonotapie"/>
        <w:jc w:val="both"/>
        <w:rPr>
          <w:lang w:val="es-MX"/>
        </w:rPr>
      </w:pPr>
      <w:r>
        <w:rPr>
          <w:rStyle w:val="Refdenotaalpie"/>
        </w:rPr>
        <w:footnoteRef/>
      </w:r>
      <w:r>
        <w:t xml:space="preserve"> </w:t>
      </w:r>
      <w:r w:rsidRPr="009B35C9">
        <w:rPr>
          <w:rFonts w:cs="Arial"/>
        </w:rPr>
        <w:t>Véase SUP-REC-400/2024, SUP-REC-304/2023, SUP-REC-305/2023 y acumulado, y SUP-REC-22948/2024;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92B7" w14:textId="77777777" w:rsidR="009106E9" w:rsidRDefault="009106E9" w:rsidP="009106E9">
    <w:pPr>
      <w:pStyle w:val="Encabezado"/>
      <w:jc w:val="right"/>
      <w:rPr>
        <w:rFonts w:cs="Arial"/>
        <w:b/>
        <w:szCs w:val="24"/>
      </w:rPr>
    </w:pPr>
  </w:p>
  <w:p w14:paraId="6584973A" w14:textId="77777777" w:rsidR="009106E9" w:rsidRDefault="009106E9" w:rsidP="009106E9">
    <w:pPr>
      <w:pStyle w:val="Encabezado"/>
      <w:jc w:val="right"/>
      <w:rPr>
        <w:rFonts w:cs="Arial"/>
        <w:b/>
        <w:szCs w:val="24"/>
      </w:rPr>
    </w:pPr>
  </w:p>
  <w:p w14:paraId="6A785ABF" w14:textId="77777777" w:rsidR="009106E9" w:rsidRDefault="009106E9" w:rsidP="009106E9">
    <w:pPr>
      <w:pStyle w:val="Encabezado"/>
      <w:jc w:val="right"/>
      <w:rPr>
        <w:rFonts w:cs="Arial"/>
        <w:b/>
        <w:szCs w:val="24"/>
      </w:rPr>
    </w:pPr>
  </w:p>
  <w:p w14:paraId="3FB8C06F" w14:textId="77777777" w:rsidR="009106E9" w:rsidRDefault="009106E9" w:rsidP="009106E9">
    <w:pPr>
      <w:pStyle w:val="Encabezado"/>
      <w:jc w:val="right"/>
      <w:rPr>
        <w:rFonts w:cs="Arial"/>
        <w:b/>
        <w:szCs w:val="24"/>
      </w:rPr>
    </w:pPr>
  </w:p>
  <w:p w14:paraId="05BDFCA8" w14:textId="1B10053D" w:rsidR="000D0D0F" w:rsidRDefault="000D0D0F" w:rsidP="007037E4">
    <w:pPr>
      <w:pStyle w:val="Encabezado"/>
      <w:jc w:val="right"/>
      <w:rPr>
        <w:rFonts w:cs="Arial"/>
        <w:b/>
        <w:szCs w:val="24"/>
      </w:rPr>
    </w:pPr>
    <w:r>
      <w:rPr>
        <w:rFonts w:cs="Arial"/>
        <w:b/>
        <w:szCs w:val="24"/>
      </w:rPr>
      <w:t>SUP-REC-</w:t>
    </w:r>
    <w:r w:rsidR="005626D7">
      <w:rPr>
        <w:rFonts w:cs="Arial"/>
        <w:b/>
        <w:szCs w:val="24"/>
      </w:rPr>
      <w:t>314</w:t>
    </w:r>
    <w:r w:rsidR="00D82340">
      <w:rPr>
        <w:rFonts w:cs="Arial"/>
        <w:b/>
        <w:szCs w:val="24"/>
      </w:rPr>
      <w:t>/</w:t>
    </w:r>
    <w:r>
      <w:rPr>
        <w:rFonts w:cs="Arial"/>
        <w:b/>
        <w:szCs w:val="24"/>
      </w:rPr>
      <w:t>202</w:t>
    </w:r>
    <w:r w:rsidR="005B5B58">
      <w:rPr>
        <w:rFonts w:cs="Arial"/>
        <w:b/>
        <w:szCs w:val="24"/>
      </w:rPr>
      <w:t>6</w:t>
    </w:r>
  </w:p>
  <w:p w14:paraId="683EFD92" w14:textId="77777777" w:rsidR="00093811" w:rsidRDefault="00093811" w:rsidP="009106E9">
    <w:pPr>
      <w:pStyle w:val="Encabezado"/>
      <w:jc w:val="right"/>
      <w:rPr>
        <w:rFonts w:cs="Arial"/>
        <w:b/>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D6D0" w14:textId="7673D411" w:rsidR="007037E4" w:rsidRDefault="007037E4" w:rsidP="00851F45">
    <w:pPr>
      <w:pStyle w:val="Encabezado"/>
      <w:jc w:val="right"/>
      <w:rPr>
        <w:rFonts w:cs="Arial"/>
        <w:b/>
        <w:szCs w:val="24"/>
      </w:rPr>
    </w:pPr>
    <w:r>
      <w:rPr>
        <w:noProof/>
        <w:lang w:val="es-ES" w:eastAsia="es-ES"/>
      </w:rPr>
      <w:drawing>
        <wp:anchor distT="0" distB="0" distL="114300" distR="114300" simplePos="0" relativeHeight="251661312" behindDoc="0" locked="0" layoutInCell="1" allowOverlap="1" wp14:anchorId="2393B8A5" wp14:editId="6781B96C">
          <wp:simplePos x="0" y="0"/>
          <wp:positionH relativeFrom="leftMargin">
            <wp:posOffset>259715</wp:posOffset>
          </wp:positionH>
          <wp:positionV relativeFrom="paragraph">
            <wp:posOffset>-102870</wp:posOffset>
          </wp:positionV>
          <wp:extent cx="1378585" cy="1191895"/>
          <wp:effectExtent l="0" t="0" r="0" b="8255"/>
          <wp:wrapNone/>
          <wp:docPr id="139718629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8585" cy="1191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15F3A2" w14:textId="57D3E137" w:rsidR="003F3DFF" w:rsidRDefault="003F3DFF" w:rsidP="00851F45">
    <w:pPr>
      <w:pStyle w:val="Encabezado"/>
      <w:jc w:val="right"/>
      <w:rPr>
        <w:rFonts w:cs="Arial"/>
        <w:b/>
        <w:szCs w:val="24"/>
      </w:rPr>
    </w:pPr>
  </w:p>
  <w:p w14:paraId="35767D6E" w14:textId="77777777" w:rsidR="003F3DFF" w:rsidRDefault="003F3DFF" w:rsidP="00851F45">
    <w:pPr>
      <w:pStyle w:val="Encabezado"/>
      <w:jc w:val="right"/>
      <w:rPr>
        <w:rFonts w:cs="Arial"/>
        <w:b/>
        <w:szCs w:val="24"/>
      </w:rPr>
    </w:pPr>
  </w:p>
  <w:p w14:paraId="41ECA05F" w14:textId="77777777" w:rsidR="007037E4" w:rsidRDefault="007037E4" w:rsidP="00851F45">
    <w:pPr>
      <w:pStyle w:val="Encabezado"/>
      <w:jc w:val="right"/>
      <w:rPr>
        <w:rFonts w:cs="Arial"/>
        <w:b/>
        <w:szCs w:val="24"/>
      </w:rPr>
    </w:pPr>
  </w:p>
  <w:p w14:paraId="61D217F4" w14:textId="4FEF3943" w:rsidR="000D0D0F" w:rsidRDefault="000D0D0F" w:rsidP="00851F45">
    <w:pPr>
      <w:pStyle w:val="Encabezado"/>
      <w:jc w:val="right"/>
      <w:rPr>
        <w:rFonts w:cs="Arial"/>
        <w:b/>
        <w:szCs w:val="24"/>
      </w:rPr>
    </w:pPr>
    <w:r>
      <w:rPr>
        <w:rFonts w:cs="Arial"/>
        <w:b/>
        <w:szCs w:val="24"/>
      </w:rPr>
      <w:t>SUP-REC-</w:t>
    </w:r>
    <w:r w:rsidR="005626D7">
      <w:rPr>
        <w:rFonts w:cs="Arial"/>
        <w:b/>
        <w:szCs w:val="24"/>
      </w:rPr>
      <w:t>314</w:t>
    </w:r>
    <w:r w:rsidR="00D82340">
      <w:rPr>
        <w:rFonts w:cs="Arial"/>
        <w:b/>
        <w:szCs w:val="24"/>
      </w:rPr>
      <w:t>/2026</w:t>
    </w:r>
  </w:p>
  <w:p w14:paraId="1F3BA723" w14:textId="77777777" w:rsidR="00D82340" w:rsidRDefault="00D82340" w:rsidP="00851F45">
    <w:pPr>
      <w:pStyle w:val="Encabezado"/>
      <w:jc w:val="right"/>
      <w:rPr>
        <w:rFonts w:cs="Arial"/>
        <w:b/>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21D1" w14:textId="0113C8E8" w:rsidR="00BC3E5A" w:rsidRDefault="00BC3E5A">
    <w:pPr>
      <w:pStyle w:val="Encabezado"/>
    </w:pPr>
    <w:r>
      <w:rPr>
        <w:noProof/>
        <w:lang w:val="es-ES" w:eastAsia="es-ES"/>
      </w:rPr>
      <w:drawing>
        <wp:anchor distT="0" distB="0" distL="114300" distR="114300" simplePos="0" relativeHeight="251659264" behindDoc="0" locked="0" layoutInCell="1" allowOverlap="1" wp14:anchorId="6F0F2320" wp14:editId="7EB6690D">
          <wp:simplePos x="0" y="0"/>
          <wp:positionH relativeFrom="leftMargin">
            <wp:posOffset>346710</wp:posOffset>
          </wp:positionH>
          <wp:positionV relativeFrom="paragraph">
            <wp:posOffset>-89535</wp:posOffset>
          </wp:positionV>
          <wp:extent cx="1378585" cy="1191895"/>
          <wp:effectExtent l="0" t="0" r="0" b="8255"/>
          <wp:wrapNone/>
          <wp:docPr id="66174242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8585" cy="1191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E3D"/>
    <w:multiLevelType w:val="hybridMultilevel"/>
    <w:tmpl w:val="03E81EA8"/>
    <w:lvl w:ilvl="0" w:tplc="6A76A9C2">
      <w:start w:val="1"/>
      <w:numFmt w:val="decimal"/>
      <w:lvlText w:val="%1."/>
      <w:lvlJc w:val="left"/>
      <w:pPr>
        <w:ind w:left="720" w:hanging="360"/>
      </w:pPr>
      <w:rPr>
        <w:rFonts w:eastAsia="Calibri" w:hint="default"/>
        <w:b/>
        <w:bCs w:val="0"/>
        <w:i w:val="0"/>
        <w:iCs w:val="0"/>
        <w:color w:val="auto"/>
        <w:sz w:val="16"/>
        <w:szCs w:val="16"/>
      </w:rPr>
    </w:lvl>
    <w:lvl w:ilvl="1" w:tplc="6FD6D3AE">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93694"/>
    <w:multiLevelType w:val="hybridMultilevel"/>
    <w:tmpl w:val="1244104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7D63E5D"/>
    <w:multiLevelType w:val="multilevel"/>
    <w:tmpl w:val="07E2AF0E"/>
    <w:lvl w:ilvl="0">
      <w:start w:val="1"/>
      <w:numFmt w:val="decimal"/>
      <w:lvlText w:val="%1."/>
      <w:lvlJc w:val="left"/>
      <w:pPr>
        <w:ind w:left="720" w:hanging="360"/>
      </w:pPr>
      <w:rPr>
        <w:rFonts w:hint="default"/>
        <w:b/>
        <w:bCs w:val="0"/>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3" w15:restartNumberingAfterBreak="0">
    <w:nsid w:val="0AD254C0"/>
    <w:multiLevelType w:val="hybridMultilevel"/>
    <w:tmpl w:val="A1A0DF0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4" w15:restartNumberingAfterBreak="0">
    <w:nsid w:val="0D3E4164"/>
    <w:multiLevelType w:val="hybridMultilevel"/>
    <w:tmpl w:val="9508C8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9E38E6"/>
    <w:multiLevelType w:val="hybridMultilevel"/>
    <w:tmpl w:val="A386C7C2"/>
    <w:lvl w:ilvl="0" w:tplc="1844627C">
      <w:start w:val="5"/>
      <w:numFmt w:val="bullet"/>
      <w:lvlText w:val="-"/>
      <w:lvlJc w:val="left"/>
      <w:pPr>
        <w:ind w:left="1211" w:hanging="360"/>
      </w:pPr>
      <w:rPr>
        <w:rFonts w:ascii="Arial" w:eastAsia="Calibri" w:hAnsi="Aria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17A01A37"/>
    <w:multiLevelType w:val="multilevel"/>
    <w:tmpl w:val="E9F283D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A68481C"/>
    <w:multiLevelType w:val="hybridMultilevel"/>
    <w:tmpl w:val="8A2057F6"/>
    <w:lvl w:ilvl="0" w:tplc="080A000F">
      <w:start w:val="1"/>
      <w:numFmt w:val="decimal"/>
      <w:lvlText w:val="%1."/>
      <w:lvlJc w:val="left"/>
      <w:pPr>
        <w:ind w:left="720" w:hanging="36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CC6DAC"/>
    <w:multiLevelType w:val="multilevel"/>
    <w:tmpl w:val="6FD2334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2E0AC5"/>
    <w:multiLevelType w:val="hybridMultilevel"/>
    <w:tmpl w:val="9C0ACC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EE03DFE"/>
    <w:multiLevelType w:val="hybridMultilevel"/>
    <w:tmpl w:val="5444168E"/>
    <w:lvl w:ilvl="0" w:tplc="42007860">
      <w:start w:val="1"/>
      <w:numFmt w:val="decimal"/>
      <w:lvlText w:val="(%1)"/>
      <w:lvlJc w:val="left"/>
      <w:pPr>
        <w:ind w:left="6171" w:hanging="360"/>
      </w:pPr>
      <w:rPr>
        <w:rFonts w:ascii="Arial" w:hAnsi="Arial" w:cs="Arial" w:hint="default"/>
        <w:b w:val="0"/>
        <w:bCs w:val="0"/>
        <w:i w:val="0"/>
        <w:iCs w:val="0"/>
        <w:caps w:val="0"/>
        <w:smallCaps w:val="0"/>
        <w:strike w:val="0"/>
        <w:dstrike w:val="0"/>
        <w:vanish w:val="0"/>
        <w:webHidden w:val="0"/>
        <w:color w:val="auto"/>
        <w:spacing w:val="0"/>
        <w:kern w:val="0"/>
        <w:sz w:val="16"/>
        <w:szCs w:val="16"/>
        <w:u w:val="none"/>
        <w:effect w:val="none"/>
        <w:vertAlign w:val="baseline"/>
        <w:specVanish w:val="0"/>
        <w14:glow w14:rad="0">
          <w14:srgbClr w14:val="000000"/>
        </w14:glow>
        <w14:shadow w14:blurRad="38100" w14:dist="19050" w14:dir="2700000" w14:sx="100000" w14:sy="100000" w14:kx="0" w14:ky="0" w14:algn="tl">
          <w14:srgbClr w14:val="000000">
            <w14:alpha w14:val="60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14:cntxtAlts w14: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217E198C"/>
    <w:multiLevelType w:val="hybridMultilevel"/>
    <w:tmpl w:val="5446797E"/>
    <w:lvl w:ilvl="0" w:tplc="4E72B93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419077B"/>
    <w:multiLevelType w:val="hybridMultilevel"/>
    <w:tmpl w:val="3216EA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2477194B"/>
    <w:multiLevelType w:val="hybridMultilevel"/>
    <w:tmpl w:val="59963FE2"/>
    <w:lvl w:ilvl="0" w:tplc="19D0BE40">
      <w:start w:val="1"/>
      <w:numFmt w:val="lowerLetter"/>
      <w:lvlText w:val="%1)"/>
      <w:lvlJc w:val="left"/>
      <w:pPr>
        <w:ind w:left="720" w:hanging="360"/>
      </w:pPr>
      <w:rPr>
        <w:b/>
        <w:bCs/>
      </w:r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14" w15:restartNumberingAfterBreak="0">
    <w:nsid w:val="26C03FD1"/>
    <w:multiLevelType w:val="hybridMultilevel"/>
    <w:tmpl w:val="CD468E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15:restartNumberingAfterBreak="0">
    <w:nsid w:val="28D939F8"/>
    <w:multiLevelType w:val="hybridMultilevel"/>
    <w:tmpl w:val="844CEA86"/>
    <w:lvl w:ilvl="0" w:tplc="089493CC">
      <w:start w:val="1"/>
      <w:numFmt w:val="bullet"/>
      <w:lvlText w:val="-"/>
      <w:lvlJc w:val="left"/>
      <w:pPr>
        <w:ind w:left="720" w:hanging="360"/>
      </w:pPr>
      <w:rPr>
        <w:rFonts w:ascii="Arial" w:eastAsiaTheme="minorHAnsi" w:hAnsi="Arial" w:cs="Aria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16" w15:restartNumberingAfterBreak="0">
    <w:nsid w:val="29350B4C"/>
    <w:multiLevelType w:val="hybridMultilevel"/>
    <w:tmpl w:val="F4504E1C"/>
    <w:lvl w:ilvl="0" w:tplc="217289FE">
      <w:start w:val="1"/>
      <w:numFmt w:val="lowerLetter"/>
      <w:lvlText w:val="%1)"/>
      <w:lvlJc w:val="left"/>
      <w:pPr>
        <w:ind w:left="1440" w:hanging="360"/>
      </w:pPr>
      <w:rPr>
        <w:b/>
        <w:bCs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15:restartNumberingAfterBreak="0">
    <w:nsid w:val="2E9F3FD2"/>
    <w:multiLevelType w:val="hybridMultilevel"/>
    <w:tmpl w:val="F6FEEFE6"/>
    <w:lvl w:ilvl="0" w:tplc="BF942DAE">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9C90BA7"/>
    <w:multiLevelType w:val="multilevel"/>
    <w:tmpl w:val="A5DA1A9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0110EC8"/>
    <w:multiLevelType w:val="hybridMultilevel"/>
    <w:tmpl w:val="E108901A"/>
    <w:lvl w:ilvl="0" w:tplc="FFFFFFFF">
      <w:start w:val="1"/>
      <w:numFmt w:val="decimal"/>
      <w:lvlText w:val="(%1)"/>
      <w:lvlJc w:val="left"/>
      <w:pPr>
        <w:ind w:left="360" w:hanging="360"/>
      </w:pPr>
      <w:rPr>
        <w:rFonts w:hint="default"/>
        <w:b w:val="0"/>
        <w:bCs w:val="0"/>
        <w:i w:val="0"/>
        <w:iCs w:val="0"/>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1CB382F"/>
    <w:multiLevelType w:val="hybridMultilevel"/>
    <w:tmpl w:val="6366B54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42C116B4"/>
    <w:multiLevelType w:val="hybridMultilevel"/>
    <w:tmpl w:val="5F5CDB7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506041E1"/>
    <w:multiLevelType w:val="hybridMultilevel"/>
    <w:tmpl w:val="07965D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15:restartNumberingAfterBreak="0">
    <w:nsid w:val="53D42159"/>
    <w:multiLevelType w:val="hybridMultilevel"/>
    <w:tmpl w:val="B5E49C00"/>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D">
      <w:start w:val="1"/>
      <w:numFmt w:val="bullet"/>
      <w:lvlText w:val=""/>
      <w:lvlJc w:val="left"/>
      <w:pPr>
        <w:ind w:left="6314" w:hanging="360"/>
      </w:pPr>
      <w:rPr>
        <w:rFonts w:ascii="Wingdings" w:hAnsi="Wingdings" w:hint="default"/>
      </w:rPr>
    </w:lvl>
    <w:lvl w:ilvl="4" w:tplc="080A000D">
      <w:start w:val="1"/>
      <w:numFmt w:val="bullet"/>
      <w:lvlText w:val=""/>
      <w:lvlJc w:val="left"/>
      <w:pPr>
        <w:ind w:left="3600" w:hanging="360"/>
      </w:pPr>
      <w:rPr>
        <w:rFonts w:ascii="Wingdings" w:hAnsi="Wingdings"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4C259BA"/>
    <w:multiLevelType w:val="hybridMultilevel"/>
    <w:tmpl w:val="B1C43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C9B65F6"/>
    <w:multiLevelType w:val="hybridMultilevel"/>
    <w:tmpl w:val="A8C61EE2"/>
    <w:lvl w:ilvl="0" w:tplc="3B8E1F4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D596D81"/>
    <w:multiLevelType w:val="hybridMultilevel"/>
    <w:tmpl w:val="C86C83B4"/>
    <w:lvl w:ilvl="0" w:tplc="14DC923C">
      <w:start w:val="1"/>
      <w:numFmt w:val="decimal"/>
      <w:lvlText w:val="(%1)"/>
      <w:lvlJc w:val="left"/>
      <w:pPr>
        <w:ind w:left="0" w:firstLine="0"/>
      </w:pPr>
      <w:rPr>
        <w:rFonts w:ascii="Arial" w:hAnsi="Arial" w:hint="default"/>
        <w:b w:val="0"/>
        <w:bCs w:val="0"/>
        <w:i w:val="0"/>
        <w:iCs w:val="0"/>
        <w:strike w:val="0"/>
        <w:color w:val="auto"/>
        <w:sz w:val="18"/>
        <w:lang w:val="es-MX"/>
      </w:rPr>
    </w:lvl>
    <w:lvl w:ilvl="1" w:tplc="080A001B">
      <w:start w:val="1"/>
      <w:numFmt w:val="lowerRoman"/>
      <w:lvlText w:val="%2."/>
      <w:lvlJc w:val="right"/>
      <w:pPr>
        <w:ind w:left="1440" w:hanging="360"/>
      </w:pPr>
      <w:rPr>
        <w:rFonts w:hint="default"/>
        <w:color w:val="auto"/>
      </w:rPr>
    </w:lvl>
    <w:lvl w:ilvl="2" w:tplc="52F62DCE">
      <w:start w:val="1"/>
      <w:numFmt w:val="lowerRoman"/>
      <w:lvlText w:val="%3."/>
      <w:lvlJc w:val="left"/>
      <w:pPr>
        <w:ind w:left="720" w:hanging="360"/>
      </w:pPr>
      <w:rPr>
        <w:rFonts w:hint="default"/>
        <w:i/>
        <w:iCs/>
      </w:rPr>
    </w:lvl>
    <w:lvl w:ilvl="3" w:tplc="3A52E89E">
      <w:start w:val="1"/>
      <w:numFmt w:val="decimal"/>
      <w:lvlText w:val="%4)"/>
      <w:lvlJc w:val="left"/>
      <w:pPr>
        <w:ind w:left="2880" w:hanging="360"/>
      </w:pPr>
      <w:rPr>
        <w:rFonts w:eastAsiaTheme="minorHAnsi" w:hint="default"/>
      </w:rPr>
    </w:lvl>
    <w:lvl w:ilvl="4" w:tplc="97B8E150">
      <w:start w:val="1"/>
      <w:numFmt w:val="decimal"/>
      <w:lvlText w:val="%5."/>
      <w:lvlJc w:val="left"/>
      <w:pPr>
        <w:ind w:left="3600" w:hanging="360"/>
      </w:pPr>
      <w:rPr>
        <w:rFonts w:hint="default"/>
      </w:rPr>
    </w:lvl>
    <w:lvl w:ilvl="5" w:tplc="658C07F0">
      <w:start w:val="1"/>
      <w:numFmt w:val="lowerRoman"/>
      <w:lvlText w:val="%6)"/>
      <w:lvlJc w:val="left"/>
      <w:pPr>
        <w:ind w:left="4860" w:hanging="720"/>
      </w:pPr>
      <w:rPr>
        <w:rFonts w:hint="default"/>
      </w:r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E7F72AB"/>
    <w:multiLevelType w:val="hybridMultilevel"/>
    <w:tmpl w:val="B22A99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A9F2799"/>
    <w:multiLevelType w:val="hybridMultilevel"/>
    <w:tmpl w:val="331C297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15:restartNumberingAfterBreak="0">
    <w:nsid w:val="6EAE4C11"/>
    <w:multiLevelType w:val="hybridMultilevel"/>
    <w:tmpl w:val="C8C851C4"/>
    <w:lvl w:ilvl="0" w:tplc="EF588634">
      <w:start w:val="30"/>
      <w:numFmt w:val="decimal"/>
      <w:lvlText w:val="(%1)"/>
      <w:lvlJc w:val="left"/>
      <w:pPr>
        <w:ind w:left="360" w:hanging="360"/>
      </w:pPr>
      <w:rPr>
        <w:rFonts w:ascii="Arial" w:hAnsi="Arial" w:cs="Times New Roman" w:hint="default"/>
        <w:b w:val="0"/>
        <w:bCs w:val="0"/>
        <w:i w:val="0"/>
        <w:color w:val="auto"/>
        <w:sz w:val="14"/>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15:restartNumberingAfterBreak="0">
    <w:nsid w:val="70605683"/>
    <w:multiLevelType w:val="hybridMultilevel"/>
    <w:tmpl w:val="56486C0A"/>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31" w15:restartNumberingAfterBreak="0">
    <w:nsid w:val="70621F32"/>
    <w:multiLevelType w:val="hybridMultilevel"/>
    <w:tmpl w:val="AA36509A"/>
    <w:lvl w:ilvl="0" w:tplc="B2FE6982">
      <w:start w:val="1"/>
      <w:numFmt w:val="decimal"/>
      <w:lvlText w:val="(%1)"/>
      <w:lvlJc w:val="left"/>
      <w:pPr>
        <w:ind w:left="360" w:hanging="360"/>
      </w:pPr>
      <w:rPr>
        <w:rFonts w:hint="default"/>
        <w:b w:val="0"/>
        <w:bCs w:val="0"/>
        <w:i w:val="0"/>
        <w:iCs w:val="0"/>
        <w:sz w:val="18"/>
        <w:szCs w:val="18"/>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1581E54"/>
    <w:multiLevelType w:val="multilevel"/>
    <w:tmpl w:val="DE82CAD2"/>
    <w:lvl w:ilvl="0">
      <w:start w:val="1"/>
      <w:numFmt w:val="decimal"/>
      <w:lvlText w:val="(%1)"/>
      <w:lvlJc w:val="left"/>
      <w:pPr>
        <w:ind w:left="480" w:hanging="480"/>
      </w:pPr>
      <w:rPr>
        <w:rFonts w:hint="default"/>
        <w:b w:val="0"/>
        <w:bCs w:val="0"/>
        <w:color w:val="auto"/>
        <w:sz w:val="16"/>
        <w:szCs w:val="16"/>
        <w:vertAlign w:val="baseline"/>
        <w:lang w:val="es-MX"/>
      </w:rPr>
    </w:lvl>
    <w:lvl w:ilvl="1">
      <w:start w:val="1"/>
      <w:numFmt w:val="decimal"/>
      <w:lvlText w:val="(%2)"/>
      <w:lvlJc w:val="left"/>
      <w:pPr>
        <w:ind w:left="360" w:hanging="360"/>
      </w:pPr>
      <w:rPr>
        <w:rFonts w:hint="default"/>
        <w:b w:val="0"/>
        <w:bCs w:val="0"/>
        <w:color w:val="auto"/>
        <w:sz w:val="16"/>
        <w:szCs w:val="16"/>
        <w:vertAlign w:val="baselin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71701A33"/>
    <w:multiLevelType w:val="hybridMultilevel"/>
    <w:tmpl w:val="40FECE5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4" w15:restartNumberingAfterBreak="0">
    <w:nsid w:val="7761128A"/>
    <w:multiLevelType w:val="hybridMultilevel"/>
    <w:tmpl w:val="E108901A"/>
    <w:lvl w:ilvl="0" w:tplc="FFFFFFFF">
      <w:start w:val="1"/>
      <w:numFmt w:val="decimal"/>
      <w:lvlText w:val="(%1)"/>
      <w:lvlJc w:val="left"/>
      <w:pPr>
        <w:ind w:left="360" w:hanging="360"/>
      </w:pPr>
      <w:rPr>
        <w:rFonts w:hint="default"/>
        <w:b w:val="0"/>
        <w:bCs w:val="0"/>
        <w:i w:val="0"/>
        <w:iCs w:val="0"/>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46777496">
    <w:abstractNumId w:val="31"/>
  </w:num>
  <w:num w:numId="2" w16cid:durableId="433747035">
    <w:abstractNumId w:val="30"/>
  </w:num>
  <w:num w:numId="3" w16cid:durableId="1975216667">
    <w:abstractNumId w:val="17"/>
  </w:num>
  <w:num w:numId="4" w16cid:durableId="1840805307">
    <w:abstractNumId w:val="27"/>
  </w:num>
  <w:num w:numId="5" w16cid:durableId="382758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4242468">
    <w:abstractNumId w:val="34"/>
  </w:num>
  <w:num w:numId="7" w16cid:durableId="4909454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4754018">
    <w:abstractNumId w:val="11"/>
  </w:num>
  <w:num w:numId="9" w16cid:durableId="15586649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28237">
    <w:abstractNumId w:val="23"/>
  </w:num>
  <w:num w:numId="11" w16cid:durableId="1782803413">
    <w:abstractNumId w:val="4"/>
  </w:num>
  <w:num w:numId="12" w16cid:durableId="2132705089">
    <w:abstractNumId w:val="3"/>
  </w:num>
  <w:num w:numId="13" w16cid:durableId="1071999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06198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539038">
    <w:abstractNumId w:val="2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7472503">
    <w:abstractNumId w:val="5"/>
  </w:num>
  <w:num w:numId="17" w16cid:durableId="102187002">
    <w:abstractNumId w:val="9"/>
  </w:num>
  <w:num w:numId="18" w16cid:durableId="1999072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3809883">
    <w:abstractNumId w:val="15"/>
  </w:num>
  <w:num w:numId="20" w16cid:durableId="174595799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9868115">
    <w:abstractNumId w:val="14"/>
  </w:num>
  <w:num w:numId="22" w16cid:durableId="752165027">
    <w:abstractNumId w:val="12"/>
  </w:num>
  <w:num w:numId="23" w16cid:durableId="1198588005">
    <w:abstractNumId w:val="28"/>
  </w:num>
  <w:num w:numId="24" w16cid:durableId="1999310388">
    <w:abstractNumId w:val="25"/>
  </w:num>
  <w:num w:numId="25" w16cid:durableId="682245832">
    <w:abstractNumId w:val="7"/>
  </w:num>
  <w:num w:numId="26" w16cid:durableId="944847594">
    <w:abstractNumId w:val="32"/>
  </w:num>
  <w:num w:numId="27" w16cid:durableId="272129248">
    <w:abstractNumId w:val="26"/>
  </w:num>
  <w:num w:numId="28" w16cid:durableId="905335218">
    <w:abstractNumId w:val="19"/>
  </w:num>
  <w:num w:numId="29" w16cid:durableId="26301552">
    <w:abstractNumId w:val="8"/>
  </w:num>
  <w:num w:numId="30" w16cid:durableId="1214005496">
    <w:abstractNumId w:val="0"/>
  </w:num>
  <w:num w:numId="31" w16cid:durableId="158664065">
    <w:abstractNumId w:val="18"/>
  </w:num>
  <w:num w:numId="32" w16cid:durableId="2041585834">
    <w:abstractNumId w:val="24"/>
  </w:num>
  <w:num w:numId="33" w16cid:durableId="1846676185">
    <w:abstractNumId w:val="22"/>
  </w:num>
  <w:num w:numId="34" w16cid:durableId="213542014">
    <w:abstractNumId w:val="1"/>
  </w:num>
  <w:num w:numId="35" w16cid:durableId="54671241">
    <w:abstractNumId w:val="20"/>
  </w:num>
  <w:num w:numId="36" w16cid:durableId="177550471">
    <w:abstractNumId w:val="6"/>
  </w:num>
  <w:num w:numId="37" w16cid:durableId="17060599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D0F"/>
    <w:rsid w:val="00001A05"/>
    <w:rsid w:val="00002EF1"/>
    <w:rsid w:val="00006ECC"/>
    <w:rsid w:val="00013697"/>
    <w:rsid w:val="000153CF"/>
    <w:rsid w:val="00016D0F"/>
    <w:rsid w:val="00020CDC"/>
    <w:rsid w:val="00020DCB"/>
    <w:rsid w:val="00021B7A"/>
    <w:rsid w:val="00022A0B"/>
    <w:rsid w:val="000238AA"/>
    <w:rsid w:val="00023D9F"/>
    <w:rsid w:val="00027451"/>
    <w:rsid w:val="0002790C"/>
    <w:rsid w:val="000301CD"/>
    <w:rsid w:val="000313A4"/>
    <w:rsid w:val="000315BF"/>
    <w:rsid w:val="00031985"/>
    <w:rsid w:val="000350EE"/>
    <w:rsid w:val="00040CFD"/>
    <w:rsid w:val="0004379E"/>
    <w:rsid w:val="0004394E"/>
    <w:rsid w:val="0004477D"/>
    <w:rsid w:val="00046521"/>
    <w:rsid w:val="00050CD2"/>
    <w:rsid w:val="00051C0E"/>
    <w:rsid w:val="00052E5B"/>
    <w:rsid w:val="00055AC1"/>
    <w:rsid w:val="00056316"/>
    <w:rsid w:val="00057178"/>
    <w:rsid w:val="00057881"/>
    <w:rsid w:val="00061213"/>
    <w:rsid w:val="00062E3A"/>
    <w:rsid w:val="00065605"/>
    <w:rsid w:val="000742EC"/>
    <w:rsid w:val="00074475"/>
    <w:rsid w:val="00075541"/>
    <w:rsid w:val="00075DE7"/>
    <w:rsid w:val="000767A3"/>
    <w:rsid w:val="00077B1D"/>
    <w:rsid w:val="00077D4D"/>
    <w:rsid w:val="0008254F"/>
    <w:rsid w:val="00083A4D"/>
    <w:rsid w:val="00083B4D"/>
    <w:rsid w:val="00083C1C"/>
    <w:rsid w:val="00084212"/>
    <w:rsid w:val="00084F0F"/>
    <w:rsid w:val="00086A5D"/>
    <w:rsid w:val="0008788A"/>
    <w:rsid w:val="00087CCD"/>
    <w:rsid w:val="00090A4B"/>
    <w:rsid w:val="000925BC"/>
    <w:rsid w:val="000937F7"/>
    <w:rsid w:val="00093811"/>
    <w:rsid w:val="0009428D"/>
    <w:rsid w:val="0009587D"/>
    <w:rsid w:val="00096B7D"/>
    <w:rsid w:val="000A5C63"/>
    <w:rsid w:val="000A5F1F"/>
    <w:rsid w:val="000A64BC"/>
    <w:rsid w:val="000B119E"/>
    <w:rsid w:val="000B1D91"/>
    <w:rsid w:val="000B43FD"/>
    <w:rsid w:val="000B7739"/>
    <w:rsid w:val="000C3340"/>
    <w:rsid w:val="000C40CD"/>
    <w:rsid w:val="000C4C31"/>
    <w:rsid w:val="000C6FC3"/>
    <w:rsid w:val="000C737A"/>
    <w:rsid w:val="000C7C42"/>
    <w:rsid w:val="000D03DF"/>
    <w:rsid w:val="000D0D0F"/>
    <w:rsid w:val="000D20A0"/>
    <w:rsid w:val="000D45E4"/>
    <w:rsid w:val="000D6482"/>
    <w:rsid w:val="000D7486"/>
    <w:rsid w:val="000E077B"/>
    <w:rsid w:val="000E0B23"/>
    <w:rsid w:val="000E13A0"/>
    <w:rsid w:val="000E2195"/>
    <w:rsid w:val="000F08B8"/>
    <w:rsid w:val="000F0993"/>
    <w:rsid w:val="000F2667"/>
    <w:rsid w:val="000F282E"/>
    <w:rsid w:val="000F4F05"/>
    <w:rsid w:val="00100E96"/>
    <w:rsid w:val="00102A33"/>
    <w:rsid w:val="00103F6E"/>
    <w:rsid w:val="00105ED4"/>
    <w:rsid w:val="0010610F"/>
    <w:rsid w:val="00106F53"/>
    <w:rsid w:val="0011017F"/>
    <w:rsid w:val="00111E74"/>
    <w:rsid w:val="00112D5C"/>
    <w:rsid w:val="0011598A"/>
    <w:rsid w:val="00117130"/>
    <w:rsid w:val="00120786"/>
    <w:rsid w:val="00123265"/>
    <w:rsid w:val="00125B63"/>
    <w:rsid w:val="001264A1"/>
    <w:rsid w:val="001311C2"/>
    <w:rsid w:val="001313F2"/>
    <w:rsid w:val="00134944"/>
    <w:rsid w:val="00134E6A"/>
    <w:rsid w:val="001357D5"/>
    <w:rsid w:val="00135AF1"/>
    <w:rsid w:val="0013605E"/>
    <w:rsid w:val="00136710"/>
    <w:rsid w:val="00136A9B"/>
    <w:rsid w:val="00141387"/>
    <w:rsid w:val="001419EA"/>
    <w:rsid w:val="00142110"/>
    <w:rsid w:val="001426C7"/>
    <w:rsid w:val="00144476"/>
    <w:rsid w:val="001450C1"/>
    <w:rsid w:val="00151AFB"/>
    <w:rsid w:val="001529C3"/>
    <w:rsid w:val="001539B1"/>
    <w:rsid w:val="00156680"/>
    <w:rsid w:val="00156C27"/>
    <w:rsid w:val="001575D3"/>
    <w:rsid w:val="00164625"/>
    <w:rsid w:val="001657A0"/>
    <w:rsid w:val="0016697A"/>
    <w:rsid w:val="0016789A"/>
    <w:rsid w:val="001712B1"/>
    <w:rsid w:val="00173AB4"/>
    <w:rsid w:val="00174271"/>
    <w:rsid w:val="0017461A"/>
    <w:rsid w:val="00177727"/>
    <w:rsid w:val="001800D5"/>
    <w:rsid w:val="001850F1"/>
    <w:rsid w:val="00186E0E"/>
    <w:rsid w:val="00190576"/>
    <w:rsid w:val="001930B1"/>
    <w:rsid w:val="001930E9"/>
    <w:rsid w:val="00193218"/>
    <w:rsid w:val="00193E60"/>
    <w:rsid w:val="00194176"/>
    <w:rsid w:val="00194BB0"/>
    <w:rsid w:val="001966CA"/>
    <w:rsid w:val="001969A5"/>
    <w:rsid w:val="00196EDC"/>
    <w:rsid w:val="001974B6"/>
    <w:rsid w:val="0019751F"/>
    <w:rsid w:val="001A07AC"/>
    <w:rsid w:val="001A7BAC"/>
    <w:rsid w:val="001B0021"/>
    <w:rsid w:val="001B5739"/>
    <w:rsid w:val="001B6474"/>
    <w:rsid w:val="001C00E6"/>
    <w:rsid w:val="001C0642"/>
    <w:rsid w:val="001C0FC2"/>
    <w:rsid w:val="001C16BD"/>
    <w:rsid w:val="001C44F9"/>
    <w:rsid w:val="001C4AA9"/>
    <w:rsid w:val="001C53A1"/>
    <w:rsid w:val="001C5D54"/>
    <w:rsid w:val="001D2B7D"/>
    <w:rsid w:val="001D57E4"/>
    <w:rsid w:val="001E0ECA"/>
    <w:rsid w:val="001E2BDD"/>
    <w:rsid w:val="001E3233"/>
    <w:rsid w:val="001E39ED"/>
    <w:rsid w:val="001E43C7"/>
    <w:rsid w:val="001E449E"/>
    <w:rsid w:val="001E45F7"/>
    <w:rsid w:val="001E55D1"/>
    <w:rsid w:val="001F0106"/>
    <w:rsid w:val="001F0EB6"/>
    <w:rsid w:val="001F4610"/>
    <w:rsid w:val="001F4B69"/>
    <w:rsid w:val="001F7FEE"/>
    <w:rsid w:val="00200503"/>
    <w:rsid w:val="00200922"/>
    <w:rsid w:val="00202A75"/>
    <w:rsid w:val="002039C4"/>
    <w:rsid w:val="00203DF9"/>
    <w:rsid w:val="00204273"/>
    <w:rsid w:val="00207C0E"/>
    <w:rsid w:val="00212748"/>
    <w:rsid w:val="00213221"/>
    <w:rsid w:val="0021492A"/>
    <w:rsid w:val="00215FC2"/>
    <w:rsid w:val="002164F5"/>
    <w:rsid w:val="00224230"/>
    <w:rsid w:val="00224D85"/>
    <w:rsid w:val="00224DB6"/>
    <w:rsid w:val="00227F14"/>
    <w:rsid w:val="00233BF4"/>
    <w:rsid w:val="00235DE4"/>
    <w:rsid w:val="00237ABA"/>
    <w:rsid w:val="002402F5"/>
    <w:rsid w:val="00244080"/>
    <w:rsid w:val="00244479"/>
    <w:rsid w:val="002456F1"/>
    <w:rsid w:val="0024583F"/>
    <w:rsid w:val="00247E3C"/>
    <w:rsid w:val="0025260A"/>
    <w:rsid w:val="00253885"/>
    <w:rsid w:val="00254FFF"/>
    <w:rsid w:val="002554CA"/>
    <w:rsid w:val="00260947"/>
    <w:rsid w:val="00263B55"/>
    <w:rsid w:val="00264ED0"/>
    <w:rsid w:val="00266C5C"/>
    <w:rsid w:val="00270F9E"/>
    <w:rsid w:val="00274D58"/>
    <w:rsid w:val="00275390"/>
    <w:rsid w:val="00275F03"/>
    <w:rsid w:val="00282020"/>
    <w:rsid w:val="00283749"/>
    <w:rsid w:val="002928F4"/>
    <w:rsid w:val="0029454E"/>
    <w:rsid w:val="002945EE"/>
    <w:rsid w:val="00294977"/>
    <w:rsid w:val="0029582D"/>
    <w:rsid w:val="00297636"/>
    <w:rsid w:val="00297F05"/>
    <w:rsid w:val="002A11D8"/>
    <w:rsid w:val="002A2BFA"/>
    <w:rsid w:val="002A3E70"/>
    <w:rsid w:val="002A3FDD"/>
    <w:rsid w:val="002A7637"/>
    <w:rsid w:val="002B57D6"/>
    <w:rsid w:val="002B6CA8"/>
    <w:rsid w:val="002B7CB9"/>
    <w:rsid w:val="002C06E6"/>
    <w:rsid w:val="002C1D3C"/>
    <w:rsid w:val="002C293C"/>
    <w:rsid w:val="002C44DA"/>
    <w:rsid w:val="002C6A55"/>
    <w:rsid w:val="002D2B6E"/>
    <w:rsid w:val="002D5AB4"/>
    <w:rsid w:val="002D5D79"/>
    <w:rsid w:val="002D6119"/>
    <w:rsid w:val="002E1B72"/>
    <w:rsid w:val="002E20D6"/>
    <w:rsid w:val="002E5980"/>
    <w:rsid w:val="002E5ACA"/>
    <w:rsid w:val="002E7390"/>
    <w:rsid w:val="002F15D0"/>
    <w:rsid w:val="002F21F2"/>
    <w:rsid w:val="002F6B55"/>
    <w:rsid w:val="00300755"/>
    <w:rsid w:val="003024AC"/>
    <w:rsid w:val="003039BA"/>
    <w:rsid w:val="00303EAB"/>
    <w:rsid w:val="003055D5"/>
    <w:rsid w:val="00306A3A"/>
    <w:rsid w:val="003074F5"/>
    <w:rsid w:val="00311556"/>
    <w:rsid w:val="003141DA"/>
    <w:rsid w:val="00314B07"/>
    <w:rsid w:val="00316BD8"/>
    <w:rsid w:val="0031746A"/>
    <w:rsid w:val="003237AC"/>
    <w:rsid w:val="00326FC2"/>
    <w:rsid w:val="00327653"/>
    <w:rsid w:val="00327CE0"/>
    <w:rsid w:val="00333D40"/>
    <w:rsid w:val="003350A6"/>
    <w:rsid w:val="00335796"/>
    <w:rsid w:val="00337913"/>
    <w:rsid w:val="003457ED"/>
    <w:rsid w:val="00347683"/>
    <w:rsid w:val="00350557"/>
    <w:rsid w:val="003554D7"/>
    <w:rsid w:val="00355C6E"/>
    <w:rsid w:val="003562E0"/>
    <w:rsid w:val="0035656F"/>
    <w:rsid w:val="00357C24"/>
    <w:rsid w:val="00357EE2"/>
    <w:rsid w:val="003610A5"/>
    <w:rsid w:val="003624D0"/>
    <w:rsid w:val="00371116"/>
    <w:rsid w:val="0037240B"/>
    <w:rsid w:val="0037266A"/>
    <w:rsid w:val="003726FF"/>
    <w:rsid w:val="003765C7"/>
    <w:rsid w:val="003806EE"/>
    <w:rsid w:val="00385C9B"/>
    <w:rsid w:val="0039059C"/>
    <w:rsid w:val="00390A0C"/>
    <w:rsid w:val="00394F8B"/>
    <w:rsid w:val="003A09B5"/>
    <w:rsid w:val="003A0A51"/>
    <w:rsid w:val="003A5A5F"/>
    <w:rsid w:val="003A7BFD"/>
    <w:rsid w:val="003B1AF9"/>
    <w:rsid w:val="003B7ECE"/>
    <w:rsid w:val="003C06D6"/>
    <w:rsid w:val="003C2022"/>
    <w:rsid w:val="003C40D9"/>
    <w:rsid w:val="003C4A02"/>
    <w:rsid w:val="003C51E2"/>
    <w:rsid w:val="003C58D9"/>
    <w:rsid w:val="003C684A"/>
    <w:rsid w:val="003C7338"/>
    <w:rsid w:val="003C7DD3"/>
    <w:rsid w:val="003D543A"/>
    <w:rsid w:val="003D63F5"/>
    <w:rsid w:val="003D6EF6"/>
    <w:rsid w:val="003D7920"/>
    <w:rsid w:val="003E0220"/>
    <w:rsid w:val="003E2B3C"/>
    <w:rsid w:val="003E3048"/>
    <w:rsid w:val="003E3895"/>
    <w:rsid w:val="003E5701"/>
    <w:rsid w:val="003E586A"/>
    <w:rsid w:val="003E658B"/>
    <w:rsid w:val="003E6CF0"/>
    <w:rsid w:val="003E76E2"/>
    <w:rsid w:val="003E7EC7"/>
    <w:rsid w:val="003F18A3"/>
    <w:rsid w:val="003F3DFF"/>
    <w:rsid w:val="003F57D7"/>
    <w:rsid w:val="003F6978"/>
    <w:rsid w:val="00402249"/>
    <w:rsid w:val="00403190"/>
    <w:rsid w:val="00404115"/>
    <w:rsid w:val="00405514"/>
    <w:rsid w:val="004063A2"/>
    <w:rsid w:val="00410170"/>
    <w:rsid w:val="00410665"/>
    <w:rsid w:val="00411B02"/>
    <w:rsid w:val="00413DB6"/>
    <w:rsid w:val="00414F9E"/>
    <w:rsid w:val="004155A1"/>
    <w:rsid w:val="004166A0"/>
    <w:rsid w:val="00416D32"/>
    <w:rsid w:val="00417A33"/>
    <w:rsid w:val="00421799"/>
    <w:rsid w:val="00421CFA"/>
    <w:rsid w:val="00424B9D"/>
    <w:rsid w:val="004301FE"/>
    <w:rsid w:val="00434266"/>
    <w:rsid w:val="00434529"/>
    <w:rsid w:val="00437BF8"/>
    <w:rsid w:val="0044087B"/>
    <w:rsid w:val="00441006"/>
    <w:rsid w:val="0044166B"/>
    <w:rsid w:val="00441A83"/>
    <w:rsid w:val="00443552"/>
    <w:rsid w:val="004500A2"/>
    <w:rsid w:val="004536CD"/>
    <w:rsid w:val="00454BDF"/>
    <w:rsid w:val="00455B3B"/>
    <w:rsid w:val="004563D0"/>
    <w:rsid w:val="0045774D"/>
    <w:rsid w:val="00464863"/>
    <w:rsid w:val="00472008"/>
    <w:rsid w:val="00473948"/>
    <w:rsid w:val="00473BFB"/>
    <w:rsid w:val="00476522"/>
    <w:rsid w:val="00476B9D"/>
    <w:rsid w:val="00480F85"/>
    <w:rsid w:val="00481026"/>
    <w:rsid w:val="00481B63"/>
    <w:rsid w:val="004822DA"/>
    <w:rsid w:val="004823E3"/>
    <w:rsid w:val="004826A3"/>
    <w:rsid w:val="00486587"/>
    <w:rsid w:val="00487BA9"/>
    <w:rsid w:val="00487EDE"/>
    <w:rsid w:val="00492666"/>
    <w:rsid w:val="00492C5C"/>
    <w:rsid w:val="00493B59"/>
    <w:rsid w:val="004942A4"/>
    <w:rsid w:val="004945FE"/>
    <w:rsid w:val="00496277"/>
    <w:rsid w:val="00497208"/>
    <w:rsid w:val="004A13E6"/>
    <w:rsid w:val="004A16D5"/>
    <w:rsid w:val="004A2034"/>
    <w:rsid w:val="004A2137"/>
    <w:rsid w:val="004A245A"/>
    <w:rsid w:val="004A334A"/>
    <w:rsid w:val="004A3E4D"/>
    <w:rsid w:val="004A424F"/>
    <w:rsid w:val="004A666A"/>
    <w:rsid w:val="004B3739"/>
    <w:rsid w:val="004B3CB9"/>
    <w:rsid w:val="004B4E97"/>
    <w:rsid w:val="004B4F02"/>
    <w:rsid w:val="004C0CC7"/>
    <w:rsid w:val="004C6EA9"/>
    <w:rsid w:val="004C7CD4"/>
    <w:rsid w:val="004D3664"/>
    <w:rsid w:val="004D4059"/>
    <w:rsid w:val="004D4A02"/>
    <w:rsid w:val="004D6623"/>
    <w:rsid w:val="004D6697"/>
    <w:rsid w:val="004D711D"/>
    <w:rsid w:val="004D7380"/>
    <w:rsid w:val="004D7C25"/>
    <w:rsid w:val="004E0E77"/>
    <w:rsid w:val="004F0BBC"/>
    <w:rsid w:val="004F0EDE"/>
    <w:rsid w:val="004F188F"/>
    <w:rsid w:val="004F35CE"/>
    <w:rsid w:val="004F3991"/>
    <w:rsid w:val="004F53C4"/>
    <w:rsid w:val="004F5A24"/>
    <w:rsid w:val="004F7E9E"/>
    <w:rsid w:val="0050476B"/>
    <w:rsid w:val="00507562"/>
    <w:rsid w:val="00511E72"/>
    <w:rsid w:val="00516AFE"/>
    <w:rsid w:val="00517E55"/>
    <w:rsid w:val="005226B4"/>
    <w:rsid w:val="005242C8"/>
    <w:rsid w:val="00526C35"/>
    <w:rsid w:val="005311F1"/>
    <w:rsid w:val="005319D0"/>
    <w:rsid w:val="00532B59"/>
    <w:rsid w:val="005349E8"/>
    <w:rsid w:val="00542E1A"/>
    <w:rsid w:val="00550201"/>
    <w:rsid w:val="005516D1"/>
    <w:rsid w:val="00551FC7"/>
    <w:rsid w:val="0055320F"/>
    <w:rsid w:val="005544BC"/>
    <w:rsid w:val="00554660"/>
    <w:rsid w:val="0055687D"/>
    <w:rsid w:val="005626D7"/>
    <w:rsid w:val="005641C8"/>
    <w:rsid w:val="00564835"/>
    <w:rsid w:val="00564CB3"/>
    <w:rsid w:val="00570D0B"/>
    <w:rsid w:val="005721D2"/>
    <w:rsid w:val="0057333E"/>
    <w:rsid w:val="00576A8E"/>
    <w:rsid w:val="00576B08"/>
    <w:rsid w:val="005774C7"/>
    <w:rsid w:val="00580490"/>
    <w:rsid w:val="00581F54"/>
    <w:rsid w:val="00583FF4"/>
    <w:rsid w:val="00584C43"/>
    <w:rsid w:val="00585B90"/>
    <w:rsid w:val="005870F2"/>
    <w:rsid w:val="00590709"/>
    <w:rsid w:val="00590E25"/>
    <w:rsid w:val="005911EE"/>
    <w:rsid w:val="0059194E"/>
    <w:rsid w:val="00591E0A"/>
    <w:rsid w:val="00592855"/>
    <w:rsid w:val="00593A13"/>
    <w:rsid w:val="00594F6C"/>
    <w:rsid w:val="00595E5E"/>
    <w:rsid w:val="00596AE0"/>
    <w:rsid w:val="0059706C"/>
    <w:rsid w:val="005970D4"/>
    <w:rsid w:val="005A05DD"/>
    <w:rsid w:val="005A1580"/>
    <w:rsid w:val="005A1E20"/>
    <w:rsid w:val="005A5C18"/>
    <w:rsid w:val="005A5FB2"/>
    <w:rsid w:val="005A7A7C"/>
    <w:rsid w:val="005B5205"/>
    <w:rsid w:val="005B5B58"/>
    <w:rsid w:val="005B5B70"/>
    <w:rsid w:val="005B5C1D"/>
    <w:rsid w:val="005B7503"/>
    <w:rsid w:val="005C4B6E"/>
    <w:rsid w:val="005C4BA8"/>
    <w:rsid w:val="005C7117"/>
    <w:rsid w:val="005D03F4"/>
    <w:rsid w:val="005D26D4"/>
    <w:rsid w:val="005D3AD1"/>
    <w:rsid w:val="005D645D"/>
    <w:rsid w:val="005E27B9"/>
    <w:rsid w:val="005E30A9"/>
    <w:rsid w:val="005E5251"/>
    <w:rsid w:val="005E56F1"/>
    <w:rsid w:val="005F0373"/>
    <w:rsid w:val="005F140F"/>
    <w:rsid w:val="005F1E18"/>
    <w:rsid w:val="005F3425"/>
    <w:rsid w:val="005F4E8E"/>
    <w:rsid w:val="005F4FBF"/>
    <w:rsid w:val="005F51D1"/>
    <w:rsid w:val="005F5578"/>
    <w:rsid w:val="006034FE"/>
    <w:rsid w:val="0060408B"/>
    <w:rsid w:val="006058A2"/>
    <w:rsid w:val="00606741"/>
    <w:rsid w:val="00612D10"/>
    <w:rsid w:val="00616A04"/>
    <w:rsid w:val="006201AE"/>
    <w:rsid w:val="006205A4"/>
    <w:rsid w:val="00620B3F"/>
    <w:rsid w:val="00621C12"/>
    <w:rsid w:val="0062293A"/>
    <w:rsid w:val="00624484"/>
    <w:rsid w:val="00625483"/>
    <w:rsid w:val="00632808"/>
    <w:rsid w:val="00634C5A"/>
    <w:rsid w:val="00634F78"/>
    <w:rsid w:val="00636317"/>
    <w:rsid w:val="00640CF2"/>
    <w:rsid w:val="00644D12"/>
    <w:rsid w:val="006457D1"/>
    <w:rsid w:val="00645CC0"/>
    <w:rsid w:val="006524F1"/>
    <w:rsid w:val="006577EB"/>
    <w:rsid w:val="00663544"/>
    <w:rsid w:val="006649D4"/>
    <w:rsid w:val="00665E59"/>
    <w:rsid w:val="00672B6C"/>
    <w:rsid w:val="006731E7"/>
    <w:rsid w:val="006756BE"/>
    <w:rsid w:val="00675737"/>
    <w:rsid w:val="0068196F"/>
    <w:rsid w:val="006904EB"/>
    <w:rsid w:val="00690DDC"/>
    <w:rsid w:val="006978B4"/>
    <w:rsid w:val="00697965"/>
    <w:rsid w:val="006A03B6"/>
    <w:rsid w:val="006A0A66"/>
    <w:rsid w:val="006A30DE"/>
    <w:rsid w:val="006A4FE6"/>
    <w:rsid w:val="006B279C"/>
    <w:rsid w:val="006B5922"/>
    <w:rsid w:val="006B5F04"/>
    <w:rsid w:val="006B70C4"/>
    <w:rsid w:val="006C0E49"/>
    <w:rsid w:val="006C2970"/>
    <w:rsid w:val="006C2DC5"/>
    <w:rsid w:val="006C3795"/>
    <w:rsid w:val="006C695B"/>
    <w:rsid w:val="006C7648"/>
    <w:rsid w:val="006D3620"/>
    <w:rsid w:val="006D597D"/>
    <w:rsid w:val="006D618A"/>
    <w:rsid w:val="006D65EE"/>
    <w:rsid w:val="006E17E2"/>
    <w:rsid w:val="006E3EF0"/>
    <w:rsid w:val="006F1AE3"/>
    <w:rsid w:val="006F1E81"/>
    <w:rsid w:val="006F4E7A"/>
    <w:rsid w:val="006F60D9"/>
    <w:rsid w:val="006F6C22"/>
    <w:rsid w:val="006F799C"/>
    <w:rsid w:val="00700F62"/>
    <w:rsid w:val="007037E4"/>
    <w:rsid w:val="00703AA8"/>
    <w:rsid w:val="0070441E"/>
    <w:rsid w:val="00711254"/>
    <w:rsid w:val="00714044"/>
    <w:rsid w:val="0071494D"/>
    <w:rsid w:val="00714DBB"/>
    <w:rsid w:val="0071572E"/>
    <w:rsid w:val="0072034F"/>
    <w:rsid w:val="00723CAA"/>
    <w:rsid w:val="00725698"/>
    <w:rsid w:val="00726623"/>
    <w:rsid w:val="00732DF7"/>
    <w:rsid w:val="00733940"/>
    <w:rsid w:val="007374BD"/>
    <w:rsid w:val="0073775C"/>
    <w:rsid w:val="007409C6"/>
    <w:rsid w:val="00742175"/>
    <w:rsid w:val="00743E9B"/>
    <w:rsid w:val="0074516D"/>
    <w:rsid w:val="00747318"/>
    <w:rsid w:val="00747873"/>
    <w:rsid w:val="00747E0B"/>
    <w:rsid w:val="007565EC"/>
    <w:rsid w:val="00756CC7"/>
    <w:rsid w:val="00757620"/>
    <w:rsid w:val="007577A6"/>
    <w:rsid w:val="00760A9F"/>
    <w:rsid w:val="0076306E"/>
    <w:rsid w:val="00763F7A"/>
    <w:rsid w:val="00765A91"/>
    <w:rsid w:val="00767F95"/>
    <w:rsid w:val="00771210"/>
    <w:rsid w:val="007712E9"/>
    <w:rsid w:val="007722BA"/>
    <w:rsid w:val="00773DEA"/>
    <w:rsid w:val="00774082"/>
    <w:rsid w:val="007848FD"/>
    <w:rsid w:val="007872FD"/>
    <w:rsid w:val="00790101"/>
    <w:rsid w:val="00790E53"/>
    <w:rsid w:val="00793C1A"/>
    <w:rsid w:val="00794DA3"/>
    <w:rsid w:val="0079731D"/>
    <w:rsid w:val="007A07A3"/>
    <w:rsid w:val="007A2081"/>
    <w:rsid w:val="007A3E37"/>
    <w:rsid w:val="007A4991"/>
    <w:rsid w:val="007B1614"/>
    <w:rsid w:val="007B2EF5"/>
    <w:rsid w:val="007B4183"/>
    <w:rsid w:val="007B5FA3"/>
    <w:rsid w:val="007C154F"/>
    <w:rsid w:val="007C5626"/>
    <w:rsid w:val="007D08AD"/>
    <w:rsid w:val="007D1165"/>
    <w:rsid w:val="007D53C8"/>
    <w:rsid w:val="007D554B"/>
    <w:rsid w:val="007D5B5B"/>
    <w:rsid w:val="007D5C2B"/>
    <w:rsid w:val="007D724B"/>
    <w:rsid w:val="007E62E4"/>
    <w:rsid w:val="007E74B1"/>
    <w:rsid w:val="007F2101"/>
    <w:rsid w:val="007F27FD"/>
    <w:rsid w:val="007F2BBA"/>
    <w:rsid w:val="007F3FF4"/>
    <w:rsid w:val="007F51DD"/>
    <w:rsid w:val="007F53D8"/>
    <w:rsid w:val="007F5BCF"/>
    <w:rsid w:val="007F5C50"/>
    <w:rsid w:val="007F6779"/>
    <w:rsid w:val="007F6F2C"/>
    <w:rsid w:val="007F7033"/>
    <w:rsid w:val="007F762A"/>
    <w:rsid w:val="00801904"/>
    <w:rsid w:val="0080211D"/>
    <w:rsid w:val="00804D0E"/>
    <w:rsid w:val="00811B21"/>
    <w:rsid w:val="00813F64"/>
    <w:rsid w:val="00814375"/>
    <w:rsid w:val="0081556A"/>
    <w:rsid w:val="008173D5"/>
    <w:rsid w:val="008176A8"/>
    <w:rsid w:val="008204FB"/>
    <w:rsid w:val="00820718"/>
    <w:rsid w:val="00820D3D"/>
    <w:rsid w:val="00821EC2"/>
    <w:rsid w:val="008240F9"/>
    <w:rsid w:val="008242F4"/>
    <w:rsid w:val="00825849"/>
    <w:rsid w:val="00826067"/>
    <w:rsid w:val="00831E10"/>
    <w:rsid w:val="00833553"/>
    <w:rsid w:val="008354FC"/>
    <w:rsid w:val="00836981"/>
    <w:rsid w:val="008372FF"/>
    <w:rsid w:val="0084165C"/>
    <w:rsid w:val="008418DD"/>
    <w:rsid w:val="0084376E"/>
    <w:rsid w:val="008463FD"/>
    <w:rsid w:val="0084653C"/>
    <w:rsid w:val="00850965"/>
    <w:rsid w:val="00851827"/>
    <w:rsid w:val="00852998"/>
    <w:rsid w:val="00854C5E"/>
    <w:rsid w:val="00854DBF"/>
    <w:rsid w:val="0085557F"/>
    <w:rsid w:val="00856D19"/>
    <w:rsid w:val="008575F7"/>
    <w:rsid w:val="00861862"/>
    <w:rsid w:val="008625FE"/>
    <w:rsid w:val="00862E3C"/>
    <w:rsid w:val="0086462D"/>
    <w:rsid w:val="00867A11"/>
    <w:rsid w:val="00870E09"/>
    <w:rsid w:val="00871C43"/>
    <w:rsid w:val="00871CCB"/>
    <w:rsid w:val="008729F8"/>
    <w:rsid w:val="00872F73"/>
    <w:rsid w:val="008747D9"/>
    <w:rsid w:val="00877FB4"/>
    <w:rsid w:val="0088188E"/>
    <w:rsid w:val="008850E6"/>
    <w:rsid w:val="0088633C"/>
    <w:rsid w:val="00886E4C"/>
    <w:rsid w:val="0088785F"/>
    <w:rsid w:val="00891087"/>
    <w:rsid w:val="00891183"/>
    <w:rsid w:val="00891E61"/>
    <w:rsid w:val="00893068"/>
    <w:rsid w:val="008932A3"/>
    <w:rsid w:val="00893750"/>
    <w:rsid w:val="00893C20"/>
    <w:rsid w:val="00895B0E"/>
    <w:rsid w:val="008968F7"/>
    <w:rsid w:val="008A2A24"/>
    <w:rsid w:val="008A497A"/>
    <w:rsid w:val="008A6957"/>
    <w:rsid w:val="008A6CFA"/>
    <w:rsid w:val="008A6D6D"/>
    <w:rsid w:val="008B1232"/>
    <w:rsid w:val="008B7645"/>
    <w:rsid w:val="008B7D43"/>
    <w:rsid w:val="008C0038"/>
    <w:rsid w:val="008C7704"/>
    <w:rsid w:val="008D28B6"/>
    <w:rsid w:val="008D3D52"/>
    <w:rsid w:val="008D584A"/>
    <w:rsid w:val="008D62C0"/>
    <w:rsid w:val="008E2B5E"/>
    <w:rsid w:val="008E645B"/>
    <w:rsid w:val="008E74A3"/>
    <w:rsid w:val="008F6C1B"/>
    <w:rsid w:val="008F6FC3"/>
    <w:rsid w:val="008F7C3D"/>
    <w:rsid w:val="0090083F"/>
    <w:rsid w:val="0090265F"/>
    <w:rsid w:val="00903EF1"/>
    <w:rsid w:val="00906A2C"/>
    <w:rsid w:val="009106E9"/>
    <w:rsid w:val="009114E5"/>
    <w:rsid w:val="0091170A"/>
    <w:rsid w:val="009123BB"/>
    <w:rsid w:val="00913C7B"/>
    <w:rsid w:val="00916059"/>
    <w:rsid w:val="009205F2"/>
    <w:rsid w:val="00924250"/>
    <w:rsid w:val="0092618C"/>
    <w:rsid w:val="00931705"/>
    <w:rsid w:val="009321C4"/>
    <w:rsid w:val="009337BB"/>
    <w:rsid w:val="009400C1"/>
    <w:rsid w:val="009407D5"/>
    <w:rsid w:val="00940AA8"/>
    <w:rsid w:val="00941289"/>
    <w:rsid w:val="00944032"/>
    <w:rsid w:val="009452FE"/>
    <w:rsid w:val="00953355"/>
    <w:rsid w:val="0095475D"/>
    <w:rsid w:val="009616B7"/>
    <w:rsid w:val="00964DA1"/>
    <w:rsid w:val="00965E3D"/>
    <w:rsid w:val="009662CF"/>
    <w:rsid w:val="0096683D"/>
    <w:rsid w:val="009675AD"/>
    <w:rsid w:val="00976D61"/>
    <w:rsid w:val="009800EE"/>
    <w:rsid w:val="009858FB"/>
    <w:rsid w:val="00986252"/>
    <w:rsid w:val="00987D33"/>
    <w:rsid w:val="0099089F"/>
    <w:rsid w:val="0099396F"/>
    <w:rsid w:val="0099559F"/>
    <w:rsid w:val="00997337"/>
    <w:rsid w:val="009A1ECD"/>
    <w:rsid w:val="009A1F1D"/>
    <w:rsid w:val="009A28C5"/>
    <w:rsid w:val="009A629B"/>
    <w:rsid w:val="009B229E"/>
    <w:rsid w:val="009B35C9"/>
    <w:rsid w:val="009B50EA"/>
    <w:rsid w:val="009B5682"/>
    <w:rsid w:val="009B6533"/>
    <w:rsid w:val="009B6FAE"/>
    <w:rsid w:val="009B7CA0"/>
    <w:rsid w:val="009C140E"/>
    <w:rsid w:val="009C2AFD"/>
    <w:rsid w:val="009C2D30"/>
    <w:rsid w:val="009C3D4F"/>
    <w:rsid w:val="009D0F7A"/>
    <w:rsid w:val="009D1E19"/>
    <w:rsid w:val="009D2F2E"/>
    <w:rsid w:val="009D4636"/>
    <w:rsid w:val="009D4A1B"/>
    <w:rsid w:val="009D53DB"/>
    <w:rsid w:val="009D6C38"/>
    <w:rsid w:val="009D7689"/>
    <w:rsid w:val="009E0AC8"/>
    <w:rsid w:val="009E1122"/>
    <w:rsid w:val="009E1879"/>
    <w:rsid w:val="009E1F22"/>
    <w:rsid w:val="009E4588"/>
    <w:rsid w:val="009E65A8"/>
    <w:rsid w:val="009E7F10"/>
    <w:rsid w:val="009F045F"/>
    <w:rsid w:val="009F1B26"/>
    <w:rsid w:val="009F2C12"/>
    <w:rsid w:val="009F3822"/>
    <w:rsid w:val="009F7AE3"/>
    <w:rsid w:val="00A00013"/>
    <w:rsid w:val="00A01472"/>
    <w:rsid w:val="00A02498"/>
    <w:rsid w:val="00A054E4"/>
    <w:rsid w:val="00A06440"/>
    <w:rsid w:val="00A072E7"/>
    <w:rsid w:val="00A07493"/>
    <w:rsid w:val="00A104D6"/>
    <w:rsid w:val="00A111F0"/>
    <w:rsid w:val="00A12639"/>
    <w:rsid w:val="00A13C05"/>
    <w:rsid w:val="00A13C7A"/>
    <w:rsid w:val="00A1415B"/>
    <w:rsid w:val="00A14986"/>
    <w:rsid w:val="00A16963"/>
    <w:rsid w:val="00A16CA2"/>
    <w:rsid w:val="00A179CA"/>
    <w:rsid w:val="00A20572"/>
    <w:rsid w:val="00A206AF"/>
    <w:rsid w:val="00A24C0C"/>
    <w:rsid w:val="00A302A3"/>
    <w:rsid w:val="00A32A91"/>
    <w:rsid w:val="00A33CAE"/>
    <w:rsid w:val="00A34D46"/>
    <w:rsid w:val="00A35862"/>
    <w:rsid w:val="00A36A85"/>
    <w:rsid w:val="00A37A3D"/>
    <w:rsid w:val="00A44F9A"/>
    <w:rsid w:val="00A46DB8"/>
    <w:rsid w:val="00A5482D"/>
    <w:rsid w:val="00A559B5"/>
    <w:rsid w:val="00A577C1"/>
    <w:rsid w:val="00A61859"/>
    <w:rsid w:val="00A623D6"/>
    <w:rsid w:val="00A7187C"/>
    <w:rsid w:val="00A723C2"/>
    <w:rsid w:val="00A751F9"/>
    <w:rsid w:val="00A75C7A"/>
    <w:rsid w:val="00A83831"/>
    <w:rsid w:val="00A83F99"/>
    <w:rsid w:val="00A87A71"/>
    <w:rsid w:val="00A9393B"/>
    <w:rsid w:val="00A95A32"/>
    <w:rsid w:val="00AA01FE"/>
    <w:rsid w:val="00AA0693"/>
    <w:rsid w:val="00AA32F8"/>
    <w:rsid w:val="00AA47B0"/>
    <w:rsid w:val="00AA4E63"/>
    <w:rsid w:val="00AA521B"/>
    <w:rsid w:val="00AA6F30"/>
    <w:rsid w:val="00AB19EE"/>
    <w:rsid w:val="00AB23CC"/>
    <w:rsid w:val="00AB43C1"/>
    <w:rsid w:val="00AC4A72"/>
    <w:rsid w:val="00AC52CF"/>
    <w:rsid w:val="00AC5AC7"/>
    <w:rsid w:val="00AD1C7B"/>
    <w:rsid w:val="00AD325F"/>
    <w:rsid w:val="00AD4A5A"/>
    <w:rsid w:val="00AD4FEA"/>
    <w:rsid w:val="00AD6E81"/>
    <w:rsid w:val="00AE1087"/>
    <w:rsid w:val="00AE1CE4"/>
    <w:rsid w:val="00AE3ED2"/>
    <w:rsid w:val="00AE3FEA"/>
    <w:rsid w:val="00AE4319"/>
    <w:rsid w:val="00AE4E7E"/>
    <w:rsid w:val="00AE7551"/>
    <w:rsid w:val="00AF0F25"/>
    <w:rsid w:val="00AF7F0E"/>
    <w:rsid w:val="00B01340"/>
    <w:rsid w:val="00B04878"/>
    <w:rsid w:val="00B0499A"/>
    <w:rsid w:val="00B04CB6"/>
    <w:rsid w:val="00B0570D"/>
    <w:rsid w:val="00B05BB8"/>
    <w:rsid w:val="00B071DC"/>
    <w:rsid w:val="00B11742"/>
    <w:rsid w:val="00B117B9"/>
    <w:rsid w:val="00B14A66"/>
    <w:rsid w:val="00B1734A"/>
    <w:rsid w:val="00B201B8"/>
    <w:rsid w:val="00B22018"/>
    <w:rsid w:val="00B22D67"/>
    <w:rsid w:val="00B23288"/>
    <w:rsid w:val="00B2486C"/>
    <w:rsid w:val="00B268AD"/>
    <w:rsid w:val="00B30B3B"/>
    <w:rsid w:val="00B30BDC"/>
    <w:rsid w:val="00B35BB6"/>
    <w:rsid w:val="00B36602"/>
    <w:rsid w:val="00B4126D"/>
    <w:rsid w:val="00B4267A"/>
    <w:rsid w:val="00B44985"/>
    <w:rsid w:val="00B44A47"/>
    <w:rsid w:val="00B4616B"/>
    <w:rsid w:val="00B46B84"/>
    <w:rsid w:val="00B46DA9"/>
    <w:rsid w:val="00B502DB"/>
    <w:rsid w:val="00B506F6"/>
    <w:rsid w:val="00B51E23"/>
    <w:rsid w:val="00B60F2D"/>
    <w:rsid w:val="00B613F4"/>
    <w:rsid w:val="00B6480B"/>
    <w:rsid w:val="00B67748"/>
    <w:rsid w:val="00B67E37"/>
    <w:rsid w:val="00B70E06"/>
    <w:rsid w:val="00B71068"/>
    <w:rsid w:val="00B71547"/>
    <w:rsid w:val="00B71986"/>
    <w:rsid w:val="00B72D95"/>
    <w:rsid w:val="00B73C0F"/>
    <w:rsid w:val="00B742C5"/>
    <w:rsid w:val="00B74E7B"/>
    <w:rsid w:val="00B75096"/>
    <w:rsid w:val="00B765BE"/>
    <w:rsid w:val="00B8121E"/>
    <w:rsid w:val="00B82EC3"/>
    <w:rsid w:val="00B873B5"/>
    <w:rsid w:val="00B87F46"/>
    <w:rsid w:val="00B90280"/>
    <w:rsid w:val="00B90A9F"/>
    <w:rsid w:val="00B914CF"/>
    <w:rsid w:val="00B9283B"/>
    <w:rsid w:val="00B9437B"/>
    <w:rsid w:val="00B95E29"/>
    <w:rsid w:val="00BA0295"/>
    <w:rsid w:val="00BA1569"/>
    <w:rsid w:val="00BA1F0E"/>
    <w:rsid w:val="00BA2377"/>
    <w:rsid w:val="00BA5742"/>
    <w:rsid w:val="00BA7031"/>
    <w:rsid w:val="00BB382E"/>
    <w:rsid w:val="00BB38FF"/>
    <w:rsid w:val="00BB4998"/>
    <w:rsid w:val="00BB6930"/>
    <w:rsid w:val="00BC1042"/>
    <w:rsid w:val="00BC374E"/>
    <w:rsid w:val="00BC37AB"/>
    <w:rsid w:val="00BC3E5A"/>
    <w:rsid w:val="00BC715E"/>
    <w:rsid w:val="00BD0134"/>
    <w:rsid w:val="00BD26EB"/>
    <w:rsid w:val="00BD44AB"/>
    <w:rsid w:val="00BD60E4"/>
    <w:rsid w:val="00BD6A7B"/>
    <w:rsid w:val="00BE3E00"/>
    <w:rsid w:val="00BE52EF"/>
    <w:rsid w:val="00BE6531"/>
    <w:rsid w:val="00BE7581"/>
    <w:rsid w:val="00BF20F3"/>
    <w:rsid w:val="00BF250C"/>
    <w:rsid w:val="00BF318B"/>
    <w:rsid w:val="00BF4F12"/>
    <w:rsid w:val="00BF536B"/>
    <w:rsid w:val="00BF6B88"/>
    <w:rsid w:val="00BF7705"/>
    <w:rsid w:val="00C0070F"/>
    <w:rsid w:val="00C0657E"/>
    <w:rsid w:val="00C10BB1"/>
    <w:rsid w:val="00C10D52"/>
    <w:rsid w:val="00C12EC4"/>
    <w:rsid w:val="00C149E0"/>
    <w:rsid w:val="00C159D4"/>
    <w:rsid w:val="00C17A2A"/>
    <w:rsid w:val="00C21B35"/>
    <w:rsid w:val="00C22EC5"/>
    <w:rsid w:val="00C24D4F"/>
    <w:rsid w:val="00C26339"/>
    <w:rsid w:val="00C26D22"/>
    <w:rsid w:val="00C33B6F"/>
    <w:rsid w:val="00C3612F"/>
    <w:rsid w:val="00C36CDB"/>
    <w:rsid w:val="00C3792B"/>
    <w:rsid w:val="00C42220"/>
    <w:rsid w:val="00C437A7"/>
    <w:rsid w:val="00C460B1"/>
    <w:rsid w:val="00C47552"/>
    <w:rsid w:val="00C53229"/>
    <w:rsid w:val="00C55404"/>
    <w:rsid w:val="00C5753A"/>
    <w:rsid w:val="00C65F45"/>
    <w:rsid w:val="00C679A2"/>
    <w:rsid w:val="00C7030B"/>
    <w:rsid w:val="00C70C5F"/>
    <w:rsid w:val="00C70FF7"/>
    <w:rsid w:val="00C72909"/>
    <w:rsid w:val="00C748F9"/>
    <w:rsid w:val="00C75FD7"/>
    <w:rsid w:val="00C77A24"/>
    <w:rsid w:val="00C81791"/>
    <w:rsid w:val="00C82071"/>
    <w:rsid w:val="00C828CD"/>
    <w:rsid w:val="00C83986"/>
    <w:rsid w:val="00C873E9"/>
    <w:rsid w:val="00C91067"/>
    <w:rsid w:val="00C92797"/>
    <w:rsid w:val="00C93E27"/>
    <w:rsid w:val="00C95479"/>
    <w:rsid w:val="00C9647E"/>
    <w:rsid w:val="00C971F4"/>
    <w:rsid w:val="00CA0796"/>
    <w:rsid w:val="00CA081B"/>
    <w:rsid w:val="00CA2021"/>
    <w:rsid w:val="00CA36C9"/>
    <w:rsid w:val="00CA379E"/>
    <w:rsid w:val="00CA37F0"/>
    <w:rsid w:val="00CA7096"/>
    <w:rsid w:val="00CB2135"/>
    <w:rsid w:val="00CB3ABE"/>
    <w:rsid w:val="00CB6284"/>
    <w:rsid w:val="00CB6906"/>
    <w:rsid w:val="00CB72C2"/>
    <w:rsid w:val="00CC1682"/>
    <w:rsid w:val="00CC279B"/>
    <w:rsid w:val="00CC2AF4"/>
    <w:rsid w:val="00CC2C08"/>
    <w:rsid w:val="00CC378A"/>
    <w:rsid w:val="00CC5F23"/>
    <w:rsid w:val="00CD0C43"/>
    <w:rsid w:val="00CD13AE"/>
    <w:rsid w:val="00CD2052"/>
    <w:rsid w:val="00CD225D"/>
    <w:rsid w:val="00CD5B0E"/>
    <w:rsid w:val="00CE17E3"/>
    <w:rsid w:val="00CF1D78"/>
    <w:rsid w:val="00CF430C"/>
    <w:rsid w:val="00CF74CC"/>
    <w:rsid w:val="00D03D12"/>
    <w:rsid w:val="00D04386"/>
    <w:rsid w:val="00D0635D"/>
    <w:rsid w:val="00D065B2"/>
    <w:rsid w:val="00D102E1"/>
    <w:rsid w:val="00D123D1"/>
    <w:rsid w:val="00D149B2"/>
    <w:rsid w:val="00D14E3A"/>
    <w:rsid w:val="00D15CD1"/>
    <w:rsid w:val="00D15E4B"/>
    <w:rsid w:val="00D21569"/>
    <w:rsid w:val="00D220B3"/>
    <w:rsid w:val="00D23AE5"/>
    <w:rsid w:val="00D24AFE"/>
    <w:rsid w:val="00D307CC"/>
    <w:rsid w:val="00D3129C"/>
    <w:rsid w:val="00D32665"/>
    <w:rsid w:val="00D32A31"/>
    <w:rsid w:val="00D37416"/>
    <w:rsid w:val="00D37872"/>
    <w:rsid w:val="00D40E4E"/>
    <w:rsid w:val="00D442C1"/>
    <w:rsid w:val="00D45AFA"/>
    <w:rsid w:val="00D46085"/>
    <w:rsid w:val="00D51AB9"/>
    <w:rsid w:val="00D52F92"/>
    <w:rsid w:val="00D552F6"/>
    <w:rsid w:val="00D5695D"/>
    <w:rsid w:val="00D577AF"/>
    <w:rsid w:val="00D61A17"/>
    <w:rsid w:val="00D61A85"/>
    <w:rsid w:val="00D6281B"/>
    <w:rsid w:val="00D62B31"/>
    <w:rsid w:val="00D63A20"/>
    <w:rsid w:val="00D66D3A"/>
    <w:rsid w:val="00D674F4"/>
    <w:rsid w:val="00D724B9"/>
    <w:rsid w:val="00D74E70"/>
    <w:rsid w:val="00D77624"/>
    <w:rsid w:val="00D80A20"/>
    <w:rsid w:val="00D813BE"/>
    <w:rsid w:val="00D82098"/>
    <w:rsid w:val="00D82340"/>
    <w:rsid w:val="00D86737"/>
    <w:rsid w:val="00D921E0"/>
    <w:rsid w:val="00D92716"/>
    <w:rsid w:val="00D9352B"/>
    <w:rsid w:val="00D93B99"/>
    <w:rsid w:val="00D93DB5"/>
    <w:rsid w:val="00D94CDB"/>
    <w:rsid w:val="00D9595E"/>
    <w:rsid w:val="00D9596D"/>
    <w:rsid w:val="00DA079A"/>
    <w:rsid w:val="00DA140E"/>
    <w:rsid w:val="00DA167A"/>
    <w:rsid w:val="00DA16C8"/>
    <w:rsid w:val="00DA19F6"/>
    <w:rsid w:val="00DA3BAA"/>
    <w:rsid w:val="00DA7C44"/>
    <w:rsid w:val="00DB1114"/>
    <w:rsid w:val="00DB1795"/>
    <w:rsid w:val="00DB31A6"/>
    <w:rsid w:val="00DB3B2B"/>
    <w:rsid w:val="00DB6071"/>
    <w:rsid w:val="00DB60B2"/>
    <w:rsid w:val="00DB683A"/>
    <w:rsid w:val="00DB7269"/>
    <w:rsid w:val="00DC05A3"/>
    <w:rsid w:val="00DC6521"/>
    <w:rsid w:val="00DC6DA2"/>
    <w:rsid w:val="00DC717D"/>
    <w:rsid w:val="00DD0DA3"/>
    <w:rsid w:val="00DD3273"/>
    <w:rsid w:val="00DD4620"/>
    <w:rsid w:val="00DE22A8"/>
    <w:rsid w:val="00DE2865"/>
    <w:rsid w:val="00DE45A4"/>
    <w:rsid w:val="00DE4F84"/>
    <w:rsid w:val="00DE624D"/>
    <w:rsid w:val="00DF5736"/>
    <w:rsid w:val="00DF5BC5"/>
    <w:rsid w:val="00E003C0"/>
    <w:rsid w:val="00E0072F"/>
    <w:rsid w:val="00E007DF"/>
    <w:rsid w:val="00E00C4E"/>
    <w:rsid w:val="00E02CB5"/>
    <w:rsid w:val="00E04E9E"/>
    <w:rsid w:val="00E05976"/>
    <w:rsid w:val="00E070A0"/>
    <w:rsid w:val="00E07212"/>
    <w:rsid w:val="00E07B70"/>
    <w:rsid w:val="00E11323"/>
    <w:rsid w:val="00E1170C"/>
    <w:rsid w:val="00E13EB9"/>
    <w:rsid w:val="00E146B0"/>
    <w:rsid w:val="00E1477A"/>
    <w:rsid w:val="00E14D64"/>
    <w:rsid w:val="00E22138"/>
    <w:rsid w:val="00E245EE"/>
    <w:rsid w:val="00E274C8"/>
    <w:rsid w:val="00E30FB5"/>
    <w:rsid w:val="00E3224F"/>
    <w:rsid w:val="00E3297A"/>
    <w:rsid w:val="00E3323C"/>
    <w:rsid w:val="00E33F80"/>
    <w:rsid w:val="00E34D33"/>
    <w:rsid w:val="00E3611F"/>
    <w:rsid w:val="00E40ABD"/>
    <w:rsid w:val="00E43818"/>
    <w:rsid w:val="00E43AC6"/>
    <w:rsid w:val="00E43DD1"/>
    <w:rsid w:val="00E46180"/>
    <w:rsid w:val="00E47086"/>
    <w:rsid w:val="00E4776B"/>
    <w:rsid w:val="00E5217A"/>
    <w:rsid w:val="00E6214F"/>
    <w:rsid w:val="00E621EB"/>
    <w:rsid w:val="00E628AE"/>
    <w:rsid w:val="00E63302"/>
    <w:rsid w:val="00E65ECD"/>
    <w:rsid w:val="00E66915"/>
    <w:rsid w:val="00E677B1"/>
    <w:rsid w:val="00E711D5"/>
    <w:rsid w:val="00E7299B"/>
    <w:rsid w:val="00E72CBC"/>
    <w:rsid w:val="00E73B01"/>
    <w:rsid w:val="00E753DB"/>
    <w:rsid w:val="00E805E5"/>
    <w:rsid w:val="00E80D0A"/>
    <w:rsid w:val="00E80E92"/>
    <w:rsid w:val="00E8171A"/>
    <w:rsid w:val="00E81D73"/>
    <w:rsid w:val="00E843EE"/>
    <w:rsid w:val="00E84567"/>
    <w:rsid w:val="00E851DA"/>
    <w:rsid w:val="00E85884"/>
    <w:rsid w:val="00E87610"/>
    <w:rsid w:val="00E87D2B"/>
    <w:rsid w:val="00E93136"/>
    <w:rsid w:val="00E971D6"/>
    <w:rsid w:val="00EA23A6"/>
    <w:rsid w:val="00EA5A31"/>
    <w:rsid w:val="00EA70D6"/>
    <w:rsid w:val="00EA7C9E"/>
    <w:rsid w:val="00EB0F95"/>
    <w:rsid w:val="00EB2412"/>
    <w:rsid w:val="00EB5566"/>
    <w:rsid w:val="00EB57F6"/>
    <w:rsid w:val="00EB7781"/>
    <w:rsid w:val="00EC06B6"/>
    <w:rsid w:val="00EC41B6"/>
    <w:rsid w:val="00EC4591"/>
    <w:rsid w:val="00EC536D"/>
    <w:rsid w:val="00ED0963"/>
    <w:rsid w:val="00ED1D58"/>
    <w:rsid w:val="00ED55FE"/>
    <w:rsid w:val="00ED6248"/>
    <w:rsid w:val="00ED6FDC"/>
    <w:rsid w:val="00ED7CED"/>
    <w:rsid w:val="00EE0E57"/>
    <w:rsid w:val="00EE12E4"/>
    <w:rsid w:val="00EE2C36"/>
    <w:rsid w:val="00EE4DBE"/>
    <w:rsid w:val="00EE723A"/>
    <w:rsid w:val="00EF5669"/>
    <w:rsid w:val="00EF59E5"/>
    <w:rsid w:val="00EF7ADA"/>
    <w:rsid w:val="00F03813"/>
    <w:rsid w:val="00F03D8B"/>
    <w:rsid w:val="00F04C5D"/>
    <w:rsid w:val="00F0509B"/>
    <w:rsid w:val="00F07DB6"/>
    <w:rsid w:val="00F1045D"/>
    <w:rsid w:val="00F13387"/>
    <w:rsid w:val="00F13C6C"/>
    <w:rsid w:val="00F22839"/>
    <w:rsid w:val="00F23E5E"/>
    <w:rsid w:val="00F302E8"/>
    <w:rsid w:val="00F31407"/>
    <w:rsid w:val="00F333A3"/>
    <w:rsid w:val="00F345C4"/>
    <w:rsid w:val="00F41AD4"/>
    <w:rsid w:val="00F42CEA"/>
    <w:rsid w:val="00F42CEE"/>
    <w:rsid w:val="00F42D05"/>
    <w:rsid w:val="00F45EEE"/>
    <w:rsid w:val="00F460CF"/>
    <w:rsid w:val="00F4763D"/>
    <w:rsid w:val="00F479E9"/>
    <w:rsid w:val="00F504F1"/>
    <w:rsid w:val="00F52B7E"/>
    <w:rsid w:val="00F53E96"/>
    <w:rsid w:val="00F54EB9"/>
    <w:rsid w:val="00F551E0"/>
    <w:rsid w:val="00F65560"/>
    <w:rsid w:val="00F660AF"/>
    <w:rsid w:val="00F71366"/>
    <w:rsid w:val="00F731F3"/>
    <w:rsid w:val="00F73449"/>
    <w:rsid w:val="00F73D2F"/>
    <w:rsid w:val="00F77412"/>
    <w:rsid w:val="00F80C83"/>
    <w:rsid w:val="00F81252"/>
    <w:rsid w:val="00F93A59"/>
    <w:rsid w:val="00F94274"/>
    <w:rsid w:val="00F946FB"/>
    <w:rsid w:val="00F952F0"/>
    <w:rsid w:val="00F96307"/>
    <w:rsid w:val="00FA3788"/>
    <w:rsid w:val="00FA4662"/>
    <w:rsid w:val="00FA633D"/>
    <w:rsid w:val="00FA690B"/>
    <w:rsid w:val="00FA6913"/>
    <w:rsid w:val="00FB2C09"/>
    <w:rsid w:val="00FB5575"/>
    <w:rsid w:val="00FB5820"/>
    <w:rsid w:val="00FC0B03"/>
    <w:rsid w:val="00FC586A"/>
    <w:rsid w:val="00FC5997"/>
    <w:rsid w:val="00FD231D"/>
    <w:rsid w:val="00FD2D8F"/>
    <w:rsid w:val="00FD5063"/>
    <w:rsid w:val="00FD5790"/>
    <w:rsid w:val="00FF0A1B"/>
    <w:rsid w:val="00FF1709"/>
    <w:rsid w:val="00FF3C73"/>
    <w:rsid w:val="00FF4260"/>
    <w:rsid w:val="00FF5BD6"/>
    <w:rsid w:val="00FF7E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9A19"/>
  <w15:chartTrackingRefBased/>
  <w15:docId w15:val="{16BC76D6-2D61-4B2C-A2F1-B6D680E2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D0F"/>
    <w:pPr>
      <w:spacing w:after="0" w:line="240" w:lineRule="auto"/>
    </w:pPr>
    <w:rPr>
      <w:rFonts w:ascii="Arial" w:eastAsia="Calibri" w:hAnsi="Arial" w:cs="Times New Roman"/>
      <w:kern w:val="0"/>
      <w:szCs w:val="20"/>
      <w:lang w:eastAsia="es-MX"/>
      <w14:ligatures w14:val="none"/>
    </w:rPr>
  </w:style>
  <w:style w:type="paragraph" w:styleId="Ttulo1">
    <w:name w:val="heading 1"/>
    <w:basedOn w:val="Normal"/>
    <w:next w:val="Normal"/>
    <w:link w:val="Ttulo1Car"/>
    <w:uiPriority w:val="9"/>
    <w:qFormat/>
    <w:rsid w:val="000D0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0D0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0D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0D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0D0D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0D0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0D0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0D0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0D0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0D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0D0D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0D0D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0D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0D0D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0D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0D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0D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0D0F"/>
    <w:rPr>
      <w:rFonts w:eastAsiaTheme="majorEastAsia" w:cstheme="majorBidi"/>
      <w:color w:val="272727" w:themeColor="text1" w:themeTint="D8"/>
    </w:rPr>
  </w:style>
  <w:style w:type="paragraph" w:styleId="Ttulo">
    <w:name w:val="Title"/>
    <w:basedOn w:val="Normal"/>
    <w:next w:val="Normal"/>
    <w:link w:val="TtuloCar"/>
    <w:uiPriority w:val="10"/>
    <w:qFormat/>
    <w:rsid w:val="000D0D0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0D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0D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0D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0D0F"/>
    <w:pPr>
      <w:spacing w:before="160"/>
      <w:jc w:val="center"/>
    </w:pPr>
    <w:rPr>
      <w:i/>
      <w:iCs/>
      <w:color w:val="404040" w:themeColor="text1" w:themeTint="BF"/>
    </w:rPr>
  </w:style>
  <w:style w:type="character" w:customStyle="1" w:styleId="CitaCar">
    <w:name w:val="Cita Car"/>
    <w:basedOn w:val="Fuentedeprrafopredeter"/>
    <w:link w:val="Cita"/>
    <w:uiPriority w:val="29"/>
    <w:rsid w:val="000D0D0F"/>
    <w:rPr>
      <w:i/>
      <w:iCs/>
      <w:color w:val="404040" w:themeColor="text1" w:themeTint="BF"/>
    </w:rPr>
  </w:style>
  <w:style w:type="paragraph" w:styleId="Prrafodelista">
    <w:name w:val="List Paragraph"/>
    <w:aliases w:val="Cita texto,CNBV Parrafo1,Párrafo de lista1,Parrafo 1,Lista multicolor - Énfasis 11,Lista vistosa - Énfasis 11,Cuadrícula media 1 - Énfasis 21,List Paragraph-Thesis,Listas,Footnote,List Paragraph2,Colorful List - Accent 11,lp1,Bulleteado"/>
    <w:basedOn w:val="Normal"/>
    <w:link w:val="PrrafodelistaCar"/>
    <w:uiPriority w:val="34"/>
    <w:qFormat/>
    <w:rsid w:val="000D0D0F"/>
    <w:pPr>
      <w:ind w:left="720"/>
      <w:contextualSpacing/>
    </w:pPr>
  </w:style>
  <w:style w:type="character" w:styleId="nfasisintenso">
    <w:name w:val="Intense Emphasis"/>
    <w:basedOn w:val="Fuentedeprrafopredeter"/>
    <w:uiPriority w:val="21"/>
    <w:qFormat/>
    <w:rsid w:val="000D0D0F"/>
    <w:rPr>
      <w:i/>
      <w:iCs/>
      <w:color w:val="0F4761" w:themeColor="accent1" w:themeShade="BF"/>
    </w:rPr>
  </w:style>
  <w:style w:type="paragraph" w:styleId="Citadestacada">
    <w:name w:val="Intense Quote"/>
    <w:basedOn w:val="Normal"/>
    <w:next w:val="Normal"/>
    <w:link w:val="CitadestacadaCar"/>
    <w:uiPriority w:val="30"/>
    <w:qFormat/>
    <w:rsid w:val="000D0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0D0F"/>
    <w:rPr>
      <w:i/>
      <w:iCs/>
      <w:color w:val="0F4761" w:themeColor="accent1" w:themeShade="BF"/>
    </w:rPr>
  </w:style>
  <w:style w:type="character" w:styleId="Referenciaintensa">
    <w:name w:val="Intense Reference"/>
    <w:basedOn w:val="Fuentedeprrafopredeter"/>
    <w:uiPriority w:val="32"/>
    <w:qFormat/>
    <w:rsid w:val="000D0D0F"/>
    <w:rPr>
      <w:b/>
      <w:bCs/>
      <w:smallCaps/>
      <w:color w:val="0F4761" w:themeColor="accent1" w:themeShade="BF"/>
      <w:spacing w:val="5"/>
    </w:rPr>
  </w:style>
  <w:style w:type="paragraph" w:styleId="Encabezado">
    <w:name w:val="header"/>
    <w:basedOn w:val="Normal"/>
    <w:link w:val="EncabezadoCar"/>
    <w:rsid w:val="000D0D0F"/>
    <w:pPr>
      <w:tabs>
        <w:tab w:val="center" w:pos="4252"/>
        <w:tab w:val="right" w:pos="8504"/>
      </w:tabs>
    </w:pPr>
  </w:style>
  <w:style w:type="character" w:customStyle="1" w:styleId="EncabezadoCar">
    <w:name w:val="Encabezado Car"/>
    <w:basedOn w:val="Fuentedeprrafopredeter"/>
    <w:link w:val="Encabezado"/>
    <w:rsid w:val="000D0D0F"/>
    <w:rPr>
      <w:rFonts w:ascii="Arial" w:eastAsia="Calibri" w:hAnsi="Arial" w:cs="Times New Roman"/>
      <w:kern w:val="0"/>
      <w:szCs w:val="20"/>
      <w:lang w:eastAsia="es-MX"/>
      <w14:ligatures w14:val="none"/>
    </w:rPr>
  </w:style>
  <w:style w:type="character" w:customStyle="1" w:styleId="PrrafodelistaCar">
    <w:name w:val="Párrafo de lista Car"/>
    <w:aliases w:val="Cita texto Car,CNBV Parrafo1 Car,Párrafo de lista1 Car,Parrafo 1 Car,Lista multicolor - Énfasis 11 Car,Lista vistosa - Énfasis 11 Car,Cuadrícula media 1 - Énfasis 21 Car,List Paragraph-Thesis Car,Listas Car,Footnote Car,lp1 Car"/>
    <w:link w:val="Prrafodelista"/>
    <w:uiPriority w:val="34"/>
    <w:qFormat/>
    <w:rsid w:val="000D0D0F"/>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 Car3,Car3,Ca1,ft"/>
    <w:basedOn w:val="Normal"/>
    <w:link w:val="TextonotapieCar"/>
    <w:uiPriority w:val="99"/>
    <w:qFormat/>
    <w:rsid w:val="000D0D0F"/>
    <w:rPr>
      <w:sz w:val="20"/>
      <w:lang w:val="es-ES" w:eastAsia="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0D0D0F"/>
    <w:rPr>
      <w:rFonts w:ascii="Arial" w:eastAsia="Calibri" w:hAnsi="Arial" w:cs="Times New Roman"/>
      <w:kern w:val="0"/>
      <w:sz w:val="20"/>
      <w:szCs w:val="20"/>
      <w:lang w:val="es-ES" w:eastAsia="es-ES"/>
      <w14:ligatures w14:val="none"/>
    </w:rPr>
  </w:style>
  <w:style w:type="character" w:styleId="Refdenotaalpie">
    <w:name w:val="footnote reference"/>
    <w:aliases w:val="Texto de nota al pie,Footnotes refss,Appel note de bas de page,Footnote number,referencia nota al pie,BVI fnr,f,4_G,16 Point,Superscript 6 Point,Texto nota al pie,Ref. de nota al pie 2,Footnote Reference Char3,Ref,julio,ftref,ftre,ju"/>
    <w:link w:val="4GChar"/>
    <w:uiPriority w:val="99"/>
    <w:qFormat/>
    <w:rsid w:val="000D0D0F"/>
    <w:rPr>
      <w:vertAlign w:val="superscript"/>
    </w:rPr>
  </w:style>
  <w:style w:type="paragraph" w:styleId="NormalWeb">
    <w:name w:val="Normal (Web)"/>
    <w:aliases w:val="Normal (Web) Car Car Car,Normal (Web) Car Car Car Car Car, Car Car Ca, Car, C,Car C,C,Normal (Web) Car1,Normal (Web) Car Car,Normal (Web) Car1 Car Car,Normal (Web) Car Car Car Car Car Car Car Car Car Car,Normal (Web) Car Car Car Car Car Car"/>
    <w:basedOn w:val="Normal"/>
    <w:link w:val="NormalWebCar"/>
    <w:uiPriority w:val="99"/>
    <w:qFormat/>
    <w:rsid w:val="000D0D0F"/>
    <w:pPr>
      <w:spacing w:before="100" w:beforeAutospacing="1" w:after="100" w:afterAutospacing="1"/>
    </w:pPr>
    <w:rPr>
      <w:rFonts w:ascii="Arial Unicode MS" w:eastAsia="Arial Unicode MS" w:hAnsi="Arial Unicode MS" w:cs="Arial Unicode MS"/>
      <w:lang w:val="es-ES" w:eastAsia="es-ES"/>
    </w:rPr>
  </w:style>
  <w:style w:type="character" w:customStyle="1" w:styleId="NormalWebCar">
    <w:name w:val="Normal (Web) Car"/>
    <w:aliases w:val="Normal (Web) Car Car Car Car,Normal (Web) Car Car Car Car Car Car1, Car Car Ca Car, Car Car, C Car,Car C Car,C Car,Normal (Web) Car1 Car,Normal (Web) Car Car Car1,Normal (Web) Car1 Car Car Car,Normal (Web) Car Car Car Car Car Car Car"/>
    <w:link w:val="NormalWeb"/>
    <w:uiPriority w:val="99"/>
    <w:qFormat/>
    <w:rsid w:val="000D0D0F"/>
    <w:rPr>
      <w:rFonts w:ascii="Arial Unicode MS" w:eastAsia="Arial Unicode MS" w:hAnsi="Arial Unicode MS" w:cs="Arial Unicode MS"/>
      <w:kern w:val="0"/>
      <w:szCs w:val="20"/>
      <w:lang w:val="es-ES" w:eastAsia="es-ES"/>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D0D0F"/>
    <w:pPr>
      <w:jc w:val="both"/>
    </w:pPr>
    <w:rPr>
      <w:rFonts w:asciiTheme="minorHAnsi" w:eastAsiaTheme="minorHAnsi" w:hAnsiTheme="minorHAnsi" w:cstheme="minorBidi"/>
      <w:kern w:val="2"/>
      <w:szCs w:val="24"/>
      <w:vertAlign w:val="superscript"/>
      <w:lang w:eastAsia="en-US"/>
      <w14:ligatures w14:val="standardContextual"/>
    </w:rPr>
  </w:style>
  <w:style w:type="paragraph" w:customStyle="1" w:styleId="Rubro">
    <w:name w:val="Rubro"/>
    <w:basedOn w:val="Normal"/>
    <w:qFormat/>
    <w:rsid w:val="000D0D0F"/>
    <w:pPr>
      <w:tabs>
        <w:tab w:val="left" w:pos="1215"/>
      </w:tabs>
      <w:spacing w:before="240" w:after="120"/>
      <w:ind w:left="4394"/>
      <w:jc w:val="both"/>
    </w:pPr>
    <w:rPr>
      <w:rFonts w:eastAsia="Times New Roman" w:cs="Arial"/>
      <w:b/>
      <w:bCs/>
      <w:caps/>
      <w:szCs w:val="24"/>
      <w:lang w:val="es-ES" w:eastAsia="es-ES"/>
    </w:rPr>
  </w:style>
  <w:style w:type="paragraph" w:styleId="Piedepgina">
    <w:name w:val="footer"/>
    <w:basedOn w:val="Normal"/>
    <w:link w:val="PiedepginaCar"/>
    <w:uiPriority w:val="99"/>
    <w:unhideWhenUsed/>
    <w:rsid w:val="000D0D0F"/>
    <w:pPr>
      <w:tabs>
        <w:tab w:val="center" w:pos="4419"/>
        <w:tab w:val="right" w:pos="8838"/>
      </w:tabs>
    </w:pPr>
  </w:style>
  <w:style w:type="character" w:customStyle="1" w:styleId="PiedepginaCar">
    <w:name w:val="Pie de página Car"/>
    <w:basedOn w:val="Fuentedeprrafopredeter"/>
    <w:link w:val="Piedepgina"/>
    <w:uiPriority w:val="99"/>
    <w:rsid w:val="000D0D0F"/>
    <w:rPr>
      <w:rFonts w:ascii="Arial" w:eastAsia="Calibri" w:hAnsi="Arial" w:cs="Times New Roman"/>
      <w:kern w:val="0"/>
      <w:szCs w:val="20"/>
      <w:lang w:eastAsia="es-MX"/>
      <w14:ligatures w14:val="none"/>
    </w:rPr>
  </w:style>
  <w:style w:type="character" w:styleId="Hipervnculo">
    <w:name w:val="Hyperlink"/>
    <w:uiPriority w:val="99"/>
    <w:unhideWhenUsed/>
    <w:rsid w:val="000D0D0F"/>
    <w:rPr>
      <w:color w:val="0563C1"/>
      <w:u w:val="single"/>
    </w:rPr>
  </w:style>
  <w:style w:type="table" w:styleId="Tablaconcuadrcula">
    <w:name w:val="Table Grid"/>
    <w:aliases w:val="Tabla GERD"/>
    <w:basedOn w:val="Tablanormal"/>
    <w:uiPriority w:val="39"/>
    <w:rsid w:val="000D0D0F"/>
    <w:pPr>
      <w:spacing w:after="0" w:line="240" w:lineRule="auto"/>
    </w:pPr>
    <w:rPr>
      <w:rFonts w:ascii="Calibri" w:eastAsia="Calibri" w:hAnsi="Calibri" w:cs="Times New Roman"/>
      <w:kern w:val="0"/>
      <w:sz w:val="20"/>
      <w:szCs w:val="20"/>
      <w:lang w:val="es-419" w:eastAsia="es-4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EA70D6"/>
    <w:pPr>
      <w:tabs>
        <w:tab w:val="left" w:pos="284"/>
        <w:tab w:val="right" w:leader="dot" w:pos="8263"/>
      </w:tabs>
    </w:pPr>
    <w:rPr>
      <w:rFonts w:eastAsiaTheme="minorHAnsi" w:cs="Arial"/>
      <w:b/>
      <w:bCs/>
      <w:noProof/>
      <w:sz w:val="20"/>
      <w:lang w:eastAsia="en-US" w:bidi="en-US"/>
    </w:rPr>
  </w:style>
  <w:style w:type="paragraph" w:styleId="TDC2">
    <w:name w:val="toc 2"/>
    <w:basedOn w:val="Normal"/>
    <w:next w:val="Normal"/>
    <w:autoRedefine/>
    <w:uiPriority w:val="39"/>
    <w:unhideWhenUsed/>
    <w:rsid w:val="005E30A9"/>
    <w:pPr>
      <w:tabs>
        <w:tab w:val="left" w:pos="1100"/>
        <w:tab w:val="right" w:leader="dot" w:pos="8263"/>
      </w:tabs>
      <w:spacing w:after="100" w:line="276" w:lineRule="auto"/>
      <w:ind w:left="220"/>
    </w:pPr>
    <w:rPr>
      <w:rFonts w:cs="Arial"/>
      <w:b/>
      <w:noProof/>
      <w:sz w:val="22"/>
      <w:szCs w:val="22"/>
      <w:lang w:val="es-ES_tradnl" w:eastAsia="en-US"/>
    </w:rPr>
  </w:style>
  <w:style w:type="character" w:styleId="Refdecomentario">
    <w:name w:val="annotation reference"/>
    <w:basedOn w:val="Fuentedeprrafopredeter"/>
    <w:uiPriority w:val="99"/>
    <w:semiHidden/>
    <w:unhideWhenUsed/>
    <w:rsid w:val="00224DB6"/>
    <w:rPr>
      <w:sz w:val="16"/>
      <w:szCs w:val="16"/>
    </w:rPr>
  </w:style>
  <w:style w:type="paragraph" w:styleId="Textocomentario">
    <w:name w:val="annotation text"/>
    <w:basedOn w:val="Normal"/>
    <w:link w:val="TextocomentarioCar"/>
    <w:uiPriority w:val="99"/>
    <w:unhideWhenUsed/>
    <w:qFormat/>
    <w:rsid w:val="00224DB6"/>
    <w:rPr>
      <w:sz w:val="20"/>
    </w:rPr>
  </w:style>
  <w:style w:type="character" w:customStyle="1" w:styleId="TextocomentarioCar">
    <w:name w:val="Texto comentario Car"/>
    <w:basedOn w:val="Fuentedeprrafopredeter"/>
    <w:link w:val="Textocomentario"/>
    <w:uiPriority w:val="99"/>
    <w:rsid w:val="00224DB6"/>
    <w:rPr>
      <w:rFonts w:ascii="Arial" w:eastAsia="Calibri" w:hAnsi="Arial" w:cs="Times New Roman"/>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semiHidden/>
    <w:unhideWhenUsed/>
    <w:rsid w:val="00224DB6"/>
    <w:rPr>
      <w:b/>
      <w:bCs/>
    </w:rPr>
  </w:style>
  <w:style w:type="character" w:customStyle="1" w:styleId="AsuntodelcomentarioCar">
    <w:name w:val="Asunto del comentario Car"/>
    <w:basedOn w:val="TextocomentarioCar"/>
    <w:link w:val="Asuntodelcomentario"/>
    <w:uiPriority w:val="99"/>
    <w:semiHidden/>
    <w:rsid w:val="00224DB6"/>
    <w:rPr>
      <w:rFonts w:ascii="Arial" w:eastAsia="Calibri" w:hAnsi="Arial" w:cs="Times New Roman"/>
      <w:b/>
      <w:bCs/>
      <w:kern w:val="0"/>
      <w:sz w:val="20"/>
      <w:szCs w:val="20"/>
      <w:lang w:eastAsia="es-MX"/>
      <w14:ligatures w14:val="none"/>
    </w:rPr>
  </w:style>
  <w:style w:type="paragraph" w:customStyle="1" w:styleId="PARRAFOSENTENCIA">
    <w:name w:val="PARRAFO SENTENCIA"/>
    <w:basedOn w:val="Normal"/>
    <w:link w:val="PARRAFOSENTENCIACar"/>
    <w:qFormat/>
    <w:rsid w:val="009662CF"/>
    <w:pPr>
      <w:spacing w:before="100" w:beforeAutospacing="1" w:after="100" w:afterAutospacing="1" w:line="360" w:lineRule="auto"/>
      <w:ind w:firstLine="709"/>
      <w:jc w:val="both"/>
    </w:pPr>
    <w:rPr>
      <w:rFonts w:eastAsia="Times New Roman"/>
      <w:sz w:val="28"/>
      <w:szCs w:val="27"/>
      <w:lang w:val="es-ES" w:eastAsia="es-ES"/>
    </w:rPr>
  </w:style>
  <w:style w:type="character" w:customStyle="1" w:styleId="PARRAFOSENTENCIACar">
    <w:name w:val="PARRAFO SENTENCIA Car"/>
    <w:link w:val="PARRAFOSENTENCIA"/>
    <w:rsid w:val="009662CF"/>
    <w:rPr>
      <w:rFonts w:ascii="Arial" w:eastAsia="Times New Roman" w:hAnsi="Arial" w:cs="Times New Roman"/>
      <w:kern w:val="0"/>
      <w:sz w:val="28"/>
      <w:szCs w:val="27"/>
      <w:lang w:val="es-ES" w:eastAsia="es-ES"/>
      <w14:ligatures w14:val="none"/>
    </w:rPr>
  </w:style>
  <w:style w:type="paragraph" w:customStyle="1" w:styleId="General">
    <w:name w:val="General"/>
    <w:basedOn w:val="Normal"/>
    <w:link w:val="GeneralCar"/>
    <w:rsid w:val="009662CF"/>
    <w:pPr>
      <w:spacing w:line="360" w:lineRule="auto"/>
      <w:ind w:firstLine="709"/>
      <w:jc w:val="both"/>
    </w:pPr>
    <w:rPr>
      <w:rFonts w:ascii="Times New Roman" w:eastAsia="Times New Roman" w:hAnsi="Times New Roman"/>
      <w:sz w:val="28"/>
      <w:szCs w:val="24"/>
      <w:lang w:val="es-ES" w:eastAsia="es-ES"/>
    </w:rPr>
  </w:style>
  <w:style w:type="character" w:customStyle="1" w:styleId="GeneralCar">
    <w:name w:val="General Car"/>
    <w:link w:val="General"/>
    <w:rsid w:val="009662CF"/>
    <w:rPr>
      <w:rFonts w:ascii="Times New Roman" w:eastAsia="Times New Roman" w:hAnsi="Times New Roman" w:cs="Times New Roman"/>
      <w:kern w:val="0"/>
      <w:sz w:val="28"/>
      <w:lang w:val="es-ES" w:eastAsia="es-ES"/>
      <w14:ligatures w14:val="none"/>
    </w:rPr>
  </w:style>
  <w:style w:type="paragraph" w:customStyle="1" w:styleId="PARRAFOACUERDO">
    <w:name w:val="PARRAFO ACUERDO"/>
    <w:basedOn w:val="Normal"/>
    <w:rsid w:val="009662CF"/>
    <w:pPr>
      <w:spacing w:before="100" w:beforeAutospacing="1" w:after="100" w:afterAutospacing="1"/>
      <w:ind w:firstLine="851"/>
      <w:jc w:val="both"/>
    </w:pPr>
    <w:rPr>
      <w:rFonts w:eastAsia="Times New Roman"/>
      <w:bCs/>
      <w:sz w:val="28"/>
      <w:lang w:val="es-ES" w:eastAsia="es-ES"/>
    </w:rPr>
  </w:style>
  <w:style w:type="paragraph" w:customStyle="1" w:styleId="Sentencia">
    <w:name w:val="Sentencia"/>
    <w:basedOn w:val="Normal"/>
    <w:link w:val="SentenciaCar"/>
    <w:qFormat/>
    <w:rsid w:val="009662CF"/>
    <w:pPr>
      <w:spacing w:before="100" w:beforeAutospacing="1" w:after="100" w:afterAutospacing="1" w:line="360" w:lineRule="auto"/>
      <w:ind w:firstLine="709"/>
      <w:jc w:val="both"/>
    </w:pPr>
    <w:rPr>
      <w:rFonts w:eastAsia="Times New Roman"/>
      <w:sz w:val="28"/>
      <w:szCs w:val="27"/>
      <w:lang w:val="es-ES" w:eastAsia="es-ES"/>
    </w:rPr>
  </w:style>
  <w:style w:type="character" w:customStyle="1" w:styleId="SentenciaCar">
    <w:name w:val="Sentencia Car"/>
    <w:link w:val="Sentencia"/>
    <w:rsid w:val="009662CF"/>
    <w:rPr>
      <w:rFonts w:ascii="Arial" w:eastAsia="Times New Roman" w:hAnsi="Arial" w:cs="Times New Roman"/>
      <w:kern w:val="0"/>
      <w:sz w:val="28"/>
      <w:szCs w:val="27"/>
      <w:lang w:val="es-ES" w:eastAsia="es-ES"/>
      <w14:ligatures w14:val="none"/>
    </w:rPr>
  </w:style>
  <w:style w:type="paragraph" w:styleId="Textodeglobo">
    <w:name w:val="Balloon Text"/>
    <w:basedOn w:val="Normal"/>
    <w:link w:val="TextodegloboCar"/>
    <w:uiPriority w:val="99"/>
    <w:semiHidden/>
    <w:unhideWhenUsed/>
    <w:rsid w:val="009662CF"/>
    <w:rPr>
      <w:rFonts w:ascii="Segoe UI" w:hAnsi="Segoe UI" w:cs="Segoe UI"/>
      <w:sz w:val="18"/>
      <w:szCs w:val="18"/>
      <w:lang w:eastAsia="en-US"/>
    </w:rPr>
  </w:style>
  <w:style w:type="character" w:customStyle="1" w:styleId="TextodegloboCar">
    <w:name w:val="Texto de globo Car"/>
    <w:basedOn w:val="Fuentedeprrafopredeter"/>
    <w:link w:val="Textodeglobo"/>
    <w:uiPriority w:val="99"/>
    <w:semiHidden/>
    <w:rsid w:val="009662CF"/>
    <w:rPr>
      <w:rFonts w:ascii="Segoe UI" w:eastAsia="Calibri" w:hAnsi="Segoe UI" w:cs="Segoe UI"/>
      <w:kern w:val="0"/>
      <w:sz w:val="18"/>
      <w:szCs w:val="18"/>
      <w14:ligatures w14:val="none"/>
    </w:rPr>
  </w:style>
  <w:style w:type="paragraph" w:customStyle="1" w:styleId="normalsentencia">
    <w:name w:val="normal sentencia"/>
    <w:basedOn w:val="Normal"/>
    <w:rsid w:val="009662CF"/>
    <w:pPr>
      <w:widowControl w:val="0"/>
      <w:snapToGrid w:val="0"/>
      <w:spacing w:before="600" w:after="480" w:line="480" w:lineRule="auto"/>
      <w:ind w:firstLine="709"/>
      <w:jc w:val="both"/>
    </w:pPr>
    <w:rPr>
      <w:rFonts w:eastAsia="Times New Roman"/>
      <w:sz w:val="28"/>
      <w:lang w:val="es-ES" w:eastAsia="es-ES"/>
    </w:rPr>
  </w:style>
  <w:style w:type="character" w:styleId="Mencinsinresolver">
    <w:name w:val="Unresolved Mention"/>
    <w:basedOn w:val="Fuentedeprrafopredeter"/>
    <w:uiPriority w:val="99"/>
    <w:semiHidden/>
    <w:unhideWhenUsed/>
    <w:rsid w:val="009662CF"/>
    <w:rPr>
      <w:color w:val="808080"/>
      <w:shd w:val="clear" w:color="auto" w:fill="E6E6E6"/>
    </w:rPr>
  </w:style>
  <w:style w:type="paragraph" w:styleId="TDC3">
    <w:name w:val="toc 3"/>
    <w:basedOn w:val="Normal"/>
    <w:next w:val="Normal"/>
    <w:autoRedefine/>
    <w:uiPriority w:val="39"/>
    <w:unhideWhenUsed/>
    <w:rsid w:val="009662CF"/>
    <w:pPr>
      <w:spacing w:line="276" w:lineRule="auto"/>
      <w:ind w:left="440"/>
    </w:pPr>
    <w:rPr>
      <w:rFonts w:asciiTheme="minorHAnsi" w:hAnsiTheme="minorHAnsi" w:cstheme="minorHAnsi"/>
      <w:sz w:val="20"/>
      <w:lang w:eastAsia="en-US"/>
    </w:rPr>
  </w:style>
  <w:style w:type="paragraph" w:styleId="TDC4">
    <w:name w:val="toc 4"/>
    <w:basedOn w:val="Normal"/>
    <w:next w:val="Normal"/>
    <w:autoRedefine/>
    <w:uiPriority w:val="39"/>
    <w:unhideWhenUsed/>
    <w:rsid w:val="009662CF"/>
    <w:pPr>
      <w:spacing w:line="276" w:lineRule="auto"/>
      <w:ind w:left="660"/>
    </w:pPr>
    <w:rPr>
      <w:rFonts w:asciiTheme="minorHAnsi" w:hAnsiTheme="minorHAnsi" w:cstheme="minorHAnsi"/>
      <w:sz w:val="20"/>
      <w:lang w:eastAsia="en-US"/>
    </w:rPr>
  </w:style>
  <w:style w:type="paragraph" w:styleId="TDC5">
    <w:name w:val="toc 5"/>
    <w:basedOn w:val="Normal"/>
    <w:next w:val="Normal"/>
    <w:autoRedefine/>
    <w:uiPriority w:val="39"/>
    <w:unhideWhenUsed/>
    <w:rsid w:val="009662CF"/>
    <w:pPr>
      <w:spacing w:line="276" w:lineRule="auto"/>
      <w:ind w:left="880"/>
    </w:pPr>
    <w:rPr>
      <w:rFonts w:asciiTheme="minorHAnsi" w:hAnsiTheme="minorHAnsi" w:cstheme="minorHAnsi"/>
      <w:sz w:val="20"/>
      <w:lang w:eastAsia="en-US"/>
    </w:rPr>
  </w:style>
  <w:style w:type="character" w:styleId="Nmerodepgina">
    <w:name w:val="page number"/>
    <w:basedOn w:val="Fuentedeprrafopredeter"/>
    <w:rsid w:val="009662CF"/>
  </w:style>
  <w:style w:type="paragraph" w:customStyle="1" w:styleId="Style12">
    <w:name w:val="Style12"/>
    <w:basedOn w:val="Normal"/>
    <w:uiPriority w:val="99"/>
    <w:rsid w:val="009662CF"/>
    <w:pPr>
      <w:widowControl w:val="0"/>
      <w:autoSpaceDE w:val="0"/>
      <w:autoSpaceDN w:val="0"/>
      <w:adjustRightInd w:val="0"/>
      <w:spacing w:line="293" w:lineRule="exact"/>
      <w:ind w:firstLine="533"/>
      <w:jc w:val="both"/>
    </w:pPr>
    <w:rPr>
      <w:rFonts w:eastAsia="Times New Roman" w:cs="Arial"/>
      <w:szCs w:val="24"/>
    </w:rPr>
  </w:style>
  <w:style w:type="character" w:customStyle="1" w:styleId="FontStyle19">
    <w:name w:val="Font Style19"/>
    <w:uiPriority w:val="99"/>
    <w:rsid w:val="009662CF"/>
    <w:rPr>
      <w:rFonts w:ascii="Arial" w:hAnsi="Arial" w:cs="Arial"/>
      <w:b/>
      <w:bCs/>
      <w:sz w:val="24"/>
      <w:szCs w:val="24"/>
    </w:rPr>
  </w:style>
  <w:style w:type="character" w:customStyle="1" w:styleId="FontStyle20">
    <w:name w:val="Font Style20"/>
    <w:uiPriority w:val="99"/>
    <w:rsid w:val="009662CF"/>
    <w:rPr>
      <w:rFonts w:ascii="Arial" w:hAnsi="Arial" w:cs="Arial"/>
      <w:sz w:val="24"/>
      <w:szCs w:val="24"/>
    </w:rPr>
  </w:style>
  <w:style w:type="paragraph" w:customStyle="1" w:styleId="Style8">
    <w:name w:val="Style8"/>
    <w:basedOn w:val="Normal"/>
    <w:uiPriority w:val="99"/>
    <w:rsid w:val="009662CF"/>
    <w:pPr>
      <w:widowControl w:val="0"/>
      <w:autoSpaceDE w:val="0"/>
      <w:autoSpaceDN w:val="0"/>
      <w:adjustRightInd w:val="0"/>
      <w:spacing w:line="319" w:lineRule="exact"/>
      <w:jc w:val="both"/>
    </w:pPr>
    <w:rPr>
      <w:rFonts w:eastAsiaTheme="minorEastAsia" w:cs="Arial"/>
      <w:szCs w:val="24"/>
    </w:rPr>
  </w:style>
  <w:style w:type="paragraph" w:customStyle="1" w:styleId="Style4">
    <w:name w:val="Style4"/>
    <w:basedOn w:val="Normal"/>
    <w:uiPriority w:val="99"/>
    <w:rsid w:val="009662CF"/>
    <w:pPr>
      <w:widowControl w:val="0"/>
      <w:autoSpaceDE w:val="0"/>
      <w:autoSpaceDN w:val="0"/>
      <w:adjustRightInd w:val="0"/>
      <w:spacing w:line="475" w:lineRule="exact"/>
      <w:jc w:val="both"/>
    </w:pPr>
    <w:rPr>
      <w:rFonts w:ascii="Century Gothic" w:eastAsia="Times New Roman" w:hAnsi="Century Gothic"/>
      <w:szCs w:val="24"/>
      <w:lang w:val="es-ES" w:eastAsia="es-ES"/>
    </w:rPr>
  </w:style>
  <w:style w:type="character" w:customStyle="1" w:styleId="FontStyle42">
    <w:name w:val="Font Style42"/>
    <w:uiPriority w:val="99"/>
    <w:rsid w:val="009662CF"/>
    <w:rPr>
      <w:rFonts w:ascii="Century Gothic" w:hAnsi="Century Gothic" w:cs="Century Gothic"/>
      <w:sz w:val="24"/>
      <w:szCs w:val="24"/>
    </w:rPr>
  </w:style>
  <w:style w:type="table" w:styleId="Tabladelista4-nfasis3">
    <w:name w:val="List Table 4 Accent 3"/>
    <w:basedOn w:val="Tablanormal"/>
    <w:uiPriority w:val="49"/>
    <w:rsid w:val="009662CF"/>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Fuerte">
    <w:name w:val="Strong"/>
    <w:basedOn w:val="Fuentedeprrafopredeter"/>
    <w:uiPriority w:val="22"/>
    <w:qFormat/>
    <w:rsid w:val="009662CF"/>
    <w:rPr>
      <w:b/>
      <w:bCs/>
    </w:rPr>
  </w:style>
  <w:style w:type="paragraph" w:styleId="Textonotaalfinal">
    <w:name w:val="endnote text"/>
    <w:basedOn w:val="Normal"/>
    <w:link w:val="TextonotaalfinalCar"/>
    <w:uiPriority w:val="99"/>
    <w:semiHidden/>
    <w:unhideWhenUsed/>
    <w:rsid w:val="009662CF"/>
    <w:rPr>
      <w:rFonts w:ascii="Calibri" w:hAnsi="Calibri"/>
      <w:sz w:val="20"/>
      <w:lang w:eastAsia="en-US"/>
    </w:rPr>
  </w:style>
  <w:style w:type="character" w:customStyle="1" w:styleId="TextonotaalfinalCar">
    <w:name w:val="Texto nota al final Car"/>
    <w:basedOn w:val="Fuentedeprrafopredeter"/>
    <w:link w:val="Textonotaalfinal"/>
    <w:uiPriority w:val="99"/>
    <w:semiHidden/>
    <w:rsid w:val="009662CF"/>
    <w:rPr>
      <w:rFonts w:ascii="Calibri" w:eastAsia="Calibri" w:hAnsi="Calibri" w:cs="Times New Roman"/>
      <w:kern w:val="0"/>
      <w:sz w:val="20"/>
      <w:szCs w:val="20"/>
      <w14:ligatures w14:val="none"/>
    </w:rPr>
  </w:style>
  <w:style w:type="character" w:styleId="Refdenotaalfinal">
    <w:name w:val="endnote reference"/>
    <w:basedOn w:val="Fuentedeprrafopredeter"/>
    <w:uiPriority w:val="99"/>
    <w:semiHidden/>
    <w:unhideWhenUsed/>
    <w:rsid w:val="009662CF"/>
    <w:rPr>
      <w:vertAlign w:val="superscript"/>
    </w:rPr>
  </w:style>
  <w:style w:type="table" w:customStyle="1" w:styleId="Tablaconcuadrcula1">
    <w:name w:val="Tabla con cuadrícula1"/>
    <w:basedOn w:val="Tablanormal"/>
    <w:next w:val="Tablaconcuadrcula"/>
    <w:uiPriority w:val="39"/>
    <w:rsid w:val="009662C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662CF"/>
    <w:pPr>
      <w:spacing w:after="0" w:line="240" w:lineRule="auto"/>
    </w:pPr>
    <w:rPr>
      <w:rFonts w:ascii="Calibri" w:eastAsia="Calibri" w:hAnsi="Calibri" w:cs="Times New Roman"/>
      <w:kern w:val="0"/>
      <w:sz w:val="22"/>
      <w:szCs w:val="22"/>
      <w14:ligatures w14:val="none"/>
    </w:rPr>
  </w:style>
  <w:style w:type="character" w:styleId="Hipervnculovisitado">
    <w:name w:val="FollowedHyperlink"/>
    <w:basedOn w:val="Fuentedeprrafopredeter"/>
    <w:uiPriority w:val="99"/>
    <w:semiHidden/>
    <w:unhideWhenUsed/>
    <w:rsid w:val="009662CF"/>
    <w:rPr>
      <w:color w:val="96607D" w:themeColor="followedHyperlink"/>
      <w:u w:val="single"/>
    </w:rPr>
  </w:style>
  <w:style w:type="paragraph" w:customStyle="1" w:styleId="Estilo">
    <w:name w:val="Estilo"/>
    <w:basedOn w:val="Normal"/>
    <w:link w:val="EstiloCar"/>
    <w:qFormat/>
    <w:rsid w:val="009662CF"/>
    <w:pPr>
      <w:widowControl w:val="0"/>
      <w:spacing w:line="360" w:lineRule="auto"/>
      <w:jc w:val="both"/>
    </w:pPr>
    <w:rPr>
      <w:rFonts w:eastAsia="Times New Roman" w:cs="Arial"/>
      <w:sz w:val="26"/>
      <w:szCs w:val="26"/>
      <w:lang w:val="es-ES" w:eastAsia="es-ES"/>
    </w:rPr>
  </w:style>
  <w:style w:type="character" w:customStyle="1" w:styleId="EstiloCar">
    <w:name w:val="Estilo Car"/>
    <w:link w:val="Estilo"/>
    <w:rsid w:val="009662CF"/>
    <w:rPr>
      <w:rFonts w:ascii="Arial" w:eastAsia="Times New Roman" w:hAnsi="Arial" w:cs="Arial"/>
      <w:kern w:val="0"/>
      <w:sz w:val="26"/>
      <w:szCs w:val="26"/>
      <w:lang w:val="es-ES" w:eastAsia="es-ES"/>
      <w14:ligatures w14:val="none"/>
    </w:rPr>
  </w:style>
  <w:style w:type="paragraph" w:styleId="TtuloTDC">
    <w:name w:val="TOC Heading"/>
    <w:basedOn w:val="Ttulo1"/>
    <w:next w:val="Normal"/>
    <w:uiPriority w:val="39"/>
    <w:unhideWhenUsed/>
    <w:qFormat/>
    <w:rsid w:val="009662CF"/>
    <w:pPr>
      <w:spacing w:before="240" w:after="0" w:line="259" w:lineRule="auto"/>
      <w:outlineLvl w:val="9"/>
    </w:pPr>
    <w:rPr>
      <w:sz w:val="32"/>
      <w:szCs w:val="32"/>
    </w:rPr>
  </w:style>
  <w:style w:type="paragraph" w:styleId="TDC6">
    <w:name w:val="toc 6"/>
    <w:basedOn w:val="Normal"/>
    <w:next w:val="Normal"/>
    <w:autoRedefine/>
    <w:uiPriority w:val="39"/>
    <w:unhideWhenUsed/>
    <w:rsid w:val="009662CF"/>
    <w:pPr>
      <w:spacing w:line="276" w:lineRule="auto"/>
      <w:ind w:left="1100"/>
    </w:pPr>
    <w:rPr>
      <w:rFonts w:asciiTheme="minorHAnsi" w:hAnsiTheme="minorHAnsi" w:cstheme="minorHAnsi"/>
      <w:sz w:val="20"/>
      <w:lang w:eastAsia="en-US"/>
    </w:rPr>
  </w:style>
  <w:style w:type="paragraph" w:styleId="TDC7">
    <w:name w:val="toc 7"/>
    <w:basedOn w:val="Normal"/>
    <w:next w:val="Normal"/>
    <w:autoRedefine/>
    <w:uiPriority w:val="39"/>
    <w:unhideWhenUsed/>
    <w:rsid w:val="009662CF"/>
    <w:pPr>
      <w:spacing w:line="276" w:lineRule="auto"/>
      <w:ind w:left="1320"/>
    </w:pPr>
    <w:rPr>
      <w:rFonts w:asciiTheme="minorHAnsi" w:hAnsiTheme="minorHAnsi" w:cstheme="minorHAnsi"/>
      <w:sz w:val="20"/>
      <w:lang w:eastAsia="en-US"/>
    </w:rPr>
  </w:style>
  <w:style w:type="paragraph" w:styleId="TDC8">
    <w:name w:val="toc 8"/>
    <w:basedOn w:val="Normal"/>
    <w:next w:val="Normal"/>
    <w:autoRedefine/>
    <w:uiPriority w:val="39"/>
    <w:unhideWhenUsed/>
    <w:rsid w:val="009662CF"/>
    <w:pPr>
      <w:spacing w:line="276" w:lineRule="auto"/>
      <w:ind w:left="1540"/>
    </w:pPr>
    <w:rPr>
      <w:rFonts w:asciiTheme="minorHAnsi" w:hAnsiTheme="minorHAnsi" w:cstheme="minorHAnsi"/>
      <w:sz w:val="20"/>
      <w:lang w:eastAsia="en-US"/>
    </w:rPr>
  </w:style>
  <w:style w:type="paragraph" w:styleId="TDC9">
    <w:name w:val="toc 9"/>
    <w:basedOn w:val="Normal"/>
    <w:next w:val="Normal"/>
    <w:autoRedefine/>
    <w:uiPriority w:val="39"/>
    <w:unhideWhenUsed/>
    <w:rsid w:val="009662CF"/>
    <w:pPr>
      <w:spacing w:line="276" w:lineRule="auto"/>
      <w:ind w:left="1760"/>
    </w:pPr>
    <w:rPr>
      <w:rFonts w:asciiTheme="minorHAnsi" w:hAnsiTheme="minorHAnsi" w:cstheme="minorHAnsi"/>
      <w:sz w:val="20"/>
      <w:lang w:eastAsia="en-US"/>
    </w:rPr>
  </w:style>
  <w:style w:type="table" w:customStyle="1" w:styleId="Tablaconcuadrcula2">
    <w:name w:val="Tabla con cuadrícula2"/>
    <w:basedOn w:val="Tablanormal"/>
    <w:next w:val="Tablaconcuadrcula"/>
    <w:uiPriority w:val="59"/>
    <w:rsid w:val="008A6957"/>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F53D8"/>
    <w:pPr>
      <w:spacing w:before="100" w:beforeAutospacing="1" w:after="100" w:afterAutospacing="1"/>
    </w:pPr>
    <w:rPr>
      <w:rFonts w:ascii="Times New Roman" w:eastAsia="Times New Roman" w:hAnsi="Times New Roman"/>
      <w:szCs w:val="24"/>
      <w:lang w:val="es-419" w:eastAsia="es-419"/>
    </w:rPr>
  </w:style>
  <w:style w:type="paragraph" w:customStyle="1" w:styleId="GINA2">
    <w:name w:val="GINA 2"/>
    <w:basedOn w:val="Prrafodelista"/>
    <w:link w:val="GINA2Car"/>
    <w:qFormat/>
    <w:rsid w:val="00EA70D6"/>
    <w:pPr>
      <w:tabs>
        <w:tab w:val="left" w:pos="6207"/>
      </w:tabs>
      <w:spacing w:before="240" w:after="240" w:line="360" w:lineRule="auto"/>
      <w:ind w:left="6567" w:hanging="360"/>
      <w:contextualSpacing w:val="0"/>
      <w:outlineLvl w:val="1"/>
    </w:pPr>
    <w:rPr>
      <w:rFonts w:cs="Arial"/>
      <w:b/>
      <w:szCs w:val="24"/>
    </w:rPr>
  </w:style>
  <w:style w:type="character" w:customStyle="1" w:styleId="GINA2Car">
    <w:name w:val="GINA 2 Car"/>
    <w:basedOn w:val="PrrafodelistaCar"/>
    <w:link w:val="GINA2"/>
    <w:rsid w:val="00EA70D6"/>
    <w:rPr>
      <w:rFonts w:ascii="Arial" w:eastAsia="Calibri" w:hAnsi="Arial" w:cs="Arial"/>
      <w:b/>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C4E1D-EEBB-4716-B4C8-1FE71F360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5326</Words>
  <Characters>29296</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Alberto Montes de Oca Sánchez</dc:creator>
  <cp:keywords/>
  <dc:description/>
  <cp:lastModifiedBy>Miguel Ángel Apodaca Martínez</cp:lastModifiedBy>
  <cp:revision>3</cp:revision>
  <cp:lastPrinted>2026-06-03T20:31:00Z</cp:lastPrinted>
  <dcterms:created xsi:type="dcterms:W3CDTF">2026-07-29T19:10:00Z</dcterms:created>
  <dcterms:modified xsi:type="dcterms:W3CDTF">2026-08-05T23:26:00Z</dcterms:modified>
</cp:coreProperties>
</file>