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13DD0C" w14:textId="77777777" w:rsidR="005A31A5" w:rsidRDefault="00AA4FCC">
      <w:pPr>
        <w:pStyle w:val="Textoindependiente"/>
        <w:rPr>
          <w:rFonts w:ascii="Times New Roman"/>
          <w:b w:val="0"/>
          <w:i w:val="0"/>
          <w:sz w:val="20"/>
        </w:rPr>
      </w:pPr>
      <w:r>
        <w:rPr>
          <w:noProof/>
        </w:rPr>
        <w:drawing>
          <wp:anchor distT="0" distB="0" distL="0" distR="0" simplePos="0" relativeHeight="251658240" behindDoc="0" locked="0" layoutInCell="1" allowOverlap="1" wp14:anchorId="52C6E098" wp14:editId="32A31058">
            <wp:simplePos x="0" y="0"/>
            <wp:positionH relativeFrom="page">
              <wp:posOffset>1052604</wp:posOffset>
            </wp:positionH>
            <wp:positionV relativeFrom="page">
              <wp:posOffset>567385</wp:posOffset>
            </wp:positionV>
            <wp:extent cx="1040838" cy="100134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040838" cy="1001344"/>
                    </a:xfrm>
                    <a:prstGeom prst="rect">
                      <a:avLst/>
                    </a:prstGeom>
                  </pic:spPr>
                </pic:pic>
              </a:graphicData>
            </a:graphic>
          </wp:anchor>
        </w:drawing>
      </w:r>
    </w:p>
    <w:p w14:paraId="0713CCBC" w14:textId="77777777" w:rsidR="005A31A5" w:rsidRDefault="005A31A5">
      <w:pPr>
        <w:pStyle w:val="Textoindependiente"/>
        <w:rPr>
          <w:rFonts w:ascii="Times New Roman"/>
          <w:b w:val="0"/>
          <w:i w:val="0"/>
          <w:sz w:val="20"/>
        </w:rPr>
      </w:pPr>
    </w:p>
    <w:p w14:paraId="1DA204B1" w14:textId="77777777" w:rsidR="005A31A5" w:rsidRDefault="005A31A5">
      <w:pPr>
        <w:pStyle w:val="Textoindependiente"/>
        <w:rPr>
          <w:rFonts w:ascii="Times New Roman"/>
          <w:b w:val="0"/>
          <w:i w:val="0"/>
          <w:sz w:val="20"/>
        </w:rPr>
      </w:pPr>
    </w:p>
    <w:p w14:paraId="6B9ABD36" w14:textId="77777777" w:rsidR="005A31A5" w:rsidRDefault="005A31A5">
      <w:pPr>
        <w:pStyle w:val="Textoindependiente"/>
        <w:rPr>
          <w:rFonts w:ascii="Times New Roman"/>
          <w:b w:val="0"/>
          <w:i w:val="0"/>
          <w:sz w:val="20"/>
        </w:rPr>
      </w:pPr>
    </w:p>
    <w:p w14:paraId="2A59A253" w14:textId="77777777" w:rsidR="005A31A5" w:rsidRDefault="005A31A5">
      <w:pPr>
        <w:pStyle w:val="Textoindependiente"/>
        <w:rPr>
          <w:rFonts w:ascii="Times New Roman"/>
          <w:b w:val="0"/>
          <w:i w:val="0"/>
          <w:sz w:val="20"/>
        </w:rPr>
      </w:pPr>
    </w:p>
    <w:p w14:paraId="4BB51E99" w14:textId="77777777" w:rsidR="005A31A5" w:rsidRDefault="005A31A5">
      <w:pPr>
        <w:pStyle w:val="Textoindependiente"/>
        <w:rPr>
          <w:rFonts w:ascii="Times New Roman"/>
          <w:b w:val="0"/>
          <w:i w:val="0"/>
          <w:sz w:val="20"/>
        </w:rPr>
      </w:pPr>
    </w:p>
    <w:p w14:paraId="7E63A241" w14:textId="77777777" w:rsidR="005A31A5" w:rsidRDefault="005A31A5">
      <w:pPr>
        <w:pStyle w:val="Textoindependiente"/>
        <w:spacing w:before="10"/>
        <w:rPr>
          <w:rFonts w:ascii="Times New Roman"/>
          <w:b w:val="0"/>
          <w:i w:val="0"/>
          <w:sz w:val="27"/>
        </w:rPr>
      </w:pPr>
    </w:p>
    <w:tbl>
      <w:tblPr>
        <w:tblStyle w:val="TableNormal"/>
        <w:tblW w:w="0" w:type="auto"/>
        <w:tblInd w:w="12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1272"/>
        <w:gridCol w:w="2404"/>
        <w:gridCol w:w="3828"/>
        <w:gridCol w:w="9786"/>
      </w:tblGrid>
      <w:tr w:rsidR="005A31A5" w14:paraId="3E2E3122" w14:textId="77777777">
        <w:trPr>
          <w:trHeight w:val="479"/>
        </w:trPr>
        <w:tc>
          <w:tcPr>
            <w:tcW w:w="1272" w:type="dxa"/>
            <w:shd w:val="clear" w:color="auto" w:fill="76923B"/>
          </w:tcPr>
          <w:p w14:paraId="4F548D2D" w14:textId="77777777" w:rsidR="005A31A5" w:rsidRDefault="005A31A5">
            <w:pPr>
              <w:pStyle w:val="TableParagraph"/>
              <w:rPr>
                <w:rFonts w:ascii="Times New Roman"/>
                <w:sz w:val="18"/>
              </w:rPr>
            </w:pPr>
          </w:p>
        </w:tc>
        <w:tc>
          <w:tcPr>
            <w:tcW w:w="2404" w:type="dxa"/>
            <w:shd w:val="clear" w:color="auto" w:fill="76923B"/>
          </w:tcPr>
          <w:p w14:paraId="79B8D109" w14:textId="77777777" w:rsidR="005A31A5" w:rsidRDefault="00AA4FCC">
            <w:pPr>
              <w:pStyle w:val="TableParagraph"/>
              <w:spacing w:before="110"/>
              <w:ind w:left="88" w:right="80"/>
              <w:jc w:val="center"/>
              <w:rPr>
                <w:b/>
                <w:sz w:val="20"/>
              </w:rPr>
            </w:pPr>
            <w:r>
              <w:rPr>
                <w:b/>
                <w:color w:val="FFFFFF"/>
                <w:sz w:val="20"/>
              </w:rPr>
              <w:t>ESTADO</w:t>
            </w:r>
          </w:p>
        </w:tc>
        <w:tc>
          <w:tcPr>
            <w:tcW w:w="3828" w:type="dxa"/>
            <w:shd w:val="clear" w:color="auto" w:fill="76923B"/>
          </w:tcPr>
          <w:p w14:paraId="4238305E" w14:textId="77777777" w:rsidR="005A31A5" w:rsidRDefault="00AA4FCC">
            <w:pPr>
              <w:pStyle w:val="TableParagraph"/>
              <w:spacing w:before="110"/>
              <w:ind w:left="1735" w:right="1726"/>
              <w:jc w:val="center"/>
              <w:rPr>
                <w:b/>
                <w:sz w:val="20"/>
              </w:rPr>
            </w:pPr>
            <w:r>
              <w:rPr>
                <w:b/>
                <w:color w:val="FFFFFF"/>
                <w:sz w:val="20"/>
              </w:rPr>
              <w:t>LEY</w:t>
            </w:r>
          </w:p>
        </w:tc>
        <w:tc>
          <w:tcPr>
            <w:tcW w:w="9786" w:type="dxa"/>
            <w:shd w:val="clear" w:color="auto" w:fill="76923B"/>
          </w:tcPr>
          <w:p w14:paraId="00A467C9" w14:textId="77777777" w:rsidR="005A31A5" w:rsidRDefault="00AA4FCC">
            <w:pPr>
              <w:pStyle w:val="TableParagraph"/>
              <w:spacing w:before="110"/>
              <w:ind w:left="3512" w:right="3504"/>
              <w:jc w:val="center"/>
              <w:rPr>
                <w:b/>
                <w:sz w:val="20"/>
              </w:rPr>
            </w:pPr>
            <w:r>
              <w:rPr>
                <w:b/>
                <w:color w:val="FFFFFF"/>
                <w:sz w:val="20"/>
              </w:rPr>
              <w:t>ARTÍCULO (TRANSCRIPCIÓN)</w:t>
            </w:r>
          </w:p>
        </w:tc>
      </w:tr>
      <w:tr w:rsidR="00324F1C" w14:paraId="5036F2E2" w14:textId="77777777" w:rsidTr="00980493">
        <w:trPr>
          <w:trHeight w:val="3205"/>
        </w:trPr>
        <w:tc>
          <w:tcPr>
            <w:tcW w:w="1272" w:type="dxa"/>
            <w:shd w:val="clear" w:color="auto" w:fill="auto"/>
          </w:tcPr>
          <w:p w14:paraId="0D1FB827" w14:textId="77777777" w:rsidR="00324F1C" w:rsidRDefault="00324F1C">
            <w:pPr>
              <w:pStyle w:val="TableParagraph"/>
              <w:spacing w:before="110"/>
              <w:ind w:left="467"/>
              <w:rPr>
                <w:b/>
                <w:sz w:val="20"/>
              </w:rPr>
            </w:pPr>
            <w:r>
              <w:rPr>
                <w:b/>
                <w:sz w:val="20"/>
              </w:rPr>
              <w:t>1.</w:t>
            </w:r>
          </w:p>
        </w:tc>
        <w:tc>
          <w:tcPr>
            <w:tcW w:w="2404" w:type="dxa"/>
            <w:shd w:val="clear" w:color="auto" w:fill="auto"/>
          </w:tcPr>
          <w:p w14:paraId="14E86419" w14:textId="77777777" w:rsidR="00324F1C" w:rsidRDefault="00324F1C">
            <w:pPr>
              <w:pStyle w:val="TableParagraph"/>
              <w:spacing w:before="110"/>
              <w:ind w:left="88" w:right="118"/>
              <w:jc w:val="center"/>
              <w:rPr>
                <w:b/>
                <w:sz w:val="20"/>
              </w:rPr>
            </w:pPr>
            <w:r>
              <w:rPr>
                <w:b/>
                <w:sz w:val="20"/>
              </w:rPr>
              <w:t>BAJA CALIFORNIA SUR</w:t>
            </w:r>
          </w:p>
        </w:tc>
        <w:tc>
          <w:tcPr>
            <w:tcW w:w="3828" w:type="dxa"/>
            <w:shd w:val="clear" w:color="auto" w:fill="auto"/>
          </w:tcPr>
          <w:p w14:paraId="3254C1D7" w14:textId="77777777" w:rsidR="00324F1C" w:rsidRDefault="00C82FA2">
            <w:pPr>
              <w:pStyle w:val="TableParagraph"/>
              <w:spacing w:before="114" w:line="235" w:lineRule="auto"/>
              <w:ind w:left="108" w:right="99"/>
              <w:rPr>
                <w:b/>
                <w:sz w:val="20"/>
              </w:rPr>
            </w:pPr>
            <w:hyperlink r:id="rId7" w:history="1">
              <w:r w:rsidR="00324F1C" w:rsidRPr="00324F1C">
                <w:rPr>
                  <w:rStyle w:val="Hipervnculo"/>
                  <w:b/>
                  <w:sz w:val="20"/>
                </w:rPr>
                <w:t>Constitución Política del Estado de Baja California Sur</w:t>
              </w:r>
            </w:hyperlink>
          </w:p>
        </w:tc>
        <w:tc>
          <w:tcPr>
            <w:tcW w:w="9786" w:type="dxa"/>
            <w:shd w:val="clear" w:color="auto" w:fill="auto"/>
          </w:tcPr>
          <w:p w14:paraId="789D15C4" w14:textId="77777777" w:rsidR="00324F1C" w:rsidRDefault="00324F1C">
            <w:pPr>
              <w:pStyle w:val="TableParagraph"/>
              <w:spacing w:before="2"/>
              <w:ind w:left="109"/>
              <w:rPr>
                <w:sz w:val="20"/>
              </w:rPr>
            </w:pPr>
            <w:r>
              <w:rPr>
                <w:b/>
                <w:sz w:val="20"/>
              </w:rPr>
              <w:t xml:space="preserve">36.- </w:t>
            </w:r>
            <w:r>
              <w:rPr>
                <w:sz w:val="20"/>
              </w:rPr>
              <w:t>[…]</w:t>
            </w:r>
          </w:p>
          <w:p w14:paraId="3D58F70A" w14:textId="77777777" w:rsidR="00324F1C" w:rsidRDefault="00324F1C">
            <w:pPr>
              <w:pStyle w:val="TableParagraph"/>
              <w:spacing w:before="4"/>
              <w:rPr>
                <w:rFonts w:ascii="Times New Roman"/>
                <w:sz w:val="21"/>
              </w:rPr>
            </w:pPr>
          </w:p>
          <w:p w14:paraId="190A17C5" w14:textId="77777777" w:rsidR="00324F1C" w:rsidRDefault="00324F1C">
            <w:pPr>
              <w:pStyle w:val="TableParagraph"/>
              <w:ind w:left="109"/>
              <w:rPr>
                <w:sz w:val="20"/>
              </w:rPr>
            </w:pPr>
            <w:r>
              <w:rPr>
                <w:sz w:val="20"/>
              </w:rPr>
              <w:t>III. […]</w:t>
            </w:r>
          </w:p>
          <w:p w14:paraId="333EB1F1" w14:textId="77777777" w:rsidR="00324F1C" w:rsidRDefault="00324F1C">
            <w:pPr>
              <w:pStyle w:val="TableParagraph"/>
              <w:spacing w:before="123"/>
              <w:ind w:left="109"/>
              <w:rPr>
                <w:sz w:val="20"/>
              </w:rPr>
            </w:pPr>
            <w:r>
              <w:rPr>
                <w:sz w:val="20"/>
              </w:rPr>
              <w:t>[…]</w:t>
            </w:r>
          </w:p>
          <w:p w14:paraId="073D2812" w14:textId="77777777" w:rsidR="00324F1C" w:rsidRDefault="00324F1C" w:rsidP="00F27F7E">
            <w:pPr>
              <w:pStyle w:val="TableParagraph"/>
              <w:spacing w:before="122"/>
              <w:ind w:left="109" w:right="92"/>
              <w:jc w:val="both"/>
              <w:rPr>
                <w:sz w:val="20"/>
              </w:rPr>
            </w:pPr>
            <w:r>
              <w:rPr>
                <w:sz w:val="20"/>
              </w:rPr>
              <w:t>Sin</w:t>
            </w:r>
            <w:r>
              <w:rPr>
                <w:spacing w:val="-3"/>
                <w:sz w:val="20"/>
              </w:rPr>
              <w:t xml:space="preserve"> </w:t>
            </w:r>
            <w:r>
              <w:rPr>
                <w:sz w:val="20"/>
              </w:rPr>
              <w:t>perjuicio</w:t>
            </w:r>
            <w:r>
              <w:rPr>
                <w:spacing w:val="-4"/>
                <w:sz w:val="20"/>
              </w:rPr>
              <w:t xml:space="preserve"> </w:t>
            </w:r>
            <w:r>
              <w:rPr>
                <w:sz w:val="20"/>
              </w:rPr>
              <w:t>de</w:t>
            </w:r>
            <w:r>
              <w:rPr>
                <w:spacing w:val="-4"/>
                <w:sz w:val="20"/>
              </w:rPr>
              <w:t xml:space="preserve"> </w:t>
            </w:r>
            <w:r>
              <w:rPr>
                <w:sz w:val="20"/>
              </w:rPr>
              <w:t>lo</w:t>
            </w:r>
            <w:r>
              <w:rPr>
                <w:spacing w:val="-4"/>
                <w:sz w:val="20"/>
              </w:rPr>
              <w:t xml:space="preserve"> </w:t>
            </w:r>
            <w:r>
              <w:rPr>
                <w:sz w:val="20"/>
              </w:rPr>
              <w:t>establecido</w:t>
            </w:r>
            <w:r>
              <w:rPr>
                <w:spacing w:val="-3"/>
                <w:sz w:val="20"/>
              </w:rPr>
              <w:t xml:space="preserve"> </w:t>
            </w:r>
            <w:r>
              <w:rPr>
                <w:sz w:val="20"/>
              </w:rPr>
              <w:t>en</w:t>
            </w:r>
            <w:r>
              <w:rPr>
                <w:spacing w:val="-4"/>
                <w:sz w:val="20"/>
              </w:rPr>
              <w:t xml:space="preserve"> </w:t>
            </w:r>
            <w:r>
              <w:rPr>
                <w:sz w:val="20"/>
              </w:rPr>
              <w:t>el inciso</w:t>
            </w:r>
            <w:r>
              <w:rPr>
                <w:spacing w:val="-5"/>
                <w:sz w:val="20"/>
              </w:rPr>
              <w:t xml:space="preserve"> </w:t>
            </w:r>
            <w:r>
              <w:rPr>
                <w:sz w:val="20"/>
              </w:rPr>
              <w:t>B)</w:t>
            </w:r>
            <w:r>
              <w:rPr>
                <w:spacing w:val="-4"/>
                <w:sz w:val="20"/>
              </w:rPr>
              <w:t xml:space="preserve"> </w:t>
            </w:r>
            <w:r>
              <w:rPr>
                <w:sz w:val="20"/>
              </w:rPr>
              <w:t>del</w:t>
            </w:r>
            <w:r>
              <w:rPr>
                <w:spacing w:val="-5"/>
                <w:sz w:val="20"/>
              </w:rPr>
              <w:t xml:space="preserve"> </w:t>
            </w:r>
            <w:r>
              <w:rPr>
                <w:sz w:val="20"/>
              </w:rPr>
              <w:t>párrafo</w:t>
            </w:r>
            <w:r>
              <w:rPr>
                <w:spacing w:val="-5"/>
                <w:sz w:val="20"/>
              </w:rPr>
              <w:t xml:space="preserve"> </w:t>
            </w:r>
            <w:r>
              <w:rPr>
                <w:sz w:val="20"/>
              </w:rPr>
              <w:t>segundo</w:t>
            </w:r>
            <w:r>
              <w:rPr>
                <w:spacing w:val="-4"/>
                <w:sz w:val="20"/>
              </w:rPr>
              <w:t xml:space="preserve"> </w:t>
            </w:r>
            <w:r>
              <w:rPr>
                <w:sz w:val="20"/>
              </w:rPr>
              <w:t>del Apartado</w:t>
            </w:r>
            <w:r>
              <w:rPr>
                <w:spacing w:val="-3"/>
                <w:sz w:val="20"/>
              </w:rPr>
              <w:t xml:space="preserve"> </w:t>
            </w:r>
            <w:r>
              <w:rPr>
                <w:sz w:val="20"/>
              </w:rPr>
              <w:t>C,</w:t>
            </w:r>
            <w:r>
              <w:rPr>
                <w:spacing w:val="-6"/>
                <w:sz w:val="20"/>
              </w:rPr>
              <w:t xml:space="preserve"> </w:t>
            </w:r>
            <w:r>
              <w:rPr>
                <w:sz w:val="20"/>
              </w:rPr>
              <w:t>de</w:t>
            </w:r>
            <w:r>
              <w:rPr>
                <w:spacing w:val="-4"/>
                <w:sz w:val="20"/>
              </w:rPr>
              <w:t xml:space="preserve"> </w:t>
            </w:r>
            <w:r>
              <w:rPr>
                <w:sz w:val="20"/>
              </w:rPr>
              <w:t>la</w:t>
            </w:r>
            <w:r>
              <w:rPr>
                <w:spacing w:val="-3"/>
                <w:sz w:val="20"/>
              </w:rPr>
              <w:t xml:space="preserve"> </w:t>
            </w:r>
            <w:r>
              <w:rPr>
                <w:sz w:val="20"/>
              </w:rPr>
              <w:t>fracción</w:t>
            </w:r>
            <w:r>
              <w:rPr>
                <w:spacing w:val="-4"/>
                <w:sz w:val="20"/>
              </w:rPr>
              <w:t xml:space="preserve"> </w:t>
            </w:r>
            <w:r>
              <w:rPr>
                <w:sz w:val="20"/>
              </w:rPr>
              <w:t>V del artículo 41 de la Constitución General y con fundamento en el último párrafo del apartado B de</w:t>
            </w:r>
            <w:r>
              <w:rPr>
                <w:spacing w:val="-6"/>
                <w:sz w:val="20"/>
              </w:rPr>
              <w:t xml:space="preserve"> </w:t>
            </w:r>
            <w:r>
              <w:rPr>
                <w:sz w:val="20"/>
              </w:rPr>
              <w:t>la</w:t>
            </w:r>
            <w:r>
              <w:rPr>
                <w:spacing w:val="-4"/>
                <w:sz w:val="20"/>
              </w:rPr>
              <w:t xml:space="preserve"> </w:t>
            </w:r>
            <w:r>
              <w:rPr>
                <w:sz w:val="20"/>
              </w:rPr>
              <w:t>fracción</w:t>
            </w:r>
            <w:r>
              <w:rPr>
                <w:spacing w:val="-5"/>
                <w:sz w:val="20"/>
              </w:rPr>
              <w:t xml:space="preserve"> </w:t>
            </w:r>
            <w:r>
              <w:rPr>
                <w:sz w:val="20"/>
              </w:rPr>
              <w:t>V</w:t>
            </w:r>
            <w:r>
              <w:rPr>
                <w:spacing w:val="-4"/>
                <w:sz w:val="20"/>
              </w:rPr>
              <w:t xml:space="preserve"> </w:t>
            </w:r>
            <w:r>
              <w:rPr>
                <w:sz w:val="20"/>
              </w:rPr>
              <w:t>del</w:t>
            </w:r>
            <w:r>
              <w:rPr>
                <w:spacing w:val="-5"/>
                <w:sz w:val="20"/>
              </w:rPr>
              <w:t xml:space="preserve"> </w:t>
            </w:r>
            <w:r>
              <w:rPr>
                <w:sz w:val="20"/>
              </w:rPr>
              <w:t>artículo</w:t>
            </w:r>
            <w:r>
              <w:rPr>
                <w:spacing w:val="-6"/>
                <w:sz w:val="20"/>
              </w:rPr>
              <w:t xml:space="preserve"> </w:t>
            </w:r>
            <w:r>
              <w:rPr>
                <w:sz w:val="20"/>
              </w:rPr>
              <w:t>41</w:t>
            </w:r>
            <w:r>
              <w:rPr>
                <w:spacing w:val="-6"/>
                <w:sz w:val="20"/>
              </w:rPr>
              <w:t xml:space="preserve"> </w:t>
            </w:r>
            <w:r>
              <w:rPr>
                <w:sz w:val="20"/>
              </w:rPr>
              <w:t>del</w:t>
            </w:r>
            <w:r>
              <w:rPr>
                <w:spacing w:val="-4"/>
                <w:sz w:val="20"/>
              </w:rPr>
              <w:t xml:space="preserve"> </w:t>
            </w:r>
            <w:r>
              <w:rPr>
                <w:sz w:val="20"/>
              </w:rPr>
              <w:t>mismo</w:t>
            </w:r>
            <w:r>
              <w:rPr>
                <w:spacing w:val="-6"/>
                <w:sz w:val="20"/>
              </w:rPr>
              <w:t xml:space="preserve"> </w:t>
            </w:r>
            <w:r>
              <w:rPr>
                <w:sz w:val="20"/>
              </w:rPr>
              <w:t>ordenamiento,</w:t>
            </w:r>
            <w:r>
              <w:rPr>
                <w:spacing w:val="-8"/>
                <w:sz w:val="20"/>
              </w:rPr>
              <w:t xml:space="preserve"> </w:t>
            </w:r>
            <w:r>
              <w:rPr>
                <w:sz w:val="20"/>
              </w:rPr>
              <w:t>el</w:t>
            </w:r>
            <w:r>
              <w:rPr>
                <w:spacing w:val="-4"/>
                <w:sz w:val="20"/>
              </w:rPr>
              <w:t xml:space="preserve"> </w:t>
            </w:r>
            <w:r>
              <w:rPr>
                <w:sz w:val="20"/>
              </w:rPr>
              <w:t>Instituto</w:t>
            </w:r>
            <w:r>
              <w:rPr>
                <w:spacing w:val="-7"/>
                <w:sz w:val="20"/>
              </w:rPr>
              <w:t xml:space="preserve"> </w:t>
            </w:r>
            <w:r>
              <w:rPr>
                <w:sz w:val="20"/>
              </w:rPr>
              <w:t>Estatal</w:t>
            </w:r>
            <w:r>
              <w:rPr>
                <w:spacing w:val="-7"/>
                <w:sz w:val="20"/>
              </w:rPr>
              <w:t xml:space="preserve"> </w:t>
            </w:r>
            <w:r>
              <w:rPr>
                <w:sz w:val="20"/>
              </w:rPr>
              <w:t>Electoral,</w:t>
            </w:r>
            <w:r>
              <w:rPr>
                <w:spacing w:val="-7"/>
                <w:sz w:val="20"/>
              </w:rPr>
              <w:t xml:space="preserve"> </w:t>
            </w:r>
            <w:r>
              <w:rPr>
                <w:sz w:val="20"/>
              </w:rPr>
              <w:t>podrá</w:t>
            </w:r>
            <w:r>
              <w:rPr>
                <w:spacing w:val="-5"/>
                <w:sz w:val="20"/>
              </w:rPr>
              <w:t xml:space="preserve"> </w:t>
            </w:r>
            <w:r>
              <w:rPr>
                <w:sz w:val="20"/>
              </w:rPr>
              <w:t>llevar</w:t>
            </w:r>
            <w:r>
              <w:rPr>
                <w:spacing w:val="-5"/>
                <w:sz w:val="20"/>
              </w:rPr>
              <w:t xml:space="preserve"> </w:t>
            </w:r>
            <w:r>
              <w:rPr>
                <w:sz w:val="20"/>
              </w:rPr>
              <w:t>a cabo la fiscalización de las finanzas de los partidos políticos y de las campañas de los candidatos, conforme a la delegación respectiva que en su caso haga el Instituto Nacional Electoral, en los términos establecidos en la Ley General de Instituciones y Procedimientos</w:t>
            </w:r>
            <w:r>
              <w:rPr>
                <w:spacing w:val="-13"/>
                <w:sz w:val="20"/>
              </w:rPr>
              <w:t xml:space="preserve"> </w:t>
            </w:r>
            <w:r>
              <w:rPr>
                <w:sz w:val="20"/>
              </w:rPr>
              <w:t>Electorales.</w:t>
            </w:r>
          </w:p>
        </w:tc>
      </w:tr>
      <w:tr w:rsidR="00324F1C" w14:paraId="27DC5722" w14:textId="77777777" w:rsidTr="00147ED3">
        <w:trPr>
          <w:trHeight w:val="5021"/>
        </w:trPr>
        <w:tc>
          <w:tcPr>
            <w:tcW w:w="1272" w:type="dxa"/>
          </w:tcPr>
          <w:p w14:paraId="6710B8B7" w14:textId="77777777" w:rsidR="00324F1C" w:rsidRDefault="00324F1C">
            <w:pPr>
              <w:pStyle w:val="TableParagraph"/>
              <w:spacing w:before="113"/>
              <w:ind w:left="467"/>
              <w:rPr>
                <w:b/>
                <w:sz w:val="20"/>
              </w:rPr>
            </w:pPr>
            <w:r>
              <w:rPr>
                <w:b/>
                <w:sz w:val="20"/>
              </w:rPr>
              <w:lastRenderedPageBreak/>
              <w:t>2.</w:t>
            </w:r>
          </w:p>
        </w:tc>
        <w:tc>
          <w:tcPr>
            <w:tcW w:w="2404" w:type="dxa"/>
          </w:tcPr>
          <w:p w14:paraId="078B44E9" w14:textId="77777777" w:rsidR="00324F1C" w:rsidRDefault="00324F1C">
            <w:pPr>
              <w:pStyle w:val="TableParagraph"/>
              <w:spacing w:before="113"/>
              <w:ind w:left="88" w:right="118"/>
              <w:jc w:val="center"/>
              <w:rPr>
                <w:b/>
                <w:sz w:val="20"/>
              </w:rPr>
            </w:pPr>
            <w:r>
              <w:rPr>
                <w:b/>
                <w:sz w:val="20"/>
              </w:rPr>
              <w:t>BAJA CALIFORNIA SUR</w:t>
            </w:r>
          </w:p>
        </w:tc>
        <w:tc>
          <w:tcPr>
            <w:tcW w:w="3828" w:type="dxa"/>
          </w:tcPr>
          <w:p w14:paraId="04DF5EDD" w14:textId="77777777" w:rsidR="00324F1C" w:rsidRDefault="00C82FA2">
            <w:pPr>
              <w:pStyle w:val="TableParagraph"/>
              <w:spacing w:before="117" w:line="235" w:lineRule="auto"/>
              <w:ind w:left="108" w:right="99"/>
              <w:rPr>
                <w:b/>
                <w:sz w:val="20"/>
              </w:rPr>
            </w:pPr>
            <w:hyperlink r:id="rId8" w:history="1">
              <w:r w:rsidR="00324F1C" w:rsidRPr="00324F1C">
                <w:rPr>
                  <w:rStyle w:val="Hipervnculo"/>
                  <w:b/>
                  <w:sz w:val="20"/>
                </w:rPr>
                <w:t>Ley Electoral del Estado de Baja California Sur</w:t>
              </w:r>
            </w:hyperlink>
          </w:p>
        </w:tc>
        <w:tc>
          <w:tcPr>
            <w:tcW w:w="9786" w:type="dxa"/>
          </w:tcPr>
          <w:p w14:paraId="0846EAF4" w14:textId="77777777" w:rsidR="00324F1C" w:rsidRDefault="00324F1C">
            <w:pPr>
              <w:pStyle w:val="TableParagraph"/>
              <w:spacing w:before="5"/>
              <w:ind w:left="109"/>
              <w:rPr>
                <w:sz w:val="20"/>
              </w:rPr>
            </w:pPr>
            <w:r>
              <w:rPr>
                <w:b/>
                <w:sz w:val="20"/>
              </w:rPr>
              <w:t xml:space="preserve">Artículo 27.- </w:t>
            </w:r>
            <w:r>
              <w:rPr>
                <w:sz w:val="20"/>
              </w:rPr>
              <w:t>Para el buen funcionamiento del Instituto, serán atribuciones de las Direcciones las siguientes:</w:t>
            </w:r>
          </w:p>
          <w:p w14:paraId="23B03BA1" w14:textId="77777777" w:rsidR="00324F1C" w:rsidRDefault="00324F1C">
            <w:pPr>
              <w:pStyle w:val="TableParagraph"/>
              <w:spacing w:before="70"/>
              <w:ind w:left="109"/>
              <w:rPr>
                <w:sz w:val="20"/>
              </w:rPr>
            </w:pPr>
            <w:r>
              <w:rPr>
                <w:sz w:val="20"/>
              </w:rPr>
              <w:t>I.- La Dirección Ejecutiva de Prerrogativas y Partidos Políticos tiene las siguientes atribuciones:</w:t>
            </w:r>
          </w:p>
          <w:p w14:paraId="3AEC50AD" w14:textId="77777777" w:rsidR="00324F1C" w:rsidRDefault="00324F1C">
            <w:pPr>
              <w:pStyle w:val="TableParagraph"/>
              <w:spacing w:before="122"/>
              <w:ind w:left="109"/>
              <w:rPr>
                <w:sz w:val="20"/>
              </w:rPr>
            </w:pPr>
            <w:r>
              <w:rPr>
                <w:sz w:val="20"/>
              </w:rPr>
              <w:t>[…]</w:t>
            </w:r>
          </w:p>
          <w:p w14:paraId="16DFD7BD" w14:textId="77777777" w:rsidR="00324F1C" w:rsidRDefault="00324F1C">
            <w:pPr>
              <w:pStyle w:val="TableParagraph"/>
              <w:spacing w:before="123" w:line="225" w:lineRule="exact"/>
              <w:ind w:left="109"/>
              <w:rPr>
                <w:sz w:val="20"/>
              </w:rPr>
            </w:pPr>
            <w:r>
              <w:rPr>
                <w:sz w:val="20"/>
              </w:rPr>
              <w:t>ñ)</w:t>
            </w:r>
            <w:r>
              <w:rPr>
                <w:spacing w:val="-11"/>
                <w:sz w:val="20"/>
              </w:rPr>
              <w:t xml:space="preserve"> </w:t>
            </w:r>
            <w:r>
              <w:rPr>
                <w:sz w:val="20"/>
              </w:rPr>
              <w:t>Llevar</w:t>
            </w:r>
            <w:r>
              <w:rPr>
                <w:spacing w:val="-12"/>
                <w:sz w:val="20"/>
              </w:rPr>
              <w:t xml:space="preserve"> </w:t>
            </w:r>
            <w:r>
              <w:rPr>
                <w:sz w:val="20"/>
              </w:rPr>
              <w:t>a</w:t>
            </w:r>
            <w:r>
              <w:rPr>
                <w:spacing w:val="-9"/>
                <w:sz w:val="20"/>
              </w:rPr>
              <w:t xml:space="preserve"> </w:t>
            </w:r>
            <w:r>
              <w:rPr>
                <w:sz w:val="20"/>
              </w:rPr>
              <w:t>cabo</w:t>
            </w:r>
            <w:r>
              <w:rPr>
                <w:spacing w:val="-11"/>
                <w:sz w:val="20"/>
              </w:rPr>
              <w:t xml:space="preserve"> </w:t>
            </w:r>
            <w:r>
              <w:rPr>
                <w:sz w:val="20"/>
              </w:rPr>
              <w:t>la</w:t>
            </w:r>
            <w:r>
              <w:rPr>
                <w:spacing w:val="-11"/>
                <w:sz w:val="20"/>
              </w:rPr>
              <w:t xml:space="preserve"> </w:t>
            </w:r>
            <w:r>
              <w:rPr>
                <w:sz w:val="20"/>
              </w:rPr>
              <w:t>fiscalización</w:t>
            </w:r>
            <w:r>
              <w:rPr>
                <w:spacing w:val="-12"/>
                <w:sz w:val="20"/>
              </w:rPr>
              <w:t xml:space="preserve"> </w:t>
            </w:r>
            <w:r>
              <w:rPr>
                <w:sz w:val="20"/>
              </w:rPr>
              <w:t>de</w:t>
            </w:r>
            <w:r>
              <w:rPr>
                <w:spacing w:val="-10"/>
                <w:sz w:val="20"/>
              </w:rPr>
              <w:t xml:space="preserve"> </w:t>
            </w:r>
            <w:r>
              <w:rPr>
                <w:sz w:val="20"/>
              </w:rPr>
              <w:t>recursos</w:t>
            </w:r>
            <w:r>
              <w:rPr>
                <w:spacing w:val="-12"/>
                <w:sz w:val="20"/>
              </w:rPr>
              <w:t xml:space="preserve"> </w:t>
            </w:r>
            <w:r>
              <w:rPr>
                <w:sz w:val="20"/>
              </w:rPr>
              <w:t>de</w:t>
            </w:r>
            <w:r>
              <w:rPr>
                <w:spacing w:val="-12"/>
                <w:sz w:val="20"/>
              </w:rPr>
              <w:t xml:space="preserve"> </w:t>
            </w:r>
            <w:r>
              <w:rPr>
                <w:sz w:val="20"/>
              </w:rPr>
              <w:t>los</w:t>
            </w:r>
            <w:r>
              <w:rPr>
                <w:spacing w:val="-10"/>
                <w:sz w:val="20"/>
              </w:rPr>
              <w:t xml:space="preserve"> </w:t>
            </w:r>
            <w:r>
              <w:rPr>
                <w:sz w:val="20"/>
              </w:rPr>
              <w:t>partidos</w:t>
            </w:r>
            <w:r>
              <w:rPr>
                <w:spacing w:val="-13"/>
                <w:sz w:val="20"/>
              </w:rPr>
              <w:t xml:space="preserve"> </w:t>
            </w:r>
            <w:r>
              <w:rPr>
                <w:sz w:val="20"/>
              </w:rPr>
              <w:t>políticos</w:t>
            </w:r>
            <w:r>
              <w:rPr>
                <w:spacing w:val="-12"/>
                <w:sz w:val="20"/>
              </w:rPr>
              <w:t xml:space="preserve"> </w:t>
            </w:r>
            <w:r>
              <w:rPr>
                <w:sz w:val="20"/>
              </w:rPr>
              <w:t>locales</w:t>
            </w:r>
            <w:r>
              <w:rPr>
                <w:spacing w:val="-10"/>
                <w:sz w:val="20"/>
              </w:rPr>
              <w:t xml:space="preserve"> </w:t>
            </w:r>
            <w:r>
              <w:rPr>
                <w:sz w:val="20"/>
              </w:rPr>
              <w:t>y</w:t>
            </w:r>
            <w:r>
              <w:rPr>
                <w:spacing w:val="-13"/>
                <w:sz w:val="20"/>
              </w:rPr>
              <w:t xml:space="preserve"> </w:t>
            </w:r>
            <w:r>
              <w:rPr>
                <w:sz w:val="20"/>
              </w:rPr>
              <w:t>nacionales</w:t>
            </w:r>
            <w:r>
              <w:rPr>
                <w:spacing w:val="-9"/>
                <w:sz w:val="20"/>
              </w:rPr>
              <w:t xml:space="preserve"> </w:t>
            </w:r>
            <w:r>
              <w:rPr>
                <w:sz w:val="20"/>
              </w:rPr>
              <w:t>en</w:t>
            </w:r>
            <w:r>
              <w:rPr>
                <w:spacing w:val="-9"/>
                <w:sz w:val="20"/>
              </w:rPr>
              <w:t xml:space="preserve"> </w:t>
            </w:r>
            <w:r>
              <w:rPr>
                <w:sz w:val="20"/>
              </w:rPr>
              <w:t>su</w:t>
            </w:r>
            <w:r>
              <w:rPr>
                <w:spacing w:val="-12"/>
                <w:sz w:val="20"/>
              </w:rPr>
              <w:t xml:space="preserve"> </w:t>
            </w:r>
            <w:r>
              <w:rPr>
                <w:sz w:val="20"/>
              </w:rPr>
              <w:t>caso,</w:t>
            </w:r>
          </w:p>
          <w:p w14:paraId="24642DCD" w14:textId="77777777" w:rsidR="00324F1C" w:rsidRDefault="00324F1C">
            <w:pPr>
              <w:pStyle w:val="TableParagraph"/>
              <w:spacing w:line="245" w:lineRule="exact"/>
              <w:ind w:left="109"/>
              <w:rPr>
                <w:sz w:val="20"/>
              </w:rPr>
            </w:pPr>
            <w:r>
              <w:rPr>
                <w:sz w:val="20"/>
              </w:rPr>
              <w:t>cuando dicha función sea delegada por el Instituto Nacional;</w:t>
            </w:r>
          </w:p>
          <w:p w14:paraId="323DD788" w14:textId="77777777" w:rsidR="00324F1C" w:rsidRDefault="00324F1C">
            <w:pPr>
              <w:pStyle w:val="TableParagraph"/>
              <w:spacing w:before="122" w:line="226" w:lineRule="exact"/>
              <w:ind w:left="109"/>
              <w:rPr>
                <w:sz w:val="20"/>
              </w:rPr>
            </w:pPr>
            <w:r>
              <w:rPr>
                <w:sz w:val="20"/>
              </w:rPr>
              <w:t>o) Llevar a cabo la fiscalización de recursos de las agrupaciones políticas locales, observadores</w:t>
            </w:r>
          </w:p>
          <w:p w14:paraId="09824FE1" w14:textId="77777777" w:rsidR="00324F1C" w:rsidRDefault="00324F1C">
            <w:pPr>
              <w:pStyle w:val="TableParagraph"/>
              <w:spacing w:line="226" w:lineRule="exact"/>
              <w:ind w:left="109"/>
              <w:rPr>
                <w:sz w:val="20"/>
              </w:rPr>
            </w:pPr>
            <w:r>
              <w:rPr>
                <w:sz w:val="20"/>
              </w:rPr>
              <w:t>electorales y candidatos independientes, y</w:t>
            </w:r>
          </w:p>
          <w:p w14:paraId="673F2B8D" w14:textId="77777777" w:rsidR="00324F1C" w:rsidRDefault="00324F1C">
            <w:pPr>
              <w:pStyle w:val="TableParagraph"/>
              <w:ind w:left="109"/>
              <w:rPr>
                <w:sz w:val="20"/>
              </w:rPr>
            </w:pPr>
            <w:r>
              <w:rPr>
                <w:sz w:val="20"/>
              </w:rPr>
              <w:t>[…]</w:t>
            </w:r>
          </w:p>
          <w:p w14:paraId="7D769EA1" w14:textId="77777777" w:rsidR="00324F1C" w:rsidRDefault="00324F1C">
            <w:pPr>
              <w:pStyle w:val="TableParagraph"/>
              <w:spacing w:before="122" w:line="225" w:lineRule="exact"/>
              <w:ind w:left="109"/>
              <w:rPr>
                <w:sz w:val="20"/>
              </w:rPr>
            </w:pPr>
            <w:r>
              <w:rPr>
                <w:b/>
                <w:sz w:val="20"/>
              </w:rPr>
              <w:t xml:space="preserve">Artículo 208.- </w:t>
            </w:r>
            <w:r>
              <w:rPr>
                <w:sz w:val="20"/>
              </w:rPr>
              <w:t>Los ciudadanos que aspiren a participar como Candidatos Independientes a un</w:t>
            </w:r>
          </w:p>
          <w:p w14:paraId="4AB08198" w14:textId="77777777" w:rsidR="00324F1C" w:rsidRDefault="00324F1C">
            <w:pPr>
              <w:pStyle w:val="TableParagraph"/>
              <w:spacing w:line="225" w:lineRule="exact"/>
              <w:ind w:left="109"/>
              <w:rPr>
                <w:sz w:val="20"/>
              </w:rPr>
            </w:pPr>
            <w:r>
              <w:rPr>
                <w:sz w:val="20"/>
              </w:rPr>
              <w:t>cargo de elección popular deberán:</w:t>
            </w:r>
          </w:p>
          <w:p w14:paraId="70688ED7" w14:textId="77777777" w:rsidR="00324F1C" w:rsidRDefault="00324F1C">
            <w:pPr>
              <w:pStyle w:val="TableParagraph"/>
              <w:spacing w:line="245" w:lineRule="exact"/>
              <w:ind w:left="109"/>
              <w:rPr>
                <w:sz w:val="20"/>
              </w:rPr>
            </w:pPr>
            <w:r>
              <w:rPr>
                <w:sz w:val="20"/>
              </w:rPr>
              <w:t>[…]</w:t>
            </w:r>
          </w:p>
          <w:p w14:paraId="763CBA26" w14:textId="77777777" w:rsidR="00324F1C" w:rsidRDefault="00324F1C">
            <w:pPr>
              <w:pStyle w:val="TableParagraph"/>
              <w:spacing w:before="123" w:line="225" w:lineRule="exact"/>
              <w:ind w:left="109"/>
              <w:rPr>
                <w:sz w:val="20"/>
              </w:rPr>
            </w:pPr>
            <w:r>
              <w:rPr>
                <w:sz w:val="20"/>
              </w:rPr>
              <w:t>V. Escrito en el que manifieste su conformidad para que todos los ingresos y egresos de la cuenta</w:t>
            </w:r>
          </w:p>
          <w:p w14:paraId="12BE4150" w14:textId="77777777" w:rsidR="00324F1C" w:rsidRDefault="00324F1C" w:rsidP="00147ED3">
            <w:pPr>
              <w:pStyle w:val="TableParagraph"/>
              <w:spacing w:line="221" w:lineRule="exact"/>
              <w:ind w:left="109"/>
              <w:rPr>
                <w:sz w:val="20"/>
              </w:rPr>
            </w:pPr>
            <w:r>
              <w:rPr>
                <w:sz w:val="20"/>
              </w:rPr>
              <w:t xml:space="preserve">bancaria </w:t>
            </w:r>
            <w:proofErr w:type="spellStart"/>
            <w:r>
              <w:rPr>
                <w:sz w:val="20"/>
              </w:rPr>
              <w:t>aperturada</w:t>
            </w:r>
            <w:proofErr w:type="spellEnd"/>
            <w:r>
              <w:rPr>
                <w:sz w:val="20"/>
              </w:rPr>
              <w:t xml:space="preserve"> sean fiscalizados, en cualquier momento, por el Instituto.</w:t>
            </w:r>
          </w:p>
        </w:tc>
      </w:tr>
    </w:tbl>
    <w:p w14:paraId="4B076840" w14:textId="77777777" w:rsidR="005A31A5" w:rsidRDefault="005A31A5">
      <w:pPr>
        <w:spacing w:line="221" w:lineRule="exact"/>
        <w:rPr>
          <w:sz w:val="20"/>
        </w:rPr>
        <w:sectPr w:rsidR="005A31A5">
          <w:headerReference w:type="even" r:id="rId9"/>
          <w:headerReference w:type="default" r:id="rId10"/>
          <w:footerReference w:type="even" r:id="rId11"/>
          <w:footerReference w:type="default" r:id="rId12"/>
          <w:headerReference w:type="first" r:id="rId13"/>
          <w:footerReference w:type="first" r:id="rId14"/>
          <w:type w:val="continuous"/>
          <w:pgSz w:w="20160" w:h="12240" w:orient="landscape"/>
          <w:pgMar w:top="1120" w:right="1320" w:bottom="280" w:left="1320" w:header="885" w:footer="720" w:gutter="0"/>
          <w:cols w:space="720"/>
        </w:sectPr>
      </w:pPr>
    </w:p>
    <w:p w14:paraId="7637423A" w14:textId="77777777" w:rsidR="005A31A5" w:rsidRDefault="00AA4FCC">
      <w:pPr>
        <w:pStyle w:val="Textoindependiente"/>
        <w:rPr>
          <w:rFonts w:ascii="Times New Roman"/>
          <w:b w:val="0"/>
          <w:i w:val="0"/>
          <w:sz w:val="20"/>
        </w:rPr>
      </w:pPr>
      <w:r>
        <w:rPr>
          <w:noProof/>
        </w:rPr>
        <w:lastRenderedPageBreak/>
        <w:drawing>
          <wp:anchor distT="0" distB="0" distL="0" distR="0" simplePos="0" relativeHeight="251659264" behindDoc="0" locked="0" layoutInCell="1" allowOverlap="1" wp14:anchorId="34B6D3BD" wp14:editId="64E5D658">
            <wp:simplePos x="0" y="0"/>
            <wp:positionH relativeFrom="page">
              <wp:posOffset>1052604</wp:posOffset>
            </wp:positionH>
            <wp:positionV relativeFrom="page">
              <wp:posOffset>567385</wp:posOffset>
            </wp:positionV>
            <wp:extent cx="1040838" cy="1001344"/>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6" cstate="print"/>
                    <a:stretch>
                      <a:fillRect/>
                    </a:stretch>
                  </pic:blipFill>
                  <pic:spPr>
                    <a:xfrm>
                      <a:off x="0" y="0"/>
                      <a:ext cx="1040838" cy="1001344"/>
                    </a:xfrm>
                    <a:prstGeom prst="rect">
                      <a:avLst/>
                    </a:prstGeom>
                  </pic:spPr>
                </pic:pic>
              </a:graphicData>
            </a:graphic>
          </wp:anchor>
        </w:drawing>
      </w:r>
    </w:p>
    <w:p w14:paraId="40F4A940" w14:textId="77777777" w:rsidR="005A31A5" w:rsidRDefault="005A31A5">
      <w:pPr>
        <w:pStyle w:val="Textoindependiente"/>
        <w:rPr>
          <w:rFonts w:ascii="Times New Roman"/>
          <w:b w:val="0"/>
          <w:i w:val="0"/>
          <w:sz w:val="20"/>
        </w:rPr>
      </w:pPr>
    </w:p>
    <w:p w14:paraId="050DD199" w14:textId="77777777" w:rsidR="005A31A5" w:rsidRDefault="005A31A5">
      <w:pPr>
        <w:pStyle w:val="Textoindependiente"/>
        <w:rPr>
          <w:rFonts w:ascii="Times New Roman"/>
          <w:b w:val="0"/>
          <w:i w:val="0"/>
          <w:sz w:val="20"/>
        </w:rPr>
      </w:pPr>
    </w:p>
    <w:p w14:paraId="7E2E89C9" w14:textId="77777777" w:rsidR="005A31A5" w:rsidRDefault="005A31A5">
      <w:pPr>
        <w:pStyle w:val="Textoindependiente"/>
        <w:rPr>
          <w:rFonts w:ascii="Times New Roman"/>
          <w:b w:val="0"/>
          <w:i w:val="0"/>
          <w:sz w:val="20"/>
        </w:rPr>
      </w:pPr>
    </w:p>
    <w:p w14:paraId="5A68CE7E" w14:textId="77777777" w:rsidR="005A31A5" w:rsidRDefault="005A31A5">
      <w:pPr>
        <w:pStyle w:val="Textoindependiente"/>
        <w:rPr>
          <w:rFonts w:ascii="Times New Roman"/>
          <w:b w:val="0"/>
          <w:i w:val="0"/>
          <w:sz w:val="20"/>
        </w:rPr>
      </w:pPr>
    </w:p>
    <w:p w14:paraId="01C695F6" w14:textId="77777777" w:rsidR="005A31A5" w:rsidRDefault="005A31A5">
      <w:pPr>
        <w:pStyle w:val="Textoindependiente"/>
        <w:rPr>
          <w:rFonts w:ascii="Times New Roman"/>
          <w:b w:val="0"/>
          <w:i w:val="0"/>
          <w:sz w:val="20"/>
        </w:rPr>
      </w:pPr>
    </w:p>
    <w:p w14:paraId="3A73BE35" w14:textId="77777777" w:rsidR="005A31A5" w:rsidRDefault="005A31A5">
      <w:pPr>
        <w:pStyle w:val="Textoindependiente"/>
        <w:spacing w:before="10"/>
        <w:rPr>
          <w:rFonts w:ascii="Times New Roman"/>
          <w:b w:val="0"/>
          <w:i w:val="0"/>
          <w:sz w:val="27"/>
        </w:rPr>
      </w:pPr>
    </w:p>
    <w:tbl>
      <w:tblPr>
        <w:tblStyle w:val="TableNormal"/>
        <w:tblW w:w="0" w:type="auto"/>
        <w:tblInd w:w="12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1272"/>
        <w:gridCol w:w="2404"/>
        <w:gridCol w:w="3828"/>
        <w:gridCol w:w="9786"/>
      </w:tblGrid>
      <w:tr w:rsidR="005A31A5" w14:paraId="484F87C9" w14:textId="77777777">
        <w:trPr>
          <w:trHeight w:val="479"/>
        </w:trPr>
        <w:tc>
          <w:tcPr>
            <w:tcW w:w="1272" w:type="dxa"/>
            <w:shd w:val="clear" w:color="auto" w:fill="76923B"/>
          </w:tcPr>
          <w:p w14:paraId="0554C7CF" w14:textId="77777777" w:rsidR="005A31A5" w:rsidRDefault="005A31A5">
            <w:pPr>
              <w:pStyle w:val="TableParagraph"/>
              <w:rPr>
                <w:rFonts w:ascii="Times New Roman"/>
                <w:sz w:val="18"/>
              </w:rPr>
            </w:pPr>
          </w:p>
        </w:tc>
        <w:tc>
          <w:tcPr>
            <w:tcW w:w="2404" w:type="dxa"/>
            <w:shd w:val="clear" w:color="auto" w:fill="76923B"/>
          </w:tcPr>
          <w:p w14:paraId="2081FE6F" w14:textId="77777777" w:rsidR="005A31A5" w:rsidRDefault="00AA4FCC">
            <w:pPr>
              <w:pStyle w:val="TableParagraph"/>
              <w:spacing w:before="110"/>
              <w:ind w:left="88" w:right="80"/>
              <w:jc w:val="center"/>
              <w:rPr>
                <w:b/>
                <w:sz w:val="20"/>
              </w:rPr>
            </w:pPr>
            <w:r>
              <w:rPr>
                <w:b/>
                <w:color w:val="FFFFFF"/>
                <w:sz w:val="20"/>
              </w:rPr>
              <w:t>ESTADO</w:t>
            </w:r>
          </w:p>
        </w:tc>
        <w:tc>
          <w:tcPr>
            <w:tcW w:w="3828" w:type="dxa"/>
            <w:shd w:val="clear" w:color="auto" w:fill="76923B"/>
          </w:tcPr>
          <w:p w14:paraId="360A9E93" w14:textId="77777777" w:rsidR="005A31A5" w:rsidRDefault="00AA4FCC">
            <w:pPr>
              <w:pStyle w:val="TableParagraph"/>
              <w:spacing w:before="110"/>
              <w:ind w:left="1735" w:right="1726"/>
              <w:jc w:val="center"/>
              <w:rPr>
                <w:b/>
                <w:sz w:val="20"/>
              </w:rPr>
            </w:pPr>
            <w:r>
              <w:rPr>
                <w:b/>
                <w:color w:val="FFFFFF"/>
                <w:sz w:val="20"/>
              </w:rPr>
              <w:t>LEY</w:t>
            </w:r>
          </w:p>
        </w:tc>
        <w:tc>
          <w:tcPr>
            <w:tcW w:w="9786" w:type="dxa"/>
            <w:shd w:val="clear" w:color="auto" w:fill="76923B"/>
          </w:tcPr>
          <w:p w14:paraId="5072345C" w14:textId="77777777" w:rsidR="005A31A5" w:rsidRDefault="00AA4FCC">
            <w:pPr>
              <w:pStyle w:val="TableParagraph"/>
              <w:spacing w:before="110"/>
              <w:ind w:left="3512" w:right="3504"/>
              <w:jc w:val="center"/>
              <w:rPr>
                <w:b/>
                <w:sz w:val="20"/>
              </w:rPr>
            </w:pPr>
            <w:r>
              <w:rPr>
                <w:b/>
                <w:color w:val="FFFFFF"/>
                <w:sz w:val="20"/>
              </w:rPr>
              <w:t>ARTÍCULO (TRANSCRIPCIÓN)</w:t>
            </w:r>
          </w:p>
        </w:tc>
      </w:tr>
      <w:tr w:rsidR="00324F1C" w14:paraId="68EC2BBC" w14:textId="77777777" w:rsidTr="00E93F78">
        <w:trPr>
          <w:trHeight w:val="7838"/>
        </w:trPr>
        <w:tc>
          <w:tcPr>
            <w:tcW w:w="1272" w:type="dxa"/>
          </w:tcPr>
          <w:p w14:paraId="2E19061C" w14:textId="77777777" w:rsidR="00324F1C" w:rsidRDefault="00324F1C">
            <w:pPr>
              <w:pStyle w:val="TableParagraph"/>
              <w:rPr>
                <w:rFonts w:ascii="Times New Roman"/>
                <w:sz w:val="18"/>
              </w:rPr>
            </w:pPr>
          </w:p>
        </w:tc>
        <w:tc>
          <w:tcPr>
            <w:tcW w:w="2404" w:type="dxa"/>
          </w:tcPr>
          <w:p w14:paraId="110C1CB8" w14:textId="77777777" w:rsidR="00324F1C" w:rsidRDefault="00324F1C">
            <w:pPr>
              <w:pStyle w:val="TableParagraph"/>
              <w:rPr>
                <w:rFonts w:ascii="Times New Roman"/>
                <w:sz w:val="18"/>
              </w:rPr>
            </w:pPr>
          </w:p>
        </w:tc>
        <w:tc>
          <w:tcPr>
            <w:tcW w:w="3828" w:type="dxa"/>
          </w:tcPr>
          <w:p w14:paraId="18B66955" w14:textId="77777777" w:rsidR="00324F1C" w:rsidRDefault="00324F1C">
            <w:pPr>
              <w:pStyle w:val="TableParagraph"/>
              <w:rPr>
                <w:rFonts w:ascii="Times New Roman"/>
                <w:sz w:val="18"/>
              </w:rPr>
            </w:pPr>
          </w:p>
        </w:tc>
        <w:tc>
          <w:tcPr>
            <w:tcW w:w="9786" w:type="dxa"/>
          </w:tcPr>
          <w:p w14:paraId="28F394FB" w14:textId="77777777" w:rsidR="00324F1C" w:rsidRDefault="00324F1C">
            <w:pPr>
              <w:pStyle w:val="TableParagraph"/>
              <w:spacing w:before="2"/>
              <w:ind w:left="109"/>
              <w:rPr>
                <w:sz w:val="20"/>
              </w:rPr>
            </w:pPr>
            <w:r>
              <w:rPr>
                <w:sz w:val="20"/>
              </w:rPr>
              <w:t>[…]</w:t>
            </w:r>
          </w:p>
          <w:p w14:paraId="23A73661" w14:textId="77777777" w:rsidR="00324F1C" w:rsidRDefault="00324F1C">
            <w:pPr>
              <w:pStyle w:val="TableParagraph"/>
              <w:spacing w:before="117" w:line="222" w:lineRule="exact"/>
              <w:ind w:left="109"/>
              <w:rPr>
                <w:sz w:val="20"/>
              </w:rPr>
            </w:pPr>
            <w:r>
              <w:rPr>
                <w:b/>
                <w:sz w:val="20"/>
              </w:rPr>
              <w:t xml:space="preserve">Artículo 218.- </w:t>
            </w:r>
            <w:r>
              <w:rPr>
                <w:sz w:val="20"/>
              </w:rPr>
              <w:t>Son obligaciones de los Candidatos Independientes registrados;</w:t>
            </w:r>
          </w:p>
          <w:p w14:paraId="60DDEEDE" w14:textId="77777777" w:rsidR="00324F1C" w:rsidRDefault="00324F1C">
            <w:pPr>
              <w:pStyle w:val="TableParagraph"/>
              <w:spacing w:line="241" w:lineRule="exact"/>
              <w:ind w:left="109"/>
              <w:rPr>
                <w:sz w:val="20"/>
              </w:rPr>
            </w:pPr>
            <w:r>
              <w:rPr>
                <w:sz w:val="20"/>
              </w:rPr>
              <w:t>[…]</w:t>
            </w:r>
          </w:p>
          <w:p w14:paraId="3D21AD5D" w14:textId="77777777" w:rsidR="00324F1C" w:rsidRDefault="00324F1C">
            <w:pPr>
              <w:pStyle w:val="TableParagraph"/>
              <w:spacing w:before="117" w:line="220" w:lineRule="exact"/>
              <w:ind w:left="109"/>
              <w:rPr>
                <w:sz w:val="20"/>
              </w:rPr>
            </w:pPr>
            <w:r>
              <w:rPr>
                <w:sz w:val="20"/>
              </w:rPr>
              <w:t>XIV. Presentar, en los mismos términos en que lo hagan los partidos políticos, los informes de</w:t>
            </w:r>
          </w:p>
          <w:p w14:paraId="5004A625" w14:textId="77777777" w:rsidR="00324F1C" w:rsidRDefault="00324F1C">
            <w:pPr>
              <w:pStyle w:val="TableParagraph"/>
              <w:spacing w:line="240" w:lineRule="exact"/>
              <w:ind w:left="109"/>
              <w:rPr>
                <w:sz w:val="20"/>
              </w:rPr>
            </w:pPr>
            <w:r>
              <w:rPr>
                <w:sz w:val="20"/>
              </w:rPr>
              <w:t>campaña sobre el origen y monto de todos sus ingresos, así como su aplicación y empleo;</w:t>
            </w:r>
          </w:p>
          <w:p w14:paraId="5D66BFB8" w14:textId="77777777" w:rsidR="00324F1C" w:rsidRDefault="00324F1C">
            <w:pPr>
              <w:pStyle w:val="TableParagraph"/>
              <w:spacing w:before="118" w:line="220" w:lineRule="exact"/>
              <w:ind w:left="109"/>
              <w:rPr>
                <w:sz w:val="20"/>
              </w:rPr>
            </w:pPr>
            <w:r>
              <w:rPr>
                <w:sz w:val="20"/>
              </w:rPr>
              <w:t>XV. Ser responsable solidario, junto con el encargado de la administración de sus recursos</w:t>
            </w:r>
          </w:p>
          <w:p w14:paraId="49D5CD5C" w14:textId="77777777" w:rsidR="00324F1C" w:rsidRDefault="00324F1C">
            <w:pPr>
              <w:pStyle w:val="TableParagraph"/>
              <w:spacing w:line="215" w:lineRule="exact"/>
              <w:ind w:left="109"/>
              <w:rPr>
                <w:sz w:val="20"/>
              </w:rPr>
            </w:pPr>
            <w:r>
              <w:rPr>
                <w:sz w:val="20"/>
              </w:rPr>
              <w:t>financieros, dentro de los procedimientos de fiscalización de los recursos correspondientes, y</w:t>
            </w:r>
          </w:p>
          <w:p w14:paraId="2A342242" w14:textId="77777777" w:rsidR="00324F1C" w:rsidRDefault="00324F1C">
            <w:pPr>
              <w:pStyle w:val="TableParagraph"/>
              <w:spacing w:line="240" w:lineRule="exact"/>
              <w:ind w:left="109"/>
              <w:rPr>
                <w:sz w:val="20"/>
              </w:rPr>
            </w:pPr>
            <w:r>
              <w:rPr>
                <w:sz w:val="20"/>
              </w:rPr>
              <w:t>[…]</w:t>
            </w:r>
          </w:p>
          <w:p w14:paraId="2D12FDAB" w14:textId="77777777" w:rsidR="00324F1C" w:rsidRDefault="00324F1C">
            <w:pPr>
              <w:pStyle w:val="TableParagraph"/>
              <w:spacing w:before="117" w:line="221" w:lineRule="exact"/>
              <w:ind w:left="109"/>
              <w:rPr>
                <w:sz w:val="20"/>
              </w:rPr>
            </w:pPr>
            <w:r>
              <w:rPr>
                <w:b/>
                <w:sz w:val="20"/>
              </w:rPr>
              <w:t xml:space="preserve">Artículo 228.- </w:t>
            </w:r>
            <w:r>
              <w:rPr>
                <w:sz w:val="20"/>
              </w:rPr>
              <w:t>[…]</w:t>
            </w:r>
          </w:p>
          <w:p w14:paraId="4C9A4BBB" w14:textId="77777777" w:rsidR="00324F1C" w:rsidRDefault="00324F1C">
            <w:pPr>
              <w:pStyle w:val="TableParagraph"/>
              <w:spacing w:line="240" w:lineRule="exact"/>
              <w:ind w:left="109"/>
              <w:rPr>
                <w:sz w:val="20"/>
              </w:rPr>
            </w:pPr>
            <w:r>
              <w:rPr>
                <w:sz w:val="20"/>
              </w:rPr>
              <w:t>[…]</w:t>
            </w:r>
          </w:p>
          <w:p w14:paraId="56583121" w14:textId="77777777" w:rsidR="00324F1C" w:rsidRDefault="00324F1C">
            <w:pPr>
              <w:pStyle w:val="TableParagraph"/>
              <w:spacing w:before="118" w:line="220" w:lineRule="exact"/>
              <w:ind w:left="109"/>
              <w:rPr>
                <w:sz w:val="20"/>
              </w:rPr>
            </w:pPr>
            <w:r>
              <w:rPr>
                <w:sz w:val="20"/>
              </w:rPr>
              <w:t>Los comprobantes que amparen los egresos que realicen los Candidatos Independientes, deberán</w:t>
            </w:r>
          </w:p>
          <w:p w14:paraId="1061A3EB" w14:textId="77777777" w:rsidR="00324F1C" w:rsidRDefault="00324F1C">
            <w:pPr>
              <w:pStyle w:val="TableParagraph"/>
              <w:spacing w:line="215" w:lineRule="exact"/>
              <w:ind w:left="109"/>
              <w:rPr>
                <w:sz w:val="20"/>
              </w:rPr>
            </w:pPr>
            <w:r>
              <w:rPr>
                <w:sz w:val="20"/>
              </w:rPr>
              <w:t>ser expedidos a su nombre y constar en original como soporte a los informes financieros de las</w:t>
            </w:r>
          </w:p>
          <w:p w14:paraId="0CDA3B8D" w14:textId="77777777" w:rsidR="00324F1C" w:rsidRDefault="00324F1C">
            <w:pPr>
              <w:pStyle w:val="TableParagraph"/>
              <w:spacing w:line="215" w:lineRule="exact"/>
              <w:ind w:left="109"/>
              <w:rPr>
                <w:sz w:val="20"/>
              </w:rPr>
            </w:pPr>
            <w:r>
              <w:rPr>
                <w:sz w:val="20"/>
              </w:rPr>
              <w:t>campañas electorales, los cuales estarán a disposición del área de fiscalización del Instituto</w:t>
            </w:r>
          </w:p>
          <w:p w14:paraId="2B2B4726" w14:textId="77777777" w:rsidR="00324F1C" w:rsidRDefault="00324F1C">
            <w:pPr>
              <w:pStyle w:val="TableParagraph"/>
              <w:spacing w:line="215" w:lineRule="exact"/>
              <w:ind w:left="109"/>
              <w:rPr>
                <w:sz w:val="20"/>
              </w:rPr>
            </w:pPr>
            <w:r>
              <w:rPr>
                <w:sz w:val="20"/>
              </w:rPr>
              <w:t>Nacional o Estatal en su caso, para su revisión de conformidad con lo dispuesto en esta Ley. Dicha</w:t>
            </w:r>
          </w:p>
          <w:p w14:paraId="365535C0" w14:textId="77777777" w:rsidR="00324F1C" w:rsidRDefault="00324F1C">
            <w:pPr>
              <w:pStyle w:val="TableParagraph"/>
              <w:spacing w:line="216" w:lineRule="exact"/>
              <w:ind w:left="109"/>
              <w:rPr>
                <w:sz w:val="20"/>
              </w:rPr>
            </w:pPr>
            <w:r>
              <w:rPr>
                <w:sz w:val="20"/>
              </w:rPr>
              <w:t>documentación deberá cumplir con los requisitos que exigen las disposiciones fiscales aplicables,</w:t>
            </w:r>
          </w:p>
          <w:p w14:paraId="7DFBE262" w14:textId="77777777" w:rsidR="00324F1C" w:rsidRDefault="00324F1C">
            <w:pPr>
              <w:pStyle w:val="TableParagraph"/>
              <w:spacing w:line="216" w:lineRule="exact"/>
              <w:ind w:left="109"/>
              <w:rPr>
                <w:sz w:val="20"/>
              </w:rPr>
            </w:pPr>
            <w:r>
              <w:rPr>
                <w:sz w:val="20"/>
              </w:rPr>
              <w:t>así como las establecidas por el Instituto.</w:t>
            </w:r>
          </w:p>
          <w:p w14:paraId="4328CF6C" w14:textId="77777777" w:rsidR="00324F1C" w:rsidRDefault="00324F1C">
            <w:pPr>
              <w:pStyle w:val="TableParagraph"/>
              <w:spacing w:line="240" w:lineRule="exact"/>
              <w:ind w:left="109"/>
              <w:rPr>
                <w:sz w:val="20"/>
              </w:rPr>
            </w:pPr>
            <w:r>
              <w:rPr>
                <w:sz w:val="20"/>
              </w:rPr>
              <w:t>[…]</w:t>
            </w:r>
          </w:p>
          <w:p w14:paraId="0FAA4BF6" w14:textId="77777777" w:rsidR="00324F1C" w:rsidRDefault="00324F1C">
            <w:pPr>
              <w:pStyle w:val="TableParagraph"/>
              <w:spacing w:before="117" w:line="221" w:lineRule="exact"/>
              <w:ind w:left="109"/>
              <w:rPr>
                <w:sz w:val="20"/>
              </w:rPr>
            </w:pPr>
            <w:r>
              <w:rPr>
                <w:b/>
                <w:sz w:val="20"/>
              </w:rPr>
              <w:t>Artículo</w:t>
            </w:r>
            <w:r>
              <w:rPr>
                <w:b/>
                <w:spacing w:val="-8"/>
                <w:sz w:val="20"/>
              </w:rPr>
              <w:t xml:space="preserve"> </w:t>
            </w:r>
            <w:r>
              <w:rPr>
                <w:b/>
                <w:sz w:val="20"/>
              </w:rPr>
              <w:t>240.-</w:t>
            </w:r>
            <w:r>
              <w:rPr>
                <w:b/>
                <w:spacing w:val="-8"/>
                <w:sz w:val="20"/>
              </w:rPr>
              <w:t xml:space="preserve"> </w:t>
            </w:r>
            <w:r>
              <w:rPr>
                <w:sz w:val="20"/>
              </w:rPr>
              <w:t>Con</w:t>
            </w:r>
            <w:r>
              <w:rPr>
                <w:spacing w:val="-9"/>
                <w:sz w:val="20"/>
              </w:rPr>
              <w:t xml:space="preserve"> </w:t>
            </w:r>
            <w:r>
              <w:rPr>
                <w:sz w:val="20"/>
              </w:rPr>
              <w:t>fundamento</w:t>
            </w:r>
            <w:r>
              <w:rPr>
                <w:spacing w:val="-11"/>
                <w:sz w:val="20"/>
              </w:rPr>
              <w:t xml:space="preserve"> </w:t>
            </w:r>
            <w:r>
              <w:rPr>
                <w:sz w:val="20"/>
              </w:rPr>
              <w:t>en</w:t>
            </w:r>
            <w:r>
              <w:rPr>
                <w:spacing w:val="-9"/>
                <w:sz w:val="20"/>
              </w:rPr>
              <w:t xml:space="preserve"> </w:t>
            </w:r>
            <w:r>
              <w:rPr>
                <w:sz w:val="20"/>
              </w:rPr>
              <w:t>lo</w:t>
            </w:r>
            <w:r>
              <w:rPr>
                <w:spacing w:val="-7"/>
                <w:sz w:val="20"/>
              </w:rPr>
              <w:t xml:space="preserve"> </w:t>
            </w:r>
            <w:r>
              <w:rPr>
                <w:sz w:val="20"/>
              </w:rPr>
              <w:t>establecido</w:t>
            </w:r>
            <w:r>
              <w:rPr>
                <w:spacing w:val="-10"/>
                <w:sz w:val="20"/>
              </w:rPr>
              <w:t xml:space="preserve"> </w:t>
            </w:r>
            <w:r>
              <w:rPr>
                <w:sz w:val="20"/>
              </w:rPr>
              <w:t>en</w:t>
            </w:r>
            <w:r>
              <w:rPr>
                <w:spacing w:val="-9"/>
                <w:sz w:val="20"/>
              </w:rPr>
              <w:t xml:space="preserve"> </w:t>
            </w:r>
            <w:r>
              <w:rPr>
                <w:sz w:val="20"/>
              </w:rPr>
              <w:t>el</w:t>
            </w:r>
            <w:r>
              <w:rPr>
                <w:spacing w:val="-9"/>
                <w:sz w:val="20"/>
              </w:rPr>
              <w:t xml:space="preserve"> </w:t>
            </w:r>
            <w:r>
              <w:rPr>
                <w:sz w:val="20"/>
              </w:rPr>
              <w:t>último</w:t>
            </w:r>
            <w:r>
              <w:rPr>
                <w:spacing w:val="-10"/>
                <w:sz w:val="20"/>
              </w:rPr>
              <w:t xml:space="preserve"> </w:t>
            </w:r>
            <w:r>
              <w:rPr>
                <w:sz w:val="20"/>
              </w:rPr>
              <w:t>párrafo</w:t>
            </w:r>
            <w:r>
              <w:rPr>
                <w:spacing w:val="-10"/>
                <w:sz w:val="20"/>
              </w:rPr>
              <w:t xml:space="preserve"> </w:t>
            </w:r>
            <w:r>
              <w:rPr>
                <w:sz w:val="20"/>
              </w:rPr>
              <w:t>del</w:t>
            </w:r>
            <w:r>
              <w:rPr>
                <w:spacing w:val="-9"/>
                <w:sz w:val="20"/>
              </w:rPr>
              <w:t xml:space="preserve"> </w:t>
            </w:r>
            <w:r>
              <w:rPr>
                <w:sz w:val="20"/>
              </w:rPr>
              <w:t>apartado</w:t>
            </w:r>
            <w:r>
              <w:rPr>
                <w:spacing w:val="-10"/>
                <w:sz w:val="20"/>
              </w:rPr>
              <w:t xml:space="preserve"> </w:t>
            </w:r>
            <w:r>
              <w:rPr>
                <w:sz w:val="20"/>
              </w:rPr>
              <w:t>B</w:t>
            </w:r>
            <w:r>
              <w:rPr>
                <w:spacing w:val="-9"/>
                <w:sz w:val="20"/>
              </w:rPr>
              <w:t xml:space="preserve"> </w:t>
            </w:r>
            <w:r>
              <w:rPr>
                <w:sz w:val="20"/>
              </w:rPr>
              <w:t>de</w:t>
            </w:r>
            <w:r>
              <w:rPr>
                <w:spacing w:val="-8"/>
                <w:sz w:val="20"/>
              </w:rPr>
              <w:t xml:space="preserve"> </w:t>
            </w:r>
            <w:r>
              <w:rPr>
                <w:sz w:val="20"/>
              </w:rPr>
              <w:t>la</w:t>
            </w:r>
            <w:r>
              <w:rPr>
                <w:spacing w:val="-9"/>
                <w:sz w:val="20"/>
              </w:rPr>
              <w:t xml:space="preserve"> </w:t>
            </w:r>
            <w:r>
              <w:rPr>
                <w:sz w:val="20"/>
              </w:rPr>
              <w:t>fracción</w:t>
            </w:r>
          </w:p>
          <w:p w14:paraId="1330DB29" w14:textId="77777777" w:rsidR="00324F1C" w:rsidRDefault="00324F1C">
            <w:pPr>
              <w:pStyle w:val="TableParagraph"/>
              <w:spacing w:line="215" w:lineRule="exact"/>
              <w:ind w:left="109"/>
              <w:rPr>
                <w:sz w:val="20"/>
              </w:rPr>
            </w:pPr>
            <w:r>
              <w:rPr>
                <w:sz w:val="20"/>
              </w:rPr>
              <w:t>V del artículo 41 de la Constitución General y en los términos que esta Ley establezca para los</w:t>
            </w:r>
          </w:p>
          <w:p w14:paraId="54546F9D" w14:textId="77777777" w:rsidR="00324F1C" w:rsidRDefault="00324F1C">
            <w:pPr>
              <w:pStyle w:val="TableParagraph"/>
              <w:spacing w:line="216" w:lineRule="exact"/>
              <w:ind w:left="109"/>
              <w:rPr>
                <w:sz w:val="20"/>
              </w:rPr>
            </w:pPr>
            <w:r>
              <w:rPr>
                <w:sz w:val="20"/>
              </w:rPr>
              <w:t>candidatos de partido, el Instituto llevará a cabo la fiscalización de las finanzas de los candidatos</w:t>
            </w:r>
          </w:p>
          <w:p w14:paraId="464AAAF5" w14:textId="77777777" w:rsidR="00324F1C" w:rsidRDefault="00324F1C">
            <w:pPr>
              <w:pStyle w:val="TableParagraph"/>
              <w:spacing w:line="216" w:lineRule="exact"/>
              <w:ind w:left="109"/>
              <w:rPr>
                <w:sz w:val="20"/>
              </w:rPr>
            </w:pPr>
            <w:r>
              <w:rPr>
                <w:sz w:val="20"/>
              </w:rPr>
              <w:t>independientes.</w:t>
            </w:r>
          </w:p>
          <w:p w14:paraId="398D5970" w14:textId="77777777" w:rsidR="00324F1C" w:rsidRDefault="00324F1C">
            <w:pPr>
              <w:pStyle w:val="TableParagraph"/>
              <w:spacing w:line="240" w:lineRule="exact"/>
              <w:ind w:left="109"/>
              <w:rPr>
                <w:sz w:val="20"/>
              </w:rPr>
            </w:pPr>
            <w:r>
              <w:rPr>
                <w:sz w:val="20"/>
              </w:rPr>
              <w:t>[…]</w:t>
            </w:r>
          </w:p>
          <w:p w14:paraId="7EACEEC2" w14:textId="77777777" w:rsidR="00324F1C" w:rsidRDefault="00324F1C">
            <w:pPr>
              <w:pStyle w:val="TableParagraph"/>
              <w:spacing w:before="117" w:line="220" w:lineRule="exact"/>
              <w:ind w:left="109"/>
              <w:rPr>
                <w:sz w:val="20"/>
              </w:rPr>
            </w:pPr>
            <w:r>
              <w:rPr>
                <w:b/>
                <w:sz w:val="20"/>
              </w:rPr>
              <w:t xml:space="preserve">Artículo 311.- </w:t>
            </w:r>
            <w:r>
              <w:rPr>
                <w:sz w:val="20"/>
              </w:rPr>
              <w:t>La Contraloría General tendrá las facultades siguientes:</w:t>
            </w:r>
          </w:p>
          <w:p w14:paraId="4B5076D8" w14:textId="77777777" w:rsidR="00324F1C" w:rsidRDefault="00324F1C" w:rsidP="00E93F78">
            <w:pPr>
              <w:pStyle w:val="TableParagraph"/>
              <w:spacing w:line="240" w:lineRule="exact"/>
              <w:ind w:left="109"/>
              <w:rPr>
                <w:sz w:val="20"/>
              </w:rPr>
            </w:pPr>
            <w:r>
              <w:rPr>
                <w:sz w:val="20"/>
              </w:rPr>
              <w:t>[…]</w:t>
            </w:r>
          </w:p>
        </w:tc>
      </w:tr>
    </w:tbl>
    <w:p w14:paraId="4756C162" w14:textId="77777777" w:rsidR="005A31A5" w:rsidRDefault="005A31A5">
      <w:pPr>
        <w:spacing w:line="240" w:lineRule="exact"/>
        <w:rPr>
          <w:sz w:val="20"/>
        </w:rPr>
        <w:sectPr w:rsidR="005A31A5">
          <w:pgSz w:w="20160" w:h="12240" w:orient="landscape"/>
          <w:pgMar w:top="1120" w:right="1320" w:bottom="280" w:left="1320" w:header="885" w:footer="0" w:gutter="0"/>
          <w:cols w:space="720"/>
        </w:sectPr>
      </w:pPr>
    </w:p>
    <w:p w14:paraId="6645B0A1" w14:textId="77777777" w:rsidR="005A31A5" w:rsidRDefault="00AA4FCC">
      <w:pPr>
        <w:pStyle w:val="Textoindependiente"/>
        <w:rPr>
          <w:rFonts w:ascii="Times New Roman"/>
          <w:b w:val="0"/>
          <w:i w:val="0"/>
          <w:sz w:val="20"/>
        </w:rPr>
      </w:pPr>
      <w:r>
        <w:rPr>
          <w:noProof/>
        </w:rPr>
        <w:lastRenderedPageBreak/>
        <w:drawing>
          <wp:anchor distT="0" distB="0" distL="0" distR="0" simplePos="0" relativeHeight="251660288" behindDoc="0" locked="0" layoutInCell="1" allowOverlap="1" wp14:anchorId="605CE241" wp14:editId="6660D438">
            <wp:simplePos x="0" y="0"/>
            <wp:positionH relativeFrom="page">
              <wp:posOffset>1052604</wp:posOffset>
            </wp:positionH>
            <wp:positionV relativeFrom="page">
              <wp:posOffset>567385</wp:posOffset>
            </wp:positionV>
            <wp:extent cx="1040838" cy="1001344"/>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6" cstate="print"/>
                    <a:stretch>
                      <a:fillRect/>
                    </a:stretch>
                  </pic:blipFill>
                  <pic:spPr>
                    <a:xfrm>
                      <a:off x="0" y="0"/>
                      <a:ext cx="1040838" cy="1001344"/>
                    </a:xfrm>
                    <a:prstGeom prst="rect">
                      <a:avLst/>
                    </a:prstGeom>
                  </pic:spPr>
                </pic:pic>
              </a:graphicData>
            </a:graphic>
          </wp:anchor>
        </w:drawing>
      </w:r>
    </w:p>
    <w:p w14:paraId="1A95FD23" w14:textId="77777777" w:rsidR="005A31A5" w:rsidRDefault="005A31A5">
      <w:pPr>
        <w:pStyle w:val="Textoindependiente"/>
        <w:rPr>
          <w:rFonts w:ascii="Times New Roman"/>
          <w:b w:val="0"/>
          <w:i w:val="0"/>
          <w:sz w:val="20"/>
        </w:rPr>
      </w:pPr>
    </w:p>
    <w:p w14:paraId="071CE9BB" w14:textId="77777777" w:rsidR="005A31A5" w:rsidRDefault="005A31A5">
      <w:pPr>
        <w:pStyle w:val="Textoindependiente"/>
        <w:rPr>
          <w:rFonts w:ascii="Times New Roman"/>
          <w:b w:val="0"/>
          <w:i w:val="0"/>
          <w:sz w:val="20"/>
        </w:rPr>
      </w:pPr>
    </w:p>
    <w:p w14:paraId="7B3F5F61" w14:textId="77777777" w:rsidR="005A31A5" w:rsidRDefault="005A31A5">
      <w:pPr>
        <w:pStyle w:val="Textoindependiente"/>
        <w:rPr>
          <w:rFonts w:ascii="Times New Roman"/>
          <w:b w:val="0"/>
          <w:i w:val="0"/>
          <w:sz w:val="20"/>
        </w:rPr>
      </w:pPr>
    </w:p>
    <w:p w14:paraId="493B1223" w14:textId="77777777" w:rsidR="005A31A5" w:rsidRDefault="005A31A5">
      <w:pPr>
        <w:pStyle w:val="Textoindependiente"/>
        <w:rPr>
          <w:rFonts w:ascii="Times New Roman"/>
          <w:b w:val="0"/>
          <w:i w:val="0"/>
          <w:sz w:val="20"/>
        </w:rPr>
      </w:pPr>
    </w:p>
    <w:p w14:paraId="7A3392F7" w14:textId="77777777" w:rsidR="005A31A5" w:rsidRDefault="005A31A5">
      <w:pPr>
        <w:pStyle w:val="Textoindependiente"/>
        <w:rPr>
          <w:rFonts w:ascii="Times New Roman"/>
          <w:b w:val="0"/>
          <w:i w:val="0"/>
          <w:sz w:val="20"/>
        </w:rPr>
      </w:pPr>
    </w:p>
    <w:p w14:paraId="279A0E29" w14:textId="77777777" w:rsidR="005A31A5" w:rsidRDefault="005A31A5">
      <w:pPr>
        <w:pStyle w:val="Textoindependiente"/>
        <w:spacing w:before="10"/>
        <w:rPr>
          <w:rFonts w:ascii="Times New Roman"/>
          <w:b w:val="0"/>
          <w:i w:val="0"/>
          <w:sz w:val="27"/>
        </w:rPr>
      </w:pPr>
    </w:p>
    <w:tbl>
      <w:tblPr>
        <w:tblStyle w:val="TableNormal"/>
        <w:tblW w:w="0" w:type="auto"/>
        <w:tblInd w:w="12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1272"/>
        <w:gridCol w:w="2404"/>
        <w:gridCol w:w="3828"/>
        <w:gridCol w:w="9786"/>
      </w:tblGrid>
      <w:tr w:rsidR="005A31A5" w14:paraId="371CD6B9" w14:textId="77777777">
        <w:trPr>
          <w:trHeight w:val="479"/>
        </w:trPr>
        <w:tc>
          <w:tcPr>
            <w:tcW w:w="1272" w:type="dxa"/>
            <w:shd w:val="clear" w:color="auto" w:fill="76923B"/>
          </w:tcPr>
          <w:p w14:paraId="5C1DFB42" w14:textId="77777777" w:rsidR="005A31A5" w:rsidRDefault="005A31A5">
            <w:pPr>
              <w:pStyle w:val="TableParagraph"/>
              <w:rPr>
                <w:rFonts w:ascii="Times New Roman"/>
                <w:sz w:val="18"/>
              </w:rPr>
            </w:pPr>
          </w:p>
        </w:tc>
        <w:tc>
          <w:tcPr>
            <w:tcW w:w="2404" w:type="dxa"/>
            <w:shd w:val="clear" w:color="auto" w:fill="76923B"/>
          </w:tcPr>
          <w:p w14:paraId="053CEDF2" w14:textId="77777777" w:rsidR="005A31A5" w:rsidRDefault="00AA4FCC">
            <w:pPr>
              <w:pStyle w:val="TableParagraph"/>
              <w:spacing w:before="110"/>
              <w:ind w:left="88" w:right="80"/>
              <w:jc w:val="center"/>
              <w:rPr>
                <w:b/>
                <w:sz w:val="20"/>
              </w:rPr>
            </w:pPr>
            <w:r>
              <w:rPr>
                <w:b/>
                <w:color w:val="FFFFFF"/>
                <w:sz w:val="20"/>
              </w:rPr>
              <w:t>ESTADO</w:t>
            </w:r>
          </w:p>
        </w:tc>
        <w:tc>
          <w:tcPr>
            <w:tcW w:w="3828" w:type="dxa"/>
            <w:shd w:val="clear" w:color="auto" w:fill="76923B"/>
          </w:tcPr>
          <w:p w14:paraId="0D80FDA9" w14:textId="77777777" w:rsidR="005A31A5" w:rsidRDefault="00AA4FCC">
            <w:pPr>
              <w:pStyle w:val="TableParagraph"/>
              <w:spacing w:before="110"/>
              <w:ind w:left="1735" w:right="1726"/>
              <w:jc w:val="center"/>
              <w:rPr>
                <w:b/>
                <w:sz w:val="20"/>
              </w:rPr>
            </w:pPr>
            <w:r>
              <w:rPr>
                <w:b/>
                <w:color w:val="FFFFFF"/>
                <w:sz w:val="20"/>
              </w:rPr>
              <w:t>LEY</w:t>
            </w:r>
          </w:p>
        </w:tc>
        <w:tc>
          <w:tcPr>
            <w:tcW w:w="9786" w:type="dxa"/>
            <w:shd w:val="clear" w:color="auto" w:fill="76923B"/>
          </w:tcPr>
          <w:p w14:paraId="288FFE55" w14:textId="77777777" w:rsidR="005A31A5" w:rsidRDefault="00AA4FCC">
            <w:pPr>
              <w:pStyle w:val="TableParagraph"/>
              <w:spacing w:before="110"/>
              <w:ind w:left="3512" w:right="3504"/>
              <w:jc w:val="center"/>
              <w:rPr>
                <w:b/>
                <w:sz w:val="20"/>
              </w:rPr>
            </w:pPr>
            <w:r>
              <w:rPr>
                <w:b/>
                <w:color w:val="FFFFFF"/>
                <w:sz w:val="20"/>
              </w:rPr>
              <w:t>ARTÍCULO (TRANSCRIPCIÓN)</w:t>
            </w:r>
          </w:p>
        </w:tc>
      </w:tr>
      <w:tr w:rsidR="005A31A5" w14:paraId="324682E9" w14:textId="77777777">
        <w:trPr>
          <w:trHeight w:val="2443"/>
        </w:trPr>
        <w:tc>
          <w:tcPr>
            <w:tcW w:w="1272" w:type="dxa"/>
          </w:tcPr>
          <w:p w14:paraId="68665ADC" w14:textId="77777777" w:rsidR="005A31A5" w:rsidRDefault="005A31A5">
            <w:pPr>
              <w:pStyle w:val="TableParagraph"/>
              <w:rPr>
                <w:rFonts w:ascii="Times New Roman"/>
                <w:sz w:val="18"/>
              </w:rPr>
            </w:pPr>
          </w:p>
        </w:tc>
        <w:tc>
          <w:tcPr>
            <w:tcW w:w="2404" w:type="dxa"/>
          </w:tcPr>
          <w:p w14:paraId="39B89A17" w14:textId="77777777" w:rsidR="005A31A5" w:rsidRDefault="005A31A5">
            <w:pPr>
              <w:pStyle w:val="TableParagraph"/>
              <w:rPr>
                <w:rFonts w:ascii="Times New Roman"/>
                <w:sz w:val="18"/>
              </w:rPr>
            </w:pPr>
          </w:p>
        </w:tc>
        <w:tc>
          <w:tcPr>
            <w:tcW w:w="3828" w:type="dxa"/>
          </w:tcPr>
          <w:p w14:paraId="79FC3AF8" w14:textId="77777777" w:rsidR="005A31A5" w:rsidRDefault="005A31A5">
            <w:pPr>
              <w:pStyle w:val="TableParagraph"/>
              <w:rPr>
                <w:rFonts w:ascii="Times New Roman"/>
                <w:sz w:val="18"/>
              </w:rPr>
            </w:pPr>
          </w:p>
        </w:tc>
        <w:tc>
          <w:tcPr>
            <w:tcW w:w="9786" w:type="dxa"/>
          </w:tcPr>
          <w:p w14:paraId="5C6F3B65" w14:textId="77777777" w:rsidR="005A31A5" w:rsidRDefault="00AA4FCC">
            <w:pPr>
              <w:pStyle w:val="TableParagraph"/>
              <w:spacing w:before="2"/>
              <w:ind w:left="109" w:right="99"/>
              <w:jc w:val="both"/>
              <w:rPr>
                <w:sz w:val="20"/>
              </w:rPr>
            </w:pPr>
            <w:proofErr w:type="gramStart"/>
            <w:r>
              <w:rPr>
                <w:sz w:val="20"/>
              </w:rPr>
              <w:t>Décimo.-</w:t>
            </w:r>
            <w:proofErr w:type="gramEnd"/>
            <w:r>
              <w:rPr>
                <w:spacing w:val="-13"/>
                <w:sz w:val="20"/>
              </w:rPr>
              <w:t xml:space="preserve"> </w:t>
            </w:r>
            <w:r>
              <w:rPr>
                <w:sz w:val="20"/>
              </w:rPr>
              <w:t>Los</w:t>
            </w:r>
            <w:r>
              <w:rPr>
                <w:spacing w:val="-14"/>
                <w:sz w:val="20"/>
              </w:rPr>
              <w:t xml:space="preserve"> </w:t>
            </w:r>
            <w:r>
              <w:rPr>
                <w:sz w:val="20"/>
              </w:rPr>
              <w:t>procedimientos</w:t>
            </w:r>
            <w:r>
              <w:rPr>
                <w:spacing w:val="-15"/>
                <w:sz w:val="20"/>
              </w:rPr>
              <w:t xml:space="preserve"> </w:t>
            </w:r>
            <w:r>
              <w:rPr>
                <w:sz w:val="20"/>
              </w:rPr>
              <w:t>administrativos,</w:t>
            </w:r>
            <w:r>
              <w:rPr>
                <w:spacing w:val="-14"/>
                <w:sz w:val="20"/>
              </w:rPr>
              <w:t xml:space="preserve"> </w:t>
            </w:r>
            <w:r>
              <w:rPr>
                <w:sz w:val="20"/>
              </w:rPr>
              <w:t>jurisdiccionales</w:t>
            </w:r>
            <w:r>
              <w:rPr>
                <w:spacing w:val="-15"/>
                <w:sz w:val="20"/>
              </w:rPr>
              <w:t xml:space="preserve"> </w:t>
            </w:r>
            <w:r>
              <w:rPr>
                <w:sz w:val="20"/>
              </w:rPr>
              <w:t>y</w:t>
            </w:r>
            <w:r>
              <w:rPr>
                <w:spacing w:val="-14"/>
                <w:sz w:val="20"/>
              </w:rPr>
              <w:t xml:space="preserve"> </w:t>
            </w:r>
            <w:r>
              <w:rPr>
                <w:sz w:val="20"/>
              </w:rPr>
              <w:t>de</w:t>
            </w:r>
            <w:r>
              <w:rPr>
                <w:spacing w:val="-13"/>
                <w:sz w:val="20"/>
              </w:rPr>
              <w:t xml:space="preserve"> </w:t>
            </w:r>
            <w:r>
              <w:rPr>
                <w:sz w:val="20"/>
              </w:rPr>
              <w:t>fiscalización</w:t>
            </w:r>
            <w:r>
              <w:rPr>
                <w:spacing w:val="-14"/>
                <w:sz w:val="20"/>
              </w:rPr>
              <w:t xml:space="preserve"> </w:t>
            </w:r>
            <w:r>
              <w:rPr>
                <w:sz w:val="20"/>
              </w:rPr>
              <w:t>relacionados</w:t>
            </w:r>
            <w:r>
              <w:rPr>
                <w:spacing w:val="-12"/>
                <w:sz w:val="20"/>
              </w:rPr>
              <w:t xml:space="preserve"> </w:t>
            </w:r>
            <w:r>
              <w:rPr>
                <w:sz w:val="20"/>
              </w:rPr>
              <w:t>con</w:t>
            </w:r>
            <w:r>
              <w:rPr>
                <w:spacing w:val="-14"/>
                <w:sz w:val="20"/>
              </w:rPr>
              <w:t xml:space="preserve"> </w:t>
            </w:r>
            <w:r>
              <w:rPr>
                <w:sz w:val="20"/>
              </w:rPr>
              <w:t>las agrupaciones políticas y partidos políticos en el Estado, así como de sus militantes o simpatizantes, iniciados o que se encuentren en trámite a la entrada en vigor de esta Ley, seguirán bajo la competencia del mismo, en atención a las disposiciones jurídicas y administrativas que hubieran estado</w:t>
            </w:r>
            <w:r>
              <w:rPr>
                <w:spacing w:val="-10"/>
                <w:sz w:val="20"/>
              </w:rPr>
              <w:t xml:space="preserve"> </w:t>
            </w:r>
            <w:r>
              <w:rPr>
                <w:sz w:val="20"/>
              </w:rPr>
              <w:t>vigentes</w:t>
            </w:r>
            <w:r>
              <w:rPr>
                <w:spacing w:val="-10"/>
                <w:sz w:val="20"/>
              </w:rPr>
              <w:t xml:space="preserve"> </w:t>
            </w:r>
            <w:r>
              <w:rPr>
                <w:sz w:val="20"/>
              </w:rPr>
              <w:t>al</w:t>
            </w:r>
            <w:r>
              <w:rPr>
                <w:spacing w:val="-8"/>
                <w:sz w:val="20"/>
              </w:rPr>
              <w:t xml:space="preserve"> </w:t>
            </w:r>
            <w:r>
              <w:rPr>
                <w:sz w:val="20"/>
              </w:rPr>
              <w:t>momento</w:t>
            </w:r>
            <w:r>
              <w:rPr>
                <w:spacing w:val="-11"/>
                <w:sz w:val="20"/>
              </w:rPr>
              <w:t xml:space="preserve"> </w:t>
            </w:r>
            <w:r>
              <w:rPr>
                <w:sz w:val="20"/>
              </w:rPr>
              <w:t>de</w:t>
            </w:r>
            <w:r>
              <w:rPr>
                <w:spacing w:val="-8"/>
                <w:sz w:val="20"/>
              </w:rPr>
              <w:t xml:space="preserve"> </w:t>
            </w:r>
            <w:r>
              <w:rPr>
                <w:sz w:val="20"/>
              </w:rPr>
              <w:t>su</w:t>
            </w:r>
            <w:r>
              <w:rPr>
                <w:spacing w:val="-11"/>
                <w:sz w:val="20"/>
              </w:rPr>
              <w:t xml:space="preserve"> </w:t>
            </w:r>
            <w:r>
              <w:rPr>
                <w:sz w:val="20"/>
              </w:rPr>
              <w:t>inicio.</w:t>
            </w:r>
            <w:r>
              <w:rPr>
                <w:spacing w:val="-12"/>
                <w:sz w:val="20"/>
              </w:rPr>
              <w:t xml:space="preserve"> </w:t>
            </w:r>
            <w:r>
              <w:rPr>
                <w:sz w:val="20"/>
              </w:rPr>
              <w:t>Los</w:t>
            </w:r>
            <w:r>
              <w:rPr>
                <w:spacing w:val="-7"/>
                <w:sz w:val="20"/>
              </w:rPr>
              <w:t xml:space="preserve"> </w:t>
            </w:r>
            <w:r>
              <w:rPr>
                <w:sz w:val="20"/>
              </w:rPr>
              <w:t>gastos</w:t>
            </w:r>
            <w:r>
              <w:rPr>
                <w:spacing w:val="-10"/>
                <w:sz w:val="20"/>
              </w:rPr>
              <w:t xml:space="preserve"> </w:t>
            </w:r>
            <w:r>
              <w:rPr>
                <w:sz w:val="20"/>
              </w:rPr>
              <w:t>realizados</w:t>
            </w:r>
            <w:r>
              <w:rPr>
                <w:spacing w:val="-9"/>
                <w:sz w:val="20"/>
              </w:rPr>
              <w:t xml:space="preserve"> </w:t>
            </w:r>
            <w:r>
              <w:rPr>
                <w:sz w:val="20"/>
              </w:rPr>
              <w:t>por</w:t>
            </w:r>
            <w:r>
              <w:rPr>
                <w:spacing w:val="-10"/>
                <w:sz w:val="20"/>
              </w:rPr>
              <w:t xml:space="preserve"> </w:t>
            </w:r>
            <w:r>
              <w:rPr>
                <w:sz w:val="20"/>
              </w:rPr>
              <w:t>los</w:t>
            </w:r>
            <w:r>
              <w:rPr>
                <w:spacing w:val="-10"/>
                <w:sz w:val="20"/>
              </w:rPr>
              <w:t xml:space="preserve"> </w:t>
            </w:r>
            <w:r>
              <w:rPr>
                <w:sz w:val="20"/>
              </w:rPr>
              <w:t>partidos</w:t>
            </w:r>
            <w:r>
              <w:rPr>
                <w:spacing w:val="-10"/>
                <w:sz w:val="20"/>
              </w:rPr>
              <w:t xml:space="preserve"> </w:t>
            </w:r>
            <w:r>
              <w:rPr>
                <w:sz w:val="20"/>
              </w:rPr>
              <w:t>políticos</w:t>
            </w:r>
            <w:r>
              <w:rPr>
                <w:spacing w:val="-10"/>
                <w:sz w:val="20"/>
              </w:rPr>
              <w:t xml:space="preserve"> </w:t>
            </w:r>
            <w:r>
              <w:rPr>
                <w:sz w:val="20"/>
              </w:rPr>
              <w:t>en</w:t>
            </w:r>
            <w:r>
              <w:rPr>
                <w:spacing w:val="-8"/>
                <w:sz w:val="20"/>
              </w:rPr>
              <w:t xml:space="preserve"> </w:t>
            </w:r>
            <w:r>
              <w:rPr>
                <w:sz w:val="20"/>
              </w:rPr>
              <w:t>el</w:t>
            </w:r>
            <w:r>
              <w:rPr>
                <w:spacing w:val="-9"/>
                <w:sz w:val="20"/>
              </w:rPr>
              <w:t xml:space="preserve"> </w:t>
            </w:r>
            <w:r>
              <w:rPr>
                <w:sz w:val="20"/>
              </w:rPr>
              <w:t xml:space="preserve">Estado hasta antes de la entrada en vigor del presente </w:t>
            </w:r>
            <w:proofErr w:type="gramStart"/>
            <w:r>
              <w:rPr>
                <w:sz w:val="20"/>
              </w:rPr>
              <w:t>Decreto,</w:t>
            </w:r>
            <w:proofErr w:type="gramEnd"/>
            <w:r>
              <w:rPr>
                <w:sz w:val="20"/>
              </w:rPr>
              <w:t xml:space="preserve"> serán fiscalizados por el Instituto con sustento en las disposiciones jurídicas y administrativas vigentes al momento de su ejercicio, los cuales deberán ser dictaminados y resueltos a más tardar el último día de diciembre de</w:t>
            </w:r>
            <w:r>
              <w:rPr>
                <w:spacing w:val="-28"/>
                <w:sz w:val="20"/>
              </w:rPr>
              <w:t xml:space="preserve"> </w:t>
            </w:r>
            <w:r>
              <w:rPr>
                <w:sz w:val="20"/>
              </w:rPr>
              <w:t>2014.</w:t>
            </w:r>
          </w:p>
        </w:tc>
      </w:tr>
      <w:tr w:rsidR="005A31A5" w14:paraId="4024FF5E" w14:textId="77777777" w:rsidTr="00980493">
        <w:trPr>
          <w:trHeight w:val="2942"/>
        </w:trPr>
        <w:tc>
          <w:tcPr>
            <w:tcW w:w="1272" w:type="dxa"/>
            <w:shd w:val="clear" w:color="auto" w:fill="auto"/>
          </w:tcPr>
          <w:p w14:paraId="5618E9BA" w14:textId="77777777" w:rsidR="005A31A5" w:rsidRDefault="00AA4FCC">
            <w:pPr>
              <w:pStyle w:val="TableParagraph"/>
              <w:spacing w:before="110"/>
              <w:ind w:left="467"/>
              <w:rPr>
                <w:b/>
                <w:sz w:val="20"/>
              </w:rPr>
            </w:pPr>
            <w:r>
              <w:rPr>
                <w:b/>
                <w:sz w:val="20"/>
              </w:rPr>
              <w:t>3.</w:t>
            </w:r>
          </w:p>
        </w:tc>
        <w:tc>
          <w:tcPr>
            <w:tcW w:w="2404" w:type="dxa"/>
            <w:shd w:val="clear" w:color="auto" w:fill="auto"/>
          </w:tcPr>
          <w:p w14:paraId="14CB708C" w14:textId="77777777" w:rsidR="005A31A5" w:rsidRDefault="00AA4FCC">
            <w:pPr>
              <w:pStyle w:val="TableParagraph"/>
              <w:spacing w:before="110"/>
              <w:ind w:left="88" w:right="118"/>
              <w:jc w:val="center"/>
              <w:rPr>
                <w:b/>
                <w:sz w:val="20"/>
              </w:rPr>
            </w:pPr>
            <w:r>
              <w:rPr>
                <w:b/>
                <w:sz w:val="20"/>
              </w:rPr>
              <w:t>BAJA CALIFORNIA SUR</w:t>
            </w:r>
          </w:p>
        </w:tc>
        <w:tc>
          <w:tcPr>
            <w:tcW w:w="3828" w:type="dxa"/>
            <w:shd w:val="clear" w:color="auto" w:fill="auto"/>
          </w:tcPr>
          <w:p w14:paraId="5BA95485" w14:textId="77777777" w:rsidR="005A31A5" w:rsidRDefault="00C82FA2">
            <w:pPr>
              <w:pStyle w:val="TableParagraph"/>
              <w:tabs>
                <w:tab w:val="left" w:pos="1526"/>
                <w:tab w:val="left" w:pos="2433"/>
                <w:tab w:val="left" w:pos="2977"/>
              </w:tabs>
              <w:spacing w:before="114" w:line="235" w:lineRule="auto"/>
              <w:ind w:left="108" w:right="99"/>
              <w:rPr>
                <w:b/>
                <w:sz w:val="20"/>
              </w:rPr>
            </w:pPr>
            <w:hyperlink r:id="rId15" w:history="1">
              <w:r w:rsidR="00AA4FCC" w:rsidRPr="00324F1C">
                <w:rPr>
                  <w:rStyle w:val="Hipervnculo"/>
                  <w:b/>
                  <w:sz w:val="20"/>
                </w:rPr>
                <w:t>Reglamento</w:t>
              </w:r>
              <w:r w:rsidR="00AA4FCC" w:rsidRPr="00324F1C">
                <w:rPr>
                  <w:rStyle w:val="Hipervnculo"/>
                  <w:b/>
                  <w:sz w:val="20"/>
                </w:rPr>
                <w:tab/>
                <w:t>Interior</w:t>
              </w:r>
              <w:r w:rsidR="00AA4FCC" w:rsidRPr="00324F1C">
                <w:rPr>
                  <w:rStyle w:val="Hipervnculo"/>
                  <w:b/>
                  <w:sz w:val="20"/>
                </w:rPr>
                <w:tab/>
                <w:t>del</w:t>
              </w:r>
              <w:r w:rsidR="00AA4FCC" w:rsidRPr="00324F1C">
                <w:rPr>
                  <w:rStyle w:val="Hipervnculo"/>
                  <w:b/>
                  <w:sz w:val="20"/>
                </w:rPr>
                <w:tab/>
              </w:r>
              <w:r w:rsidR="00AA4FCC" w:rsidRPr="00324F1C">
                <w:rPr>
                  <w:rStyle w:val="Hipervnculo"/>
                  <w:b/>
                  <w:spacing w:val="-3"/>
                  <w:sz w:val="20"/>
                </w:rPr>
                <w:t xml:space="preserve">Instituto </w:t>
              </w:r>
              <w:r w:rsidR="00AA4FCC" w:rsidRPr="00324F1C">
                <w:rPr>
                  <w:rStyle w:val="Hipervnculo"/>
                  <w:b/>
                  <w:sz w:val="20"/>
                </w:rPr>
                <w:t>Estatal</w:t>
              </w:r>
              <w:r w:rsidR="00AA4FCC" w:rsidRPr="00324F1C">
                <w:rPr>
                  <w:rStyle w:val="Hipervnculo"/>
                  <w:b/>
                  <w:spacing w:val="-15"/>
                  <w:sz w:val="20"/>
                </w:rPr>
                <w:t xml:space="preserve"> </w:t>
              </w:r>
              <w:r w:rsidR="00AA4FCC" w:rsidRPr="00324F1C">
                <w:rPr>
                  <w:rStyle w:val="Hipervnculo"/>
                  <w:b/>
                  <w:sz w:val="20"/>
                </w:rPr>
                <w:t>Electoral</w:t>
              </w:r>
              <w:r w:rsidR="00AA4FCC" w:rsidRPr="00324F1C">
                <w:rPr>
                  <w:rStyle w:val="Hipervnculo"/>
                  <w:b/>
                  <w:spacing w:val="-13"/>
                  <w:sz w:val="20"/>
                </w:rPr>
                <w:t xml:space="preserve"> </w:t>
              </w:r>
              <w:r w:rsidR="00AA4FCC" w:rsidRPr="00324F1C">
                <w:rPr>
                  <w:rStyle w:val="Hipervnculo"/>
                  <w:b/>
                  <w:sz w:val="20"/>
                </w:rPr>
                <w:t>de</w:t>
              </w:r>
              <w:r w:rsidR="00AA4FCC" w:rsidRPr="00324F1C">
                <w:rPr>
                  <w:rStyle w:val="Hipervnculo"/>
                  <w:b/>
                  <w:spacing w:val="-13"/>
                  <w:sz w:val="20"/>
                </w:rPr>
                <w:t xml:space="preserve"> </w:t>
              </w:r>
              <w:r w:rsidR="00AA4FCC" w:rsidRPr="00324F1C">
                <w:rPr>
                  <w:rStyle w:val="Hipervnculo"/>
                  <w:b/>
                  <w:sz w:val="20"/>
                </w:rPr>
                <w:t>Baja</w:t>
              </w:r>
              <w:r w:rsidR="00AA4FCC" w:rsidRPr="00324F1C">
                <w:rPr>
                  <w:rStyle w:val="Hipervnculo"/>
                  <w:b/>
                  <w:spacing w:val="-12"/>
                  <w:sz w:val="20"/>
                </w:rPr>
                <w:t xml:space="preserve"> </w:t>
              </w:r>
              <w:r w:rsidR="00AA4FCC" w:rsidRPr="00324F1C">
                <w:rPr>
                  <w:rStyle w:val="Hipervnculo"/>
                  <w:b/>
                  <w:sz w:val="20"/>
                </w:rPr>
                <w:t>California</w:t>
              </w:r>
              <w:r w:rsidR="00AA4FCC" w:rsidRPr="00324F1C">
                <w:rPr>
                  <w:rStyle w:val="Hipervnculo"/>
                  <w:b/>
                  <w:spacing w:val="-13"/>
                  <w:sz w:val="20"/>
                </w:rPr>
                <w:t xml:space="preserve"> </w:t>
              </w:r>
              <w:r w:rsidR="00AA4FCC" w:rsidRPr="00324F1C">
                <w:rPr>
                  <w:rStyle w:val="Hipervnculo"/>
                  <w:b/>
                  <w:sz w:val="20"/>
                </w:rPr>
                <w:t>Sur</w:t>
              </w:r>
            </w:hyperlink>
          </w:p>
        </w:tc>
        <w:tc>
          <w:tcPr>
            <w:tcW w:w="9786" w:type="dxa"/>
            <w:shd w:val="clear" w:color="auto" w:fill="auto"/>
          </w:tcPr>
          <w:p w14:paraId="0A1C4BDC" w14:textId="77777777" w:rsidR="005A31A5" w:rsidRDefault="00AA4FCC">
            <w:pPr>
              <w:pStyle w:val="TableParagraph"/>
              <w:spacing w:before="2"/>
              <w:ind w:left="109"/>
              <w:rPr>
                <w:b/>
                <w:sz w:val="20"/>
              </w:rPr>
            </w:pPr>
            <w:r>
              <w:rPr>
                <w:b/>
                <w:sz w:val="20"/>
              </w:rPr>
              <w:t>Artículo 32.</w:t>
            </w:r>
          </w:p>
          <w:p w14:paraId="7A96ECB8" w14:textId="77777777" w:rsidR="005A31A5" w:rsidRDefault="005A31A5">
            <w:pPr>
              <w:pStyle w:val="TableParagraph"/>
              <w:spacing w:before="3"/>
              <w:rPr>
                <w:rFonts w:ascii="Times New Roman"/>
                <w:sz w:val="21"/>
              </w:rPr>
            </w:pPr>
          </w:p>
          <w:p w14:paraId="0B0438B9" w14:textId="77777777" w:rsidR="005A31A5" w:rsidRDefault="00AA4FCC">
            <w:pPr>
              <w:pStyle w:val="TableParagraph"/>
              <w:ind w:left="109"/>
              <w:rPr>
                <w:sz w:val="20"/>
              </w:rPr>
            </w:pPr>
            <w:r>
              <w:rPr>
                <w:sz w:val="20"/>
              </w:rPr>
              <w:t>Para</w:t>
            </w:r>
            <w:r>
              <w:rPr>
                <w:spacing w:val="-15"/>
                <w:sz w:val="20"/>
              </w:rPr>
              <w:t xml:space="preserve"> </w:t>
            </w:r>
            <w:r>
              <w:rPr>
                <w:sz w:val="20"/>
              </w:rPr>
              <w:t>el</w:t>
            </w:r>
            <w:r>
              <w:rPr>
                <w:spacing w:val="-15"/>
                <w:sz w:val="20"/>
              </w:rPr>
              <w:t xml:space="preserve"> </w:t>
            </w:r>
            <w:r>
              <w:rPr>
                <w:sz w:val="20"/>
              </w:rPr>
              <w:t>cumplimiento</w:t>
            </w:r>
            <w:r>
              <w:rPr>
                <w:spacing w:val="-16"/>
                <w:sz w:val="20"/>
              </w:rPr>
              <w:t xml:space="preserve"> </w:t>
            </w:r>
            <w:r>
              <w:rPr>
                <w:sz w:val="20"/>
              </w:rPr>
              <w:t>de</w:t>
            </w:r>
            <w:r>
              <w:rPr>
                <w:spacing w:val="-14"/>
                <w:sz w:val="20"/>
              </w:rPr>
              <w:t xml:space="preserve"> </w:t>
            </w:r>
            <w:r>
              <w:rPr>
                <w:sz w:val="20"/>
              </w:rPr>
              <w:t>las</w:t>
            </w:r>
            <w:r>
              <w:rPr>
                <w:spacing w:val="-14"/>
                <w:sz w:val="20"/>
              </w:rPr>
              <w:t xml:space="preserve"> </w:t>
            </w:r>
            <w:r>
              <w:rPr>
                <w:sz w:val="20"/>
              </w:rPr>
              <w:t>atribuciones</w:t>
            </w:r>
            <w:r>
              <w:rPr>
                <w:spacing w:val="-16"/>
                <w:sz w:val="20"/>
              </w:rPr>
              <w:t xml:space="preserve"> </w:t>
            </w:r>
            <w:r>
              <w:rPr>
                <w:sz w:val="20"/>
              </w:rPr>
              <w:t>que</w:t>
            </w:r>
            <w:r>
              <w:rPr>
                <w:spacing w:val="-16"/>
                <w:sz w:val="20"/>
              </w:rPr>
              <w:t xml:space="preserve"> </w:t>
            </w:r>
            <w:r>
              <w:rPr>
                <w:sz w:val="20"/>
              </w:rPr>
              <w:t>la</w:t>
            </w:r>
            <w:r>
              <w:rPr>
                <w:spacing w:val="-15"/>
                <w:sz w:val="20"/>
              </w:rPr>
              <w:t xml:space="preserve"> </w:t>
            </w:r>
            <w:r>
              <w:rPr>
                <w:sz w:val="20"/>
              </w:rPr>
              <w:t>Ley</w:t>
            </w:r>
            <w:r>
              <w:rPr>
                <w:spacing w:val="-16"/>
                <w:sz w:val="20"/>
              </w:rPr>
              <w:t xml:space="preserve"> </w:t>
            </w:r>
            <w:r>
              <w:rPr>
                <w:sz w:val="20"/>
              </w:rPr>
              <w:t>Electoral</w:t>
            </w:r>
            <w:r>
              <w:rPr>
                <w:spacing w:val="-15"/>
                <w:sz w:val="20"/>
              </w:rPr>
              <w:t xml:space="preserve"> </w:t>
            </w:r>
            <w:r>
              <w:rPr>
                <w:sz w:val="20"/>
              </w:rPr>
              <w:t>le</w:t>
            </w:r>
            <w:r>
              <w:rPr>
                <w:spacing w:val="-16"/>
                <w:sz w:val="20"/>
              </w:rPr>
              <w:t xml:space="preserve"> </w:t>
            </w:r>
            <w:r>
              <w:rPr>
                <w:sz w:val="20"/>
              </w:rPr>
              <w:t>confiere,</w:t>
            </w:r>
            <w:r>
              <w:rPr>
                <w:spacing w:val="-17"/>
                <w:sz w:val="20"/>
              </w:rPr>
              <w:t xml:space="preserve"> </w:t>
            </w:r>
            <w:r>
              <w:rPr>
                <w:sz w:val="20"/>
              </w:rPr>
              <w:t>corresponde</w:t>
            </w:r>
            <w:r>
              <w:rPr>
                <w:spacing w:val="-15"/>
                <w:sz w:val="20"/>
              </w:rPr>
              <w:t xml:space="preserve"> </w:t>
            </w:r>
            <w:r>
              <w:rPr>
                <w:sz w:val="20"/>
              </w:rPr>
              <w:t>a</w:t>
            </w:r>
            <w:r>
              <w:rPr>
                <w:spacing w:val="-15"/>
                <w:sz w:val="20"/>
              </w:rPr>
              <w:t xml:space="preserve"> </w:t>
            </w:r>
            <w:r>
              <w:rPr>
                <w:sz w:val="20"/>
              </w:rPr>
              <w:t>la</w:t>
            </w:r>
            <w:r>
              <w:rPr>
                <w:spacing w:val="-14"/>
                <w:sz w:val="20"/>
              </w:rPr>
              <w:t xml:space="preserve"> </w:t>
            </w:r>
            <w:r>
              <w:rPr>
                <w:sz w:val="20"/>
              </w:rPr>
              <w:t>Dirección Ejecutiva de Prerrogativas y Partidos</w:t>
            </w:r>
            <w:r>
              <w:rPr>
                <w:spacing w:val="-5"/>
                <w:sz w:val="20"/>
              </w:rPr>
              <w:t xml:space="preserve"> </w:t>
            </w:r>
            <w:r>
              <w:rPr>
                <w:sz w:val="20"/>
              </w:rPr>
              <w:t>Políticos:</w:t>
            </w:r>
          </w:p>
          <w:p w14:paraId="3C00B7A5" w14:textId="77777777" w:rsidR="005A31A5" w:rsidRDefault="00AA4FCC">
            <w:pPr>
              <w:pStyle w:val="TableParagraph"/>
              <w:spacing w:line="245" w:lineRule="exact"/>
              <w:ind w:left="109"/>
              <w:rPr>
                <w:sz w:val="20"/>
              </w:rPr>
            </w:pPr>
            <w:r>
              <w:rPr>
                <w:sz w:val="20"/>
              </w:rPr>
              <w:t>[…]</w:t>
            </w:r>
          </w:p>
          <w:p w14:paraId="029215C1" w14:textId="77777777" w:rsidR="005A31A5" w:rsidRDefault="005A31A5">
            <w:pPr>
              <w:pStyle w:val="TableParagraph"/>
              <w:spacing w:before="5"/>
              <w:rPr>
                <w:rFonts w:ascii="Times New Roman"/>
                <w:sz w:val="21"/>
              </w:rPr>
            </w:pPr>
          </w:p>
          <w:p w14:paraId="3959344D" w14:textId="77777777" w:rsidR="005A31A5" w:rsidRDefault="00AA4FCC">
            <w:pPr>
              <w:pStyle w:val="TableParagraph"/>
              <w:spacing w:before="1"/>
              <w:ind w:left="109" w:right="103"/>
              <w:jc w:val="both"/>
              <w:rPr>
                <w:sz w:val="20"/>
              </w:rPr>
            </w:pPr>
            <w:r>
              <w:rPr>
                <w:sz w:val="20"/>
              </w:rPr>
              <w:t>p) Elaborar y someter a consideración de la Comisión de Partidos Políticos, Registro y Prerrogativas los proyectos de reglamento en materia de fiscalización y contabilidad de los recursos de las agrupaciones políticas locales y observadores electorales y los acuerdos que se requieran para el cumplimiento de sus funciones; y</w:t>
            </w:r>
          </w:p>
          <w:p w14:paraId="2E3847BE" w14:textId="77777777" w:rsidR="005A31A5" w:rsidRDefault="00AA4FCC">
            <w:pPr>
              <w:pStyle w:val="TableParagraph"/>
              <w:spacing w:line="244" w:lineRule="exact"/>
              <w:ind w:left="109"/>
              <w:rPr>
                <w:sz w:val="20"/>
              </w:rPr>
            </w:pPr>
            <w:r>
              <w:rPr>
                <w:sz w:val="20"/>
              </w:rPr>
              <w:t>[…]</w:t>
            </w:r>
          </w:p>
        </w:tc>
      </w:tr>
      <w:tr w:rsidR="005A31A5" w14:paraId="7FB8ACB1" w14:textId="77777777">
        <w:trPr>
          <w:trHeight w:val="2697"/>
        </w:trPr>
        <w:tc>
          <w:tcPr>
            <w:tcW w:w="1272" w:type="dxa"/>
          </w:tcPr>
          <w:p w14:paraId="66658D97" w14:textId="77777777" w:rsidR="005A31A5" w:rsidRDefault="00AA4FCC">
            <w:pPr>
              <w:pStyle w:val="TableParagraph"/>
              <w:spacing w:before="110"/>
              <w:ind w:left="467"/>
              <w:rPr>
                <w:b/>
                <w:sz w:val="20"/>
              </w:rPr>
            </w:pPr>
            <w:r>
              <w:rPr>
                <w:b/>
                <w:sz w:val="20"/>
              </w:rPr>
              <w:t>4.</w:t>
            </w:r>
          </w:p>
        </w:tc>
        <w:tc>
          <w:tcPr>
            <w:tcW w:w="2404" w:type="dxa"/>
          </w:tcPr>
          <w:p w14:paraId="60F5CEE4" w14:textId="77777777" w:rsidR="005A31A5" w:rsidRDefault="00AA4FCC">
            <w:pPr>
              <w:pStyle w:val="TableParagraph"/>
              <w:spacing w:before="2"/>
              <w:ind w:left="88" w:right="118"/>
              <w:jc w:val="center"/>
              <w:rPr>
                <w:b/>
                <w:sz w:val="20"/>
              </w:rPr>
            </w:pPr>
            <w:r>
              <w:rPr>
                <w:b/>
                <w:sz w:val="20"/>
              </w:rPr>
              <w:t>BAJA CALIFORNIA SUR</w:t>
            </w:r>
          </w:p>
        </w:tc>
        <w:tc>
          <w:tcPr>
            <w:tcW w:w="3828" w:type="dxa"/>
          </w:tcPr>
          <w:p w14:paraId="510EF664" w14:textId="77777777" w:rsidR="005A31A5" w:rsidRDefault="00C82FA2">
            <w:pPr>
              <w:pStyle w:val="TableParagraph"/>
              <w:spacing w:before="114" w:line="235" w:lineRule="auto"/>
              <w:ind w:left="108" w:right="98"/>
              <w:jc w:val="both"/>
              <w:rPr>
                <w:b/>
                <w:sz w:val="20"/>
              </w:rPr>
            </w:pPr>
            <w:hyperlink r:id="rId16" w:history="1">
              <w:r w:rsidR="00AA4FCC" w:rsidRPr="00AA4FCC">
                <w:rPr>
                  <w:rStyle w:val="Hipervnculo"/>
                  <w:b/>
                  <w:sz w:val="20"/>
                </w:rPr>
                <w:t>Reglamento de Quejas y Denuncias del Instituto Estatal Electoral de Baja California Sur</w:t>
              </w:r>
            </w:hyperlink>
          </w:p>
        </w:tc>
        <w:tc>
          <w:tcPr>
            <w:tcW w:w="9786" w:type="dxa"/>
          </w:tcPr>
          <w:p w14:paraId="460F33F1" w14:textId="77777777" w:rsidR="005A31A5" w:rsidRDefault="00AA4FCC">
            <w:pPr>
              <w:pStyle w:val="TableParagraph"/>
              <w:spacing w:before="2" w:line="245" w:lineRule="exact"/>
              <w:ind w:left="109"/>
              <w:rPr>
                <w:b/>
                <w:sz w:val="20"/>
              </w:rPr>
            </w:pPr>
            <w:r>
              <w:rPr>
                <w:b/>
                <w:sz w:val="20"/>
              </w:rPr>
              <w:t>Artículo 55.- Trámite a cargo de la Secretaría Ejecutiva</w:t>
            </w:r>
          </w:p>
          <w:p w14:paraId="504887AE" w14:textId="77777777" w:rsidR="005A31A5" w:rsidRDefault="00AA4FCC">
            <w:pPr>
              <w:pStyle w:val="TableParagraph"/>
              <w:spacing w:line="245" w:lineRule="exact"/>
              <w:ind w:left="109"/>
              <w:rPr>
                <w:sz w:val="20"/>
              </w:rPr>
            </w:pPr>
            <w:r>
              <w:rPr>
                <w:sz w:val="20"/>
              </w:rPr>
              <w:t>[…]</w:t>
            </w:r>
          </w:p>
          <w:p w14:paraId="098A03F8" w14:textId="77777777" w:rsidR="005A31A5" w:rsidRDefault="005A31A5">
            <w:pPr>
              <w:pStyle w:val="TableParagraph"/>
              <w:spacing w:before="4"/>
              <w:rPr>
                <w:rFonts w:ascii="Times New Roman"/>
                <w:sz w:val="21"/>
              </w:rPr>
            </w:pPr>
          </w:p>
          <w:p w14:paraId="0EC6E7D6" w14:textId="77777777" w:rsidR="005A31A5" w:rsidRDefault="00AA4FCC">
            <w:pPr>
              <w:pStyle w:val="TableParagraph"/>
              <w:ind w:left="109" w:right="97"/>
              <w:jc w:val="both"/>
              <w:rPr>
                <w:sz w:val="20"/>
              </w:rPr>
            </w:pPr>
            <w:r>
              <w:rPr>
                <w:sz w:val="20"/>
              </w:rPr>
              <w:t>Cuando</w:t>
            </w:r>
            <w:r>
              <w:rPr>
                <w:spacing w:val="-7"/>
                <w:sz w:val="20"/>
              </w:rPr>
              <w:t xml:space="preserve"> </w:t>
            </w:r>
            <w:r>
              <w:rPr>
                <w:sz w:val="20"/>
              </w:rPr>
              <w:t>se</w:t>
            </w:r>
            <w:r>
              <w:rPr>
                <w:spacing w:val="-7"/>
                <w:sz w:val="20"/>
              </w:rPr>
              <w:t xml:space="preserve"> </w:t>
            </w:r>
            <w:r>
              <w:rPr>
                <w:sz w:val="20"/>
              </w:rPr>
              <w:t>denuncie</w:t>
            </w:r>
            <w:r>
              <w:rPr>
                <w:spacing w:val="-6"/>
                <w:sz w:val="20"/>
              </w:rPr>
              <w:t xml:space="preserve"> </w:t>
            </w:r>
            <w:r>
              <w:rPr>
                <w:sz w:val="20"/>
              </w:rPr>
              <w:t>o</w:t>
            </w:r>
            <w:r>
              <w:rPr>
                <w:spacing w:val="-4"/>
                <w:sz w:val="20"/>
              </w:rPr>
              <w:t xml:space="preserve"> </w:t>
            </w:r>
            <w:r>
              <w:rPr>
                <w:sz w:val="20"/>
              </w:rPr>
              <w:t>se</w:t>
            </w:r>
            <w:r>
              <w:rPr>
                <w:spacing w:val="-4"/>
                <w:sz w:val="20"/>
              </w:rPr>
              <w:t xml:space="preserve"> </w:t>
            </w:r>
            <w:r>
              <w:rPr>
                <w:sz w:val="20"/>
              </w:rPr>
              <w:t>presuma</w:t>
            </w:r>
            <w:r>
              <w:rPr>
                <w:spacing w:val="-5"/>
                <w:sz w:val="20"/>
              </w:rPr>
              <w:t xml:space="preserve"> </w:t>
            </w:r>
            <w:r>
              <w:rPr>
                <w:sz w:val="20"/>
              </w:rPr>
              <w:t>la</w:t>
            </w:r>
            <w:r>
              <w:rPr>
                <w:spacing w:val="-5"/>
                <w:sz w:val="20"/>
              </w:rPr>
              <w:t xml:space="preserve"> </w:t>
            </w:r>
            <w:r>
              <w:rPr>
                <w:sz w:val="20"/>
              </w:rPr>
              <w:t>comisión</w:t>
            </w:r>
            <w:r>
              <w:rPr>
                <w:spacing w:val="-6"/>
                <w:sz w:val="20"/>
              </w:rPr>
              <w:t xml:space="preserve"> </w:t>
            </w:r>
            <w:r>
              <w:rPr>
                <w:sz w:val="20"/>
              </w:rPr>
              <w:t>de</w:t>
            </w:r>
            <w:r>
              <w:rPr>
                <w:spacing w:val="-6"/>
                <w:sz w:val="20"/>
              </w:rPr>
              <w:t xml:space="preserve"> </w:t>
            </w:r>
            <w:r>
              <w:rPr>
                <w:sz w:val="20"/>
              </w:rPr>
              <w:t>infracciones</w:t>
            </w:r>
            <w:r>
              <w:rPr>
                <w:spacing w:val="-6"/>
                <w:sz w:val="20"/>
              </w:rPr>
              <w:t xml:space="preserve"> </w:t>
            </w:r>
            <w:r>
              <w:rPr>
                <w:sz w:val="20"/>
              </w:rPr>
              <w:t>a</w:t>
            </w:r>
            <w:r>
              <w:rPr>
                <w:spacing w:val="-5"/>
                <w:sz w:val="20"/>
              </w:rPr>
              <w:t xml:space="preserve"> </w:t>
            </w:r>
            <w:r>
              <w:rPr>
                <w:sz w:val="20"/>
              </w:rPr>
              <w:t>la</w:t>
            </w:r>
            <w:r>
              <w:rPr>
                <w:spacing w:val="-5"/>
                <w:sz w:val="20"/>
              </w:rPr>
              <w:t xml:space="preserve"> </w:t>
            </w:r>
            <w:r>
              <w:rPr>
                <w:sz w:val="20"/>
              </w:rPr>
              <w:t>normativa</w:t>
            </w:r>
            <w:r>
              <w:rPr>
                <w:spacing w:val="-5"/>
                <w:sz w:val="20"/>
              </w:rPr>
              <w:t xml:space="preserve"> </w:t>
            </w:r>
            <w:r>
              <w:rPr>
                <w:sz w:val="20"/>
              </w:rPr>
              <w:t>electoral</w:t>
            </w:r>
            <w:r>
              <w:rPr>
                <w:spacing w:val="-5"/>
                <w:sz w:val="20"/>
              </w:rPr>
              <w:t xml:space="preserve"> </w:t>
            </w:r>
            <w:r>
              <w:rPr>
                <w:sz w:val="20"/>
              </w:rPr>
              <w:t>cometidas por los sujetos referidos en el artículo anterior, la Dirección de Quejas integrará un expediente que será remitido al superior jerárquico de la autoridad infractora, para que éste proceda en los términos de Ley; El superior jerárquico deberá comunicar al Instituto las medidas que haya adoptado en el caso. En caso de que la autoridad infractora no tuviese superior jerárquico, el requerimiento será turnado al órgano Superior de Fiscalización, a fin de que se proceda en los términos de las Leyes</w:t>
            </w:r>
            <w:r>
              <w:rPr>
                <w:spacing w:val="-5"/>
                <w:sz w:val="20"/>
              </w:rPr>
              <w:t xml:space="preserve"> </w:t>
            </w:r>
            <w:r>
              <w:rPr>
                <w:sz w:val="20"/>
              </w:rPr>
              <w:t>aplicables.</w:t>
            </w:r>
          </w:p>
        </w:tc>
      </w:tr>
    </w:tbl>
    <w:p w14:paraId="6AC60C17" w14:textId="77777777" w:rsidR="005A31A5" w:rsidRDefault="005A31A5">
      <w:pPr>
        <w:jc w:val="both"/>
        <w:rPr>
          <w:sz w:val="20"/>
        </w:rPr>
        <w:sectPr w:rsidR="005A31A5">
          <w:pgSz w:w="20160" w:h="12240" w:orient="landscape"/>
          <w:pgMar w:top="1120" w:right="1320" w:bottom="280" w:left="1320" w:header="885" w:footer="0" w:gutter="0"/>
          <w:cols w:space="720"/>
        </w:sectPr>
      </w:pPr>
    </w:p>
    <w:p w14:paraId="4ACAD00E" w14:textId="77777777" w:rsidR="005A31A5" w:rsidRDefault="00AA4FCC">
      <w:pPr>
        <w:pStyle w:val="Textoindependiente"/>
        <w:rPr>
          <w:rFonts w:ascii="Times New Roman"/>
          <w:b w:val="0"/>
          <w:i w:val="0"/>
          <w:sz w:val="20"/>
        </w:rPr>
      </w:pPr>
      <w:r>
        <w:rPr>
          <w:noProof/>
        </w:rPr>
        <w:lastRenderedPageBreak/>
        <w:drawing>
          <wp:anchor distT="0" distB="0" distL="0" distR="0" simplePos="0" relativeHeight="251661312" behindDoc="0" locked="0" layoutInCell="1" allowOverlap="1" wp14:anchorId="2BBA44CF" wp14:editId="23EE7239">
            <wp:simplePos x="0" y="0"/>
            <wp:positionH relativeFrom="page">
              <wp:posOffset>1052604</wp:posOffset>
            </wp:positionH>
            <wp:positionV relativeFrom="page">
              <wp:posOffset>567385</wp:posOffset>
            </wp:positionV>
            <wp:extent cx="1040838" cy="1001344"/>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6" cstate="print"/>
                    <a:stretch>
                      <a:fillRect/>
                    </a:stretch>
                  </pic:blipFill>
                  <pic:spPr>
                    <a:xfrm>
                      <a:off x="0" y="0"/>
                      <a:ext cx="1040838" cy="1001344"/>
                    </a:xfrm>
                    <a:prstGeom prst="rect">
                      <a:avLst/>
                    </a:prstGeom>
                  </pic:spPr>
                </pic:pic>
              </a:graphicData>
            </a:graphic>
          </wp:anchor>
        </w:drawing>
      </w:r>
    </w:p>
    <w:p w14:paraId="619C931C" w14:textId="77777777" w:rsidR="005A31A5" w:rsidRDefault="005A31A5">
      <w:pPr>
        <w:pStyle w:val="Textoindependiente"/>
        <w:rPr>
          <w:rFonts w:ascii="Times New Roman"/>
          <w:b w:val="0"/>
          <w:i w:val="0"/>
          <w:sz w:val="20"/>
        </w:rPr>
      </w:pPr>
    </w:p>
    <w:p w14:paraId="4EC473D6" w14:textId="77777777" w:rsidR="005A31A5" w:rsidRDefault="005A31A5">
      <w:pPr>
        <w:pStyle w:val="Textoindependiente"/>
        <w:rPr>
          <w:rFonts w:ascii="Times New Roman"/>
          <w:b w:val="0"/>
          <w:i w:val="0"/>
          <w:sz w:val="20"/>
        </w:rPr>
      </w:pPr>
    </w:p>
    <w:p w14:paraId="619CAA56" w14:textId="77777777" w:rsidR="005A31A5" w:rsidRDefault="005A31A5">
      <w:pPr>
        <w:pStyle w:val="Textoindependiente"/>
        <w:rPr>
          <w:rFonts w:ascii="Times New Roman"/>
          <w:b w:val="0"/>
          <w:i w:val="0"/>
          <w:sz w:val="20"/>
        </w:rPr>
      </w:pPr>
    </w:p>
    <w:p w14:paraId="523F9E07" w14:textId="77777777" w:rsidR="005A31A5" w:rsidRDefault="005A31A5">
      <w:pPr>
        <w:pStyle w:val="Textoindependiente"/>
        <w:rPr>
          <w:rFonts w:ascii="Times New Roman"/>
          <w:b w:val="0"/>
          <w:i w:val="0"/>
          <w:sz w:val="20"/>
        </w:rPr>
      </w:pPr>
    </w:p>
    <w:p w14:paraId="6D9E44E3" w14:textId="77777777" w:rsidR="005A31A5" w:rsidRDefault="005A31A5">
      <w:pPr>
        <w:pStyle w:val="Textoindependiente"/>
        <w:rPr>
          <w:rFonts w:ascii="Times New Roman"/>
          <w:b w:val="0"/>
          <w:i w:val="0"/>
          <w:sz w:val="20"/>
        </w:rPr>
      </w:pPr>
    </w:p>
    <w:p w14:paraId="6BC5AA34" w14:textId="77777777" w:rsidR="005A31A5" w:rsidRDefault="005A31A5">
      <w:pPr>
        <w:pStyle w:val="Textoindependiente"/>
        <w:spacing w:before="10"/>
        <w:rPr>
          <w:rFonts w:ascii="Times New Roman"/>
          <w:b w:val="0"/>
          <w:i w:val="0"/>
          <w:sz w:val="27"/>
        </w:rPr>
      </w:pPr>
    </w:p>
    <w:tbl>
      <w:tblPr>
        <w:tblStyle w:val="TableNormal"/>
        <w:tblW w:w="0" w:type="auto"/>
        <w:tblInd w:w="12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1272"/>
        <w:gridCol w:w="2404"/>
        <w:gridCol w:w="3828"/>
        <w:gridCol w:w="9786"/>
      </w:tblGrid>
      <w:tr w:rsidR="005A31A5" w14:paraId="41B50D50" w14:textId="77777777">
        <w:trPr>
          <w:trHeight w:val="479"/>
        </w:trPr>
        <w:tc>
          <w:tcPr>
            <w:tcW w:w="1272" w:type="dxa"/>
            <w:shd w:val="clear" w:color="auto" w:fill="76923B"/>
          </w:tcPr>
          <w:p w14:paraId="191F82E8" w14:textId="77777777" w:rsidR="005A31A5" w:rsidRDefault="005A31A5">
            <w:pPr>
              <w:pStyle w:val="TableParagraph"/>
              <w:rPr>
                <w:rFonts w:ascii="Times New Roman"/>
                <w:sz w:val="18"/>
              </w:rPr>
            </w:pPr>
          </w:p>
        </w:tc>
        <w:tc>
          <w:tcPr>
            <w:tcW w:w="2404" w:type="dxa"/>
            <w:shd w:val="clear" w:color="auto" w:fill="76923B"/>
          </w:tcPr>
          <w:p w14:paraId="68EDB50D" w14:textId="77777777" w:rsidR="005A31A5" w:rsidRDefault="00AA4FCC">
            <w:pPr>
              <w:pStyle w:val="TableParagraph"/>
              <w:spacing w:before="110"/>
              <w:ind w:left="88" w:right="80"/>
              <w:jc w:val="center"/>
              <w:rPr>
                <w:b/>
                <w:sz w:val="20"/>
              </w:rPr>
            </w:pPr>
            <w:r>
              <w:rPr>
                <w:b/>
                <w:color w:val="FFFFFF"/>
                <w:sz w:val="20"/>
              </w:rPr>
              <w:t>ESTADO</w:t>
            </w:r>
          </w:p>
        </w:tc>
        <w:tc>
          <w:tcPr>
            <w:tcW w:w="3828" w:type="dxa"/>
            <w:shd w:val="clear" w:color="auto" w:fill="76923B"/>
          </w:tcPr>
          <w:p w14:paraId="0247AB76" w14:textId="77777777" w:rsidR="005A31A5" w:rsidRDefault="00AA4FCC">
            <w:pPr>
              <w:pStyle w:val="TableParagraph"/>
              <w:spacing w:before="110"/>
              <w:ind w:left="1735" w:right="1726"/>
              <w:jc w:val="center"/>
              <w:rPr>
                <w:b/>
                <w:sz w:val="20"/>
              </w:rPr>
            </w:pPr>
            <w:r>
              <w:rPr>
                <w:b/>
                <w:color w:val="FFFFFF"/>
                <w:sz w:val="20"/>
              </w:rPr>
              <w:t>LEY</w:t>
            </w:r>
          </w:p>
        </w:tc>
        <w:tc>
          <w:tcPr>
            <w:tcW w:w="9786" w:type="dxa"/>
            <w:shd w:val="clear" w:color="auto" w:fill="76923B"/>
          </w:tcPr>
          <w:p w14:paraId="12898B63" w14:textId="77777777" w:rsidR="005A31A5" w:rsidRDefault="00AA4FCC">
            <w:pPr>
              <w:pStyle w:val="TableParagraph"/>
              <w:spacing w:before="110"/>
              <w:ind w:left="3512" w:right="3504"/>
              <w:jc w:val="center"/>
              <w:rPr>
                <w:b/>
                <w:sz w:val="20"/>
              </w:rPr>
            </w:pPr>
            <w:r>
              <w:rPr>
                <w:b/>
                <w:color w:val="FFFFFF"/>
                <w:sz w:val="20"/>
              </w:rPr>
              <w:t>ARTÍCULO (TRANSCRIPCIÓN)</w:t>
            </w:r>
          </w:p>
        </w:tc>
      </w:tr>
      <w:tr w:rsidR="005A31A5" w14:paraId="6D580AAF" w14:textId="77777777" w:rsidTr="00980493">
        <w:trPr>
          <w:trHeight w:val="2208"/>
        </w:trPr>
        <w:tc>
          <w:tcPr>
            <w:tcW w:w="1272" w:type="dxa"/>
            <w:shd w:val="clear" w:color="auto" w:fill="auto"/>
          </w:tcPr>
          <w:p w14:paraId="59CC9751" w14:textId="77777777" w:rsidR="005A31A5" w:rsidRDefault="00AA4FCC">
            <w:pPr>
              <w:pStyle w:val="TableParagraph"/>
              <w:spacing w:before="110"/>
              <w:ind w:left="467"/>
              <w:rPr>
                <w:b/>
                <w:sz w:val="20"/>
              </w:rPr>
            </w:pPr>
            <w:r>
              <w:rPr>
                <w:b/>
                <w:sz w:val="20"/>
              </w:rPr>
              <w:t>5.</w:t>
            </w:r>
          </w:p>
        </w:tc>
        <w:tc>
          <w:tcPr>
            <w:tcW w:w="2404" w:type="dxa"/>
            <w:shd w:val="clear" w:color="auto" w:fill="auto"/>
          </w:tcPr>
          <w:p w14:paraId="18D5F5CA" w14:textId="77777777" w:rsidR="005A31A5" w:rsidRDefault="00AA4FCC">
            <w:pPr>
              <w:pStyle w:val="TableParagraph"/>
              <w:spacing w:before="2"/>
              <w:ind w:left="88" w:right="118"/>
              <w:jc w:val="center"/>
              <w:rPr>
                <w:b/>
                <w:sz w:val="20"/>
              </w:rPr>
            </w:pPr>
            <w:r>
              <w:rPr>
                <w:b/>
                <w:sz w:val="20"/>
              </w:rPr>
              <w:t>BAJA CALIFORNIA SUR</w:t>
            </w:r>
          </w:p>
        </w:tc>
        <w:tc>
          <w:tcPr>
            <w:tcW w:w="3828" w:type="dxa"/>
            <w:shd w:val="clear" w:color="auto" w:fill="auto"/>
          </w:tcPr>
          <w:p w14:paraId="6343076B" w14:textId="77777777" w:rsidR="005A31A5" w:rsidRDefault="00C82FA2">
            <w:pPr>
              <w:pStyle w:val="TableParagraph"/>
              <w:spacing w:before="114" w:line="235" w:lineRule="auto"/>
              <w:ind w:left="108" w:right="96"/>
              <w:jc w:val="both"/>
              <w:rPr>
                <w:b/>
                <w:sz w:val="20"/>
              </w:rPr>
            </w:pPr>
            <w:hyperlink r:id="rId17" w:history="1">
              <w:r w:rsidR="00AA4FCC" w:rsidRPr="00AA4FCC">
                <w:rPr>
                  <w:rStyle w:val="Hipervnculo"/>
                  <w:b/>
                  <w:sz w:val="20"/>
                </w:rPr>
                <w:t>Reglamento para el registro de candidatos a cargos de elección popular</w:t>
              </w:r>
            </w:hyperlink>
          </w:p>
        </w:tc>
        <w:tc>
          <w:tcPr>
            <w:tcW w:w="9786" w:type="dxa"/>
            <w:shd w:val="clear" w:color="auto" w:fill="auto"/>
          </w:tcPr>
          <w:p w14:paraId="1D808730" w14:textId="77777777" w:rsidR="005A31A5" w:rsidRDefault="00AA4FCC">
            <w:pPr>
              <w:pStyle w:val="TableParagraph"/>
              <w:spacing w:before="2"/>
              <w:ind w:left="109" w:right="94"/>
              <w:jc w:val="both"/>
              <w:rPr>
                <w:sz w:val="20"/>
              </w:rPr>
            </w:pPr>
            <w:r>
              <w:rPr>
                <w:b/>
                <w:sz w:val="20"/>
              </w:rPr>
              <w:t xml:space="preserve">Artículo 42. </w:t>
            </w:r>
            <w:r>
              <w:rPr>
                <w:sz w:val="20"/>
              </w:rPr>
              <w:t>La solicitud de registro deberá presentarse conforme a los modelos aprobados por el Consejo General, debidamente firmada por el solicitante e ir acompañada de los siguientes documentos:</w:t>
            </w:r>
          </w:p>
          <w:p w14:paraId="66CF04D1" w14:textId="77777777" w:rsidR="005A31A5" w:rsidRDefault="00AA4FCC">
            <w:pPr>
              <w:pStyle w:val="TableParagraph"/>
              <w:spacing w:before="2"/>
              <w:ind w:left="109"/>
              <w:rPr>
                <w:sz w:val="20"/>
              </w:rPr>
            </w:pPr>
            <w:r>
              <w:rPr>
                <w:sz w:val="20"/>
              </w:rPr>
              <w:t>[…]</w:t>
            </w:r>
          </w:p>
          <w:p w14:paraId="2EF8B199" w14:textId="77777777" w:rsidR="005A31A5" w:rsidRDefault="005A31A5">
            <w:pPr>
              <w:pStyle w:val="TableParagraph"/>
              <w:spacing w:before="3"/>
              <w:rPr>
                <w:rFonts w:ascii="Times New Roman"/>
                <w:sz w:val="21"/>
              </w:rPr>
            </w:pPr>
          </w:p>
          <w:p w14:paraId="15C21519" w14:textId="77777777" w:rsidR="005A31A5" w:rsidRDefault="00AA4FCC">
            <w:pPr>
              <w:pStyle w:val="TableParagraph"/>
              <w:ind w:left="109"/>
              <w:rPr>
                <w:sz w:val="20"/>
              </w:rPr>
            </w:pPr>
            <w:r>
              <w:rPr>
                <w:sz w:val="20"/>
              </w:rPr>
              <w:t xml:space="preserve">VIII. Escrito en el que manifieste su conformidad para que todos los ingresos y egresos de la cuenta bancaria </w:t>
            </w:r>
            <w:proofErr w:type="spellStart"/>
            <w:r>
              <w:rPr>
                <w:sz w:val="20"/>
              </w:rPr>
              <w:t>aperturada</w:t>
            </w:r>
            <w:proofErr w:type="spellEnd"/>
            <w:r>
              <w:rPr>
                <w:sz w:val="20"/>
              </w:rPr>
              <w:t xml:space="preserve"> sean fiscalizados, en cualquier momento, por el Instituto.</w:t>
            </w:r>
          </w:p>
          <w:p w14:paraId="51B023BE" w14:textId="77777777" w:rsidR="005A31A5" w:rsidRDefault="00AA4FCC">
            <w:pPr>
              <w:pStyle w:val="TableParagraph"/>
              <w:spacing w:line="244" w:lineRule="exact"/>
              <w:ind w:left="109"/>
              <w:rPr>
                <w:sz w:val="20"/>
              </w:rPr>
            </w:pPr>
            <w:r>
              <w:rPr>
                <w:sz w:val="20"/>
              </w:rPr>
              <w:t>[…]</w:t>
            </w:r>
          </w:p>
        </w:tc>
      </w:tr>
      <w:tr w:rsidR="005A31A5" w14:paraId="300292C7" w14:textId="77777777">
        <w:trPr>
          <w:trHeight w:val="1200"/>
        </w:trPr>
        <w:tc>
          <w:tcPr>
            <w:tcW w:w="1272" w:type="dxa"/>
          </w:tcPr>
          <w:p w14:paraId="659ED388" w14:textId="77777777" w:rsidR="005A31A5" w:rsidRDefault="00AA4FCC">
            <w:pPr>
              <w:pStyle w:val="TableParagraph"/>
              <w:spacing w:before="110"/>
              <w:ind w:left="467"/>
              <w:rPr>
                <w:b/>
                <w:sz w:val="20"/>
              </w:rPr>
            </w:pPr>
            <w:r>
              <w:rPr>
                <w:b/>
                <w:sz w:val="20"/>
              </w:rPr>
              <w:t>6.</w:t>
            </w:r>
          </w:p>
        </w:tc>
        <w:tc>
          <w:tcPr>
            <w:tcW w:w="2404" w:type="dxa"/>
          </w:tcPr>
          <w:p w14:paraId="19260145" w14:textId="77777777" w:rsidR="005A31A5" w:rsidRDefault="00AA4FCC">
            <w:pPr>
              <w:pStyle w:val="TableParagraph"/>
              <w:spacing w:before="2"/>
              <w:ind w:left="88" w:right="118"/>
              <w:jc w:val="center"/>
              <w:rPr>
                <w:b/>
                <w:sz w:val="20"/>
              </w:rPr>
            </w:pPr>
            <w:r>
              <w:rPr>
                <w:b/>
                <w:sz w:val="20"/>
              </w:rPr>
              <w:t>BAJA CALIFORNIA SUR</w:t>
            </w:r>
          </w:p>
        </w:tc>
        <w:tc>
          <w:tcPr>
            <w:tcW w:w="3828" w:type="dxa"/>
          </w:tcPr>
          <w:p w14:paraId="620B6704" w14:textId="77777777" w:rsidR="005A31A5" w:rsidRDefault="00C82FA2">
            <w:pPr>
              <w:pStyle w:val="TableParagraph"/>
              <w:spacing w:before="114" w:line="235" w:lineRule="auto"/>
              <w:ind w:left="108" w:right="99"/>
              <w:jc w:val="both"/>
              <w:rPr>
                <w:b/>
                <w:sz w:val="20"/>
              </w:rPr>
            </w:pPr>
            <w:hyperlink r:id="rId18" w:history="1">
              <w:r w:rsidR="00AA4FCC" w:rsidRPr="00AA4FCC">
                <w:rPr>
                  <w:rStyle w:val="Hipervnculo"/>
                  <w:b/>
                  <w:sz w:val="20"/>
                </w:rPr>
                <w:t xml:space="preserve">Reglamento para la constitución, registro y participación de candidaturas comunes del </w:t>
              </w:r>
              <w:proofErr w:type="gramStart"/>
              <w:r w:rsidR="00AA4FCC" w:rsidRPr="00AA4FCC">
                <w:rPr>
                  <w:rStyle w:val="Hipervnculo"/>
                  <w:b/>
                  <w:sz w:val="20"/>
                </w:rPr>
                <w:t xml:space="preserve">Estado </w:t>
              </w:r>
              <w:r w:rsidR="00AA4FCC" w:rsidRPr="00AA4FCC">
                <w:rPr>
                  <w:rStyle w:val="Hipervnculo"/>
                  <w:b/>
                  <w:spacing w:val="-36"/>
                  <w:sz w:val="20"/>
                </w:rPr>
                <w:t xml:space="preserve"> </w:t>
              </w:r>
              <w:r w:rsidR="00AA4FCC" w:rsidRPr="00AA4FCC">
                <w:rPr>
                  <w:rStyle w:val="Hipervnculo"/>
                  <w:b/>
                  <w:sz w:val="20"/>
                </w:rPr>
                <w:t>de</w:t>
              </w:r>
              <w:proofErr w:type="gramEnd"/>
              <w:r w:rsidR="00AA4FCC" w:rsidRPr="00AA4FCC">
                <w:rPr>
                  <w:rStyle w:val="Hipervnculo"/>
                  <w:b/>
                  <w:sz w:val="20"/>
                </w:rPr>
                <w:t xml:space="preserve"> Baja California</w:t>
              </w:r>
              <w:r w:rsidR="00AA4FCC" w:rsidRPr="00AA4FCC">
                <w:rPr>
                  <w:rStyle w:val="Hipervnculo"/>
                  <w:b/>
                  <w:spacing w:val="-2"/>
                  <w:sz w:val="20"/>
                </w:rPr>
                <w:t xml:space="preserve"> </w:t>
              </w:r>
              <w:r w:rsidR="00AA4FCC" w:rsidRPr="00AA4FCC">
                <w:rPr>
                  <w:rStyle w:val="Hipervnculo"/>
                  <w:b/>
                  <w:sz w:val="20"/>
                </w:rPr>
                <w:t>Sur</w:t>
              </w:r>
            </w:hyperlink>
          </w:p>
        </w:tc>
        <w:tc>
          <w:tcPr>
            <w:tcW w:w="9786" w:type="dxa"/>
          </w:tcPr>
          <w:p w14:paraId="6A7BF212" w14:textId="77777777" w:rsidR="005A31A5" w:rsidRDefault="00AA4FCC">
            <w:pPr>
              <w:pStyle w:val="TableParagraph"/>
              <w:spacing w:before="2"/>
              <w:ind w:left="109" w:right="238"/>
              <w:jc w:val="both"/>
              <w:rPr>
                <w:sz w:val="20"/>
              </w:rPr>
            </w:pPr>
            <w:r>
              <w:rPr>
                <w:b/>
                <w:sz w:val="20"/>
              </w:rPr>
              <w:t xml:space="preserve">ARTÍCULO 30. </w:t>
            </w:r>
            <w:r>
              <w:rPr>
                <w:sz w:val="20"/>
              </w:rPr>
              <w:t>Tratándose de Candidaturas Comunes, para efectos administrativos y de rendición de cuentas se seguirán en lo aplicable, las reglas establecidas en el Reglamento de Fiscalización del Instituto Nacional Electoral.</w:t>
            </w:r>
          </w:p>
        </w:tc>
      </w:tr>
    </w:tbl>
    <w:p w14:paraId="6DC5A7E5" w14:textId="77777777" w:rsidR="00A42845" w:rsidRDefault="00A42845"/>
    <w:sectPr w:rsidR="00A42845">
      <w:pgSz w:w="20160" w:h="12240" w:orient="landscape"/>
      <w:pgMar w:top="1120" w:right="1320" w:bottom="280" w:left="1320" w:header="88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8FC6BD" w14:textId="77777777" w:rsidR="00C82FA2" w:rsidRDefault="00C82FA2">
      <w:r>
        <w:separator/>
      </w:r>
    </w:p>
  </w:endnote>
  <w:endnote w:type="continuationSeparator" w:id="0">
    <w:p w14:paraId="72C1BCC6" w14:textId="77777777" w:rsidR="00C82FA2" w:rsidRDefault="00C82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ADD46A" w14:textId="77777777" w:rsidR="00DD1C5A" w:rsidRDefault="00DD1C5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43EA13" w14:textId="77777777" w:rsidR="00DD1C5A" w:rsidRDefault="00DD1C5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9B34E5" w14:textId="77777777" w:rsidR="00DD1C5A" w:rsidRDefault="00DD1C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A25760" w14:textId="77777777" w:rsidR="00C82FA2" w:rsidRDefault="00C82FA2">
      <w:r>
        <w:separator/>
      </w:r>
    </w:p>
  </w:footnote>
  <w:footnote w:type="continuationSeparator" w:id="0">
    <w:p w14:paraId="00A452D6" w14:textId="77777777" w:rsidR="00C82FA2" w:rsidRDefault="00C82F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0BC81" w14:textId="77777777" w:rsidR="00DD1C5A" w:rsidRDefault="00DD1C5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FBC9CA" w14:textId="77777777" w:rsidR="005A31A5" w:rsidRDefault="00D0625F">
    <w:pPr>
      <w:pStyle w:val="Textoindependiente"/>
      <w:spacing w:line="14" w:lineRule="auto"/>
      <w:rPr>
        <w:b w:val="0"/>
        <w:i w:val="0"/>
        <w:sz w:val="20"/>
      </w:rPr>
    </w:pPr>
    <w:r>
      <w:rPr>
        <w:noProof/>
      </w:rPr>
      <mc:AlternateContent>
        <mc:Choice Requires="wps">
          <w:drawing>
            <wp:anchor distT="0" distB="0" distL="114300" distR="114300" simplePos="0" relativeHeight="251657728" behindDoc="1" locked="0" layoutInCell="1" allowOverlap="1" wp14:anchorId="0427C941" wp14:editId="06A504A2">
              <wp:simplePos x="0" y="0"/>
              <wp:positionH relativeFrom="page">
                <wp:posOffset>7324725</wp:posOffset>
              </wp:positionH>
              <wp:positionV relativeFrom="page">
                <wp:posOffset>552450</wp:posOffset>
              </wp:positionV>
              <wp:extent cx="4498340" cy="182245"/>
              <wp:effectExtent l="0" t="0" r="16510" b="825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83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BF4322" w14:textId="346B1403" w:rsidR="005A31A5" w:rsidRDefault="00DD1C5A">
                          <w:pPr>
                            <w:pStyle w:val="Textoindependiente"/>
                            <w:spacing w:before="13"/>
                            <w:ind w:left="20"/>
                          </w:pPr>
                          <w:r>
                            <w:rPr>
                              <w:sz w:val="22"/>
                            </w:rPr>
                            <w:t>D</w:t>
                          </w:r>
                          <w:r>
                            <w:t xml:space="preserve">IRECCIÓN </w:t>
                          </w:r>
                          <w:r>
                            <w:rPr>
                              <w:sz w:val="22"/>
                            </w:rPr>
                            <w:t>G</w:t>
                          </w:r>
                          <w:r>
                            <w:t>ENERAL</w:t>
                          </w:r>
                          <w:r w:rsidR="00AA4FCC">
                            <w:t xml:space="preserve"> DE </w:t>
                          </w:r>
                          <w:r w:rsidR="00AA4FCC">
                            <w:rPr>
                              <w:sz w:val="22"/>
                            </w:rPr>
                            <w:t>J</w:t>
                          </w:r>
                          <w:r w:rsidR="00AA4FCC">
                            <w:t>URISPRUDENCIA</w:t>
                          </w:r>
                          <w:r w:rsidR="00AA4FCC">
                            <w:rPr>
                              <w:sz w:val="22"/>
                            </w:rPr>
                            <w:t xml:space="preserve">, </w:t>
                          </w:r>
                          <w:r w:rsidR="00AA4FCC">
                            <w:t xml:space="preserve">SEGUIMIENTO Y </w:t>
                          </w:r>
                          <w:r w:rsidRPr="00DD1C5A">
                            <w:rPr>
                              <w:sz w:val="20"/>
                              <w:szCs w:val="20"/>
                            </w:rPr>
                            <w:t>C</w:t>
                          </w:r>
                          <w:r w:rsidR="00AA4FCC">
                            <w:t>ONSULTA</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27C941" id="_x0000_t202" coordsize="21600,21600" o:spt="202" path="m,l,21600r21600,l21600,xe">
              <v:stroke joinstyle="miter"/>
              <v:path gradientshapeok="t" o:connecttype="rect"/>
            </v:shapetype>
            <v:shape id="Text Box 1" o:spid="_x0000_s1026" type="#_x0000_t202" style="position:absolute;margin-left:576.75pt;margin-top:43.5pt;width:354.2pt;height:14.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" filled="f" stroked="f">
              <v:textbox inset="0,0,0,0">
                <w:txbxContent>
                  <w:p w14:paraId="5DBF4322" w14:textId="346B1403" w:rsidR="005A31A5" w:rsidRDefault="00DD1C5A">
                    <w:pPr>
                      <w:pStyle w:val="Textoindependiente"/>
                      <w:spacing w:before="13"/>
                      <w:ind w:left="20"/>
                    </w:pPr>
                    <w:r>
                      <w:rPr>
                        <w:sz w:val="22"/>
                      </w:rPr>
                      <w:t>D</w:t>
                    </w:r>
                    <w:r>
                      <w:t xml:space="preserve">IRECCIÓN </w:t>
                    </w:r>
                    <w:r>
                      <w:rPr>
                        <w:sz w:val="22"/>
                      </w:rPr>
                      <w:t>G</w:t>
                    </w:r>
                    <w:r>
                      <w:t>ENERAL</w:t>
                    </w:r>
                    <w:r w:rsidR="00AA4FCC">
                      <w:t xml:space="preserve"> DE </w:t>
                    </w:r>
                    <w:r w:rsidR="00AA4FCC">
                      <w:rPr>
                        <w:sz w:val="22"/>
                      </w:rPr>
                      <w:t>J</w:t>
                    </w:r>
                    <w:r w:rsidR="00AA4FCC">
                      <w:t>URISPRUDENCIA</w:t>
                    </w:r>
                    <w:r w:rsidR="00AA4FCC">
                      <w:rPr>
                        <w:sz w:val="22"/>
                      </w:rPr>
                      <w:t xml:space="preserve">, </w:t>
                    </w:r>
                    <w:r w:rsidR="00AA4FCC">
                      <w:t xml:space="preserve">SEGUIMIENTO Y </w:t>
                    </w:r>
                    <w:r w:rsidRPr="00DD1C5A">
                      <w:rPr>
                        <w:sz w:val="20"/>
                        <w:szCs w:val="20"/>
                      </w:rPr>
                      <w:t>C</w:t>
                    </w:r>
                    <w:r w:rsidR="00AA4FCC">
                      <w:t>ONSULTA</w:t>
                    </w:r>
                    <w:r>
                      <w: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E8218" w14:textId="77777777" w:rsidR="00DD1C5A" w:rsidRDefault="00DD1C5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1A5"/>
    <w:rsid w:val="00324F1C"/>
    <w:rsid w:val="005A31A5"/>
    <w:rsid w:val="00980493"/>
    <w:rsid w:val="00A42845"/>
    <w:rsid w:val="00AA4FCC"/>
    <w:rsid w:val="00C82FA2"/>
    <w:rsid w:val="00D0625F"/>
    <w:rsid w:val="00DD1C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C1443F"/>
  <w15:docId w15:val="{090E223B-4A56-471E-9ED9-EA3CE183C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lang w:val="es-MX" w:eastAsia="es-MX" w:bidi="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rFonts w:ascii="Arial" w:eastAsia="Arial" w:hAnsi="Arial" w:cs="Arial"/>
      <w:b/>
      <w:bCs/>
      <w:i/>
      <w:sz w:val="18"/>
      <w:szCs w:val="18"/>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324F1C"/>
    <w:rPr>
      <w:color w:val="0000FF" w:themeColor="hyperlink"/>
      <w:u w:val="single"/>
    </w:rPr>
  </w:style>
  <w:style w:type="character" w:styleId="Mencinsinresolver">
    <w:name w:val="Unresolved Mention"/>
    <w:basedOn w:val="Fuentedeprrafopredeter"/>
    <w:uiPriority w:val="99"/>
    <w:semiHidden/>
    <w:unhideWhenUsed/>
    <w:rsid w:val="00324F1C"/>
    <w:rPr>
      <w:color w:val="605E5C"/>
      <w:shd w:val="clear" w:color="auto" w:fill="E1DFDD"/>
    </w:rPr>
  </w:style>
  <w:style w:type="character" w:styleId="Hipervnculovisitado">
    <w:name w:val="FollowedHyperlink"/>
    <w:basedOn w:val="Fuentedeprrafopredeter"/>
    <w:uiPriority w:val="99"/>
    <w:semiHidden/>
    <w:unhideWhenUsed/>
    <w:rsid w:val="00324F1C"/>
    <w:rPr>
      <w:color w:val="800080" w:themeColor="followedHyperlink"/>
      <w:u w:val="single"/>
    </w:rPr>
  </w:style>
  <w:style w:type="paragraph" w:styleId="Encabezado">
    <w:name w:val="header"/>
    <w:basedOn w:val="Normal"/>
    <w:link w:val="EncabezadoCar"/>
    <w:uiPriority w:val="99"/>
    <w:unhideWhenUsed/>
    <w:rsid w:val="00DD1C5A"/>
    <w:pPr>
      <w:tabs>
        <w:tab w:val="center" w:pos="4419"/>
        <w:tab w:val="right" w:pos="8838"/>
      </w:tabs>
    </w:pPr>
  </w:style>
  <w:style w:type="character" w:customStyle="1" w:styleId="EncabezadoCar">
    <w:name w:val="Encabezado Car"/>
    <w:basedOn w:val="Fuentedeprrafopredeter"/>
    <w:link w:val="Encabezado"/>
    <w:uiPriority w:val="99"/>
    <w:rsid w:val="00DD1C5A"/>
    <w:rPr>
      <w:rFonts w:ascii="Century Gothic" w:eastAsia="Century Gothic" w:hAnsi="Century Gothic" w:cs="Century Gothic"/>
      <w:lang w:val="es-MX" w:eastAsia="es-MX" w:bidi="es-MX"/>
    </w:rPr>
  </w:style>
  <w:style w:type="paragraph" w:styleId="Piedepgina">
    <w:name w:val="footer"/>
    <w:basedOn w:val="Normal"/>
    <w:link w:val="PiedepginaCar"/>
    <w:uiPriority w:val="99"/>
    <w:unhideWhenUsed/>
    <w:rsid w:val="00DD1C5A"/>
    <w:pPr>
      <w:tabs>
        <w:tab w:val="center" w:pos="4419"/>
        <w:tab w:val="right" w:pos="8838"/>
      </w:tabs>
    </w:pPr>
  </w:style>
  <w:style w:type="character" w:customStyle="1" w:styleId="PiedepginaCar">
    <w:name w:val="Pie de página Car"/>
    <w:basedOn w:val="Fuentedeprrafopredeter"/>
    <w:link w:val="Piedepgina"/>
    <w:uiPriority w:val="99"/>
    <w:rsid w:val="00DD1C5A"/>
    <w:rPr>
      <w:rFonts w:ascii="Century Gothic" w:eastAsia="Century Gothic" w:hAnsi="Century Gothic" w:cs="Century Gothic"/>
      <w:lang w:val="es-MX" w:eastAsia="es-MX" w:bidi="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bovmsilap.scjn.pjf.gob.mx/Buscador/Paginas/AbrirDocArticulo.aspx?q=u+uol4XmeVVQSBV20oBZU3Ch4V48XlRJ3AMEQ/WKHC41IOB7661+xsuEg2o2P8g9dD51d6+eTWQZihGvWSb+8Q==" TargetMode="External"/><Relationship Id="rId13" Type="http://schemas.openxmlformats.org/officeDocument/2006/relationships/header" Target="header3.xml"/><Relationship Id="rId18" Type="http://schemas.openxmlformats.org/officeDocument/2006/relationships/hyperlink" Target="http://bovmsilap.scjn.pjf.gob.mx/Buscador/Paginas/AbrirDocReforma.aspx?q=u+uol4XmeVVQSBV20oBZUzxRhraiFwgf+K6W/vIc+0muOuEkKLWeFVbI8fz+rRZQER+qOUqLm8I8wqlvuslTpQixMyjSqFqeSxB0rnzPB098jXYE76J+MRG78F5QPPBN" TargetMode="External"/><Relationship Id="rId3" Type="http://schemas.openxmlformats.org/officeDocument/2006/relationships/webSettings" Target="webSettings.xml"/><Relationship Id="rId7" Type="http://schemas.openxmlformats.org/officeDocument/2006/relationships/hyperlink" Target="http://bovmsilap.scjn.pjf.gob.mx/Buscador/Paginas/AbrirDocArticulo.aspx?q=Fk6C3Y86jKgNZ/0/3tnSrmwfjnKtHNzD0f39TwveAc2UkqvkCtPypicQ7I8PX9IUzZuyUbtvF9IfxHRaHyoVwA==" TargetMode="External"/><Relationship Id="rId12" Type="http://schemas.openxmlformats.org/officeDocument/2006/relationships/footer" Target="footer2.xml"/><Relationship Id="rId17" Type="http://schemas.openxmlformats.org/officeDocument/2006/relationships/hyperlink" Target="http://bovmsilap.scjn.pjf.gob.mx/Buscador/Paginas/AbrirDocReforma.aspx?q=Upmvcxia2ntX3YVztB0yTg4SigBIU94EmgfC9bVIGsz0i+xDcqMHAHW452JgroltnxrAK9aN5lJEAl6dr6Cz4yaoBXMbDfHs4yj5i5gNTCLnlLX9QyGlt4izREgdSX5u" TargetMode="External"/><Relationship Id="rId2" Type="http://schemas.openxmlformats.org/officeDocument/2006/relationships/settings" Target="settings.xml"/><Relationship Id="rId16" Type="http://schemas.openxmlformats.org/officeDocument/2006/relationships/hyperlink" Target="http://bovmsilap.scjn.pjf.gob.mx/Buscador/Paginas/AbrirDocReforma.aspx?q=wy5/ku+TwGZ2SaaaYvo/KJsb0tkBYuo8mTHA/PGDyAwJs8d+ohrXuEo1tYk/oxSx8A8su3ckoVuTU0bawKqAC4R3J/191wQNwj9BH+y6OeSXpm0tCWl4WF7x7whmHjsT"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bovmsilap.scjn.pjf.gob.mx/Buscador/Paginas/AbrirDocReforma.aspx?q=u+uol4XmeVVQSBV20oBZU5nLddfxn3ql6iZ9L6WTF84f0bxbaMEM/XmERNJtjg8YAmou3YamIqAQA0CEwUUYETh6jgthCJSuoOetnGCmXIfBSKDzG0dl/8Yhulr2ozw4"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1143</Words>
  <Characters>6292</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Iván Isay Martínez Flores</dc:creator>
  <cp:lastModifiedBy>Luis Enrique González Ortega</cp:lastModifiedBy>
  <cp:revision>5</cp:revision>
  <dcterms:created xsi:type="dcterms:W3CDTF">2021-11-01T20:13:00Z</dcterms:created>
  <dcterms:modified xsi:type="dcterms:W3CDTF">2021-11-09T22:45:00Z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2017-01-18T00:00:00Z</vt:filetime>
  </property>
  <property fmtid="{D5CDD505-2E9C-101B-9397-08002B2CF9AE}" pid="3" name="Creator">
    <vt:lpwstr>Microsoft® Word 2016</vt:lpwstr>
  </property>
  <property fmtid="{D5CDD505-2E9C-101B-9397-08002B2CF9AE}" pid="4" name="LastSaved">
    <vt:filetime>2021-11-01T00:00:00Z</vt:filetime>
  </property>
</Properties>
</file>