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EABA9" w14:textId="77777777" w:rsidR="00897066" w:rsidRDefault="00897066">
      <w:pPr>
        <w:pStyle w:val="Textoindependiente"/>
        <w:spacing w:before="7"/>
        <w:rPr>
          <w:sz w:val="19"/>
        </w:rPr>
      </w:pPr>
    </w:p>
    <w:tbl>
      <w:tblPr>
        <w:tblStyle w:val="TableNormal"/>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47"/>
        <w:gridCol w:w="3094"/>
        <w:gridCol w:w="3685"/>
        <w:gridCol w:w="10034"/>
      </w:tblGrid>
      <w:tr w:rsidR="00897066" w14:paraId="2F0EABAE" w14:textId="77777777" w:rsidTr="00B05AED">
        <w:trPr>
          <w:trHeight w:val="470"/>
          <w:tblHeader/>
        </w:trPr>
        <w:tc>
          <w:tcPr>
            <w:tcW w:w="747" w:type="dxa"/>
            <w:shd w:val="clear" w:color="auto" w:fill="76923B"/>
          </w:tcPr>
          <w:p w14:paraId="2F0EABAA" w14:textId="77777777" w:rsidR="00897066" w:rsidRDefault="00897066">
            <w:pPr>
              <w:pStyle w:val="TableParagraph"/>
              <w:ind w:left="0"/>
              <w:rPr>
                <w:rFonts w:ascii="Times New Roman"/>
                <w:sz w:val="20"/>
              </w:rPr>
            </w:pPr>
          </w:p>
        </w:tc>
        <w:tc>
          <w:tcPr>
            <w:tcW w:w="3094" w:type="dxa"/>
            <w:shd w:val="clear" w:color="auto" w:fill="76923B"/>
          </w:tcPr>
          <w:p w14:paraId="2F0EABAB" w14:textId="77777777" w:rsidR="00897066" w:rsidRDefault="001E1DAA">
            <w:pPr>
              <w:pStyle w:val="TableParagraph"/>
              <w:spacing w:before="65"/>
              <w:ind w:left="1007" w:right="1004"/>
              <w:jc w:val="center"/>
              <w:rPr>
                <w:rFonts w:ascii="Century Gothic"/>
                <w:b/>
                <w:sz w:val="20"/>
              </w:rPr>
            </w:pPr>
            <w:r>
              <w:rPr>
                <w:rFonts w:ascii="Century Gothic"/>
                <w:b/>
                <w:color w:val="FFFFFF"/>
                <w:sz w:val="20"/>
              </w:rPr>
              <w:t>ESTADO</w:t>
            </w:r>
          </w:p>
        </w:tc>
        <w:tc>
          <w:tcPr>
            <w:tcW w:w="3685" w:type="dxa"/>
            <w:shd w:val="clear" w:color="auto" w:fill="76923B"/>
          </w:tcPr>
          <w:p w14:paraId="2F0EABAC" w14:textId="77777777" w:rsidR="00897066" w:rsidRDefault="001E1DAA">
            <w:pPr>
              <w:pStyle w:val="TableParagraph"/>
              <w:spacing w:before="65"/>
              <w:ind w:left="1664" w:right="1655"/>
              <w:jc w:val="center"/>
              <w:rPr>
                <w:rFonts w:ascii="Century Gothic"/>
                <w:b/>
                <w:sz w:val="20"/>
              </w:rPr>
            </w:pPr>
            <w:r>
              <w:rPr>
                <w:rFonts w:ascii="Century Gothic"/>
                <w:b/>
                <w:color w:val="FFFFFF"/>
                <w:sz w:val="20"/>
              </w:rPr>
              <w:t>LEY</w:t>
            </w:r>
          </w:p>
        </w:tc>
        <w:tc>
          <w:tcPr>
            <w:tcW w:w="10034" w:type="dxa"/>
            <w:shd w:val="clear" w:color="auto" w:fill="76923B"/>
          </w:tcPr>
          <w:p w14:paraId="2F0EABAD" w14:textId="77777777" w:rsidR="00897066" w:rsidRDefault="001E1DAA">
            <w:pPr>
              <w:pStyle w:val="TableParagraph"/>
              <w:spacing w:before="65"/>
              <w:ind w:left="3632" w:right="3632"/>
              <w:jc w:val="center"/>
              <w:rPr>
                <w:rFonts w:ascii="Century Gothic" w:hAnsi="Century Gothic"/>
                <w:b/>
                <w:sz w:val="20"/>
              </w:rPr>
            </w:pPr>
            <w:r>
              <w:rPr>
                <w:rFonts w:ascii="Century Gothic" w:hAnsi="Century Gothic"/>
                <w:b/>
                <w:color w:val="FFFFFF"/>
                <w:sz w:val="20"/>
              </w:rPr>
              <w:t>ARTÍCULO (TRANSCRIPCIÓN)</w:t>
            </w:r>
          </w:p>
        </w:tc>
      </w:tr>
      <w:tr w:rsidR="00897066" w14:paraId="2F0EABB9" w14:textId="77777777" w:rsidTr="00B05AED">
        <w:trPr>
          <w:trHeight w:val="7813"/>
        </w:trPr>
        <w:tc>
          <w:tcPr>
            <w:tcW w:w="747" w:type="dxa"/>
            <w:shd w:val="clear" w:color="auto" w:fill="auto"/>
          </w:tcPr>
          <w:p w14:paraId="2F0EABAF" w14:textId="77777777" w:rsidR="00897066" w:rsidRDefault="001E1DAA">
            <w:pPr>
              <w:pStyle w:val="TableParagraph"/>
              <w:spacing w:before="118"/>
              <w:ind w:left="107"/>
              <w:rPr>
                <w:rFonts w:ascii="Century Gothic"/>
                <w:b/>
                <w:sz w:val="20"/>
              </w:rPr>
            </w:pPr>
            <w:r>
              <w:rPr>
                <w:rFonts w:ascii="Century Gothic"/>
                <w:b/>
                <w:sz w:val="20"/>
              </w:rPr>
              <w:t>1.</w:t>
            </w:r>
          </w:p>
        </w:tc>
        <w:tc>
          <w:tcPr>
            <w:tcW w:w="3094" w:type="dxa"/>
            <w:shd w:val="clear" w:color="auto" w:fill="auto"/>
          </w:tcPr>
          <w:p w14:paraId="2F0EABB0" w14:textId="77777777" w:rsidR="00897066" w:rsidRDefault="001E1DAA">
            <w:pPr>
              <w:pStyle w:val="TableParagraph"/>
              <w:spacing w:before="59"/>
              <w:ind w:left="1010" w:right="1004"/>
              <w:jc w:val="center"/>
              <w:rPr>
                <w:b/>
              </w:rPr>
            </w:pPr>
            <w:r>
              <w:rPr>
                <w:b/>
              </w:rPr>
              <w:t>CAMPECHE</w:t>
            </w:r>
          </w:p>
        </w:tc>
        <w:tc>
          <w:tcPr>
            <w:tcW w:w="3685" w:type="dxa"/>
            <w:shd w:val="clear" w:color="auto" w:fill="FFFFFF" w:themeFill="background1"/>
          </w:tcPr>
          <w:p w14:paraId="4E57A0CE" w14:textId="4E3097F7" w:rsidR="001E1DAA" w:rsidRPr="001E1DAA" w:rsidRDefault="00CE61E5" w:rsidP="001E1DAA">
            <w:pPr>
              <w:pStyle w:val="TableParagraph"/>
              <w:spacing w:before="59"/>
              <w:ind w:left="172" w:right="334"/>
              <w:jc w:val="center"/>
              <w:rPr>
                <w:b/>
                <w:bCs/>
              </w:rPr>
            </w:pPr>
            <w:hyperlink r:id="rId7" w:history="1">
              <w:r w:rsidR="001E1DAA" w:rsidRPr="001E1DAA">
                <w:rPr>
                  <w:rStyle w:val="Hipervnculo"/>
                  <w:b/>
                  <w:bCs/>
                </w:rPr>
                <w:t>Constitución Política del Estado de Campeche</w:t>
              </w:r>
            </w:hyperlink>
          </w:p>
          <w:p w14:paraId="09904A2E" w14:textId="77777777" w:rsidR="001E1DAA" w:rsidRDefault="001E1DAA">
            <w:pPr>
              <w:pStyle w:val="TableParagraph"/>
              <w:spacing w:before="59"/>
              <w:ind w:left="172" w:right="334"/>
            </w:pPr>
          </w:p>
          <w:p w14:paraId="1A800029" w14:textId="77777777" w:rsidR="001E1DAA" w:rsidRDefault="001E1DAA">
            <w:pPr>
              <w:pStyle w:val="TableParagraph"/>
              <w:spacing w:before="59"/>
              <w:ind w:left="172" w:right="334"/>
            </w:pPr>
          </w:p>
          <w:p w14:paraId="2F0EABB1" w14:textId="2FC09D4A" w:rsidR="00897066" w:rsidRDefault="00897066">
            <w:pPr>
              <w:pStyle w:val="TableParagraph"/>
              <w:spacing w:before="59"/>
              <w:ind w:left="172" w:right="334"/>
              <w:rPr>
                <w:b/>
              </w:rPr>
            </w:pPr>
          </w:p>
        </w:tc>
        <w:tc>
          <w:tcPr>
            <w:tcW w:w="10034" w:type="dxa"/>
            <w:shd w:val="clear" w:color="auto" w:fill="FFFFFF" w:themeFill="background1"/>
          </w:tcPr>
          <w:p w14:paraId="2F0EABB2" w14:textId="77777777" w:rsidR="00897066" w:rsidRDefault="001E1DAA">
            <w:pPr>
              <w:pStyle w:val="TableParagraph"/>
              <w:spacing w:before="59"/>
              <w:jc w:val="both"/>
            </w:pPr>
            <w:r>
              <w:rPr>
                <w:b/>
              </w:rPr>
              <w:t xml:space="preserve">Artículo 24: </w:t>
            </w:r>
            <w:r>
              <w:t>[…]</w:t>
            </w:r>
          </w:p>
          <w:p w14:paraId="2F0EABB3" w14:textId="77777777" w:rsidR="00897066" w:rsidRDefault="00897066">
            <w:pPr>
              <w:pStyle w:val="TableParagraph"/>
              <w:spacing w:before="4"/>
              <w:ind w:left="0"/>
              <w:rPr>
                <w:rFonts w:ascii="Arial"/>
                <w:b/>
                <w:i/>
                <w:sz w:val="23"/>
              </w:rPr>
            </w:pPr>
          </w:p>
          <w:p w14:paraId="2F0EABB4" w14:textId="77777777" w:rsidR="00897066" w:rsidRDefault="001E1DAA">
            <w:pPr>
              <w:pStyle w:val="TableParagraph"/>
              <w:ind w:right="100"/>
              <w:jc w:val="both"/>
            </w:pPr>
            <w:r>
              <w:t>La renovación de los Poderes Legislativo y Ejecutivo, así como de los integrantes de Ayuntamientos y Juntas Municipales, es un derecho de los partidos políticos y de los ciudadanos, quienes podrán participar como candidatos de manera independiente; se realizará mediante elecciones libres, auténticas y periódicas, conforme a las siguientes bases:</w:t>
            </w:r>
          </w:p>
          <w:p w14:paraId="2F0EABB5" w14:textId="77777777" w:rsidR="00897066" w:rsidRDefault="001E1DAA">
            <w:pPr>
              <w:pStyle w:val="TableParagraph"/>
              <w:spacing w:before="1"/>
            </w:pPr>
            <w:r>
              <w:t>[…]</w:t>
            </w:r>
          </w:p>
          <w:p w14:paraId="2F0EABB6" w14:textId="77777777" w:rsidR="00897066" w:rsidRDefault="00897066">
            <w:pPr>
              <w:pStyle w:val="TableParagraph"/>
              <w:spacing w:before="5"/>
              <w:ind w:left="0"/>
              <w:rPr>
                <w:rFonts w:ascii="Arial"/>
                <w:b/>
                <w:i/>
                <w:sz w:val="23"/>
              </w:rPr>
            </w:pPr>
          </w:p>
          <w:p w14:paraId="2F0EABB7" w14:textId="77777777" w:rsidR="00897066" w:rsidRDefault="001E1DAA">
            <w:pPr>
              <w:pStyle w:val="TableParagraph"/>
              <w:ind w:right="103"/>
              <w:jc w:val="both"/>
            </w:pPr>
            <w:r>
              <w:t>II. Los partidos políticos contarán de manera equitativa con los elementos para llevar a cabo sus actividades. Las reglas para el financiamiento de los partidos políticos, sus precampañas y campañas electorales, el procedimiento</w:t>
            </w:r>
            <w:r>
              <w:rPr>
                <w:spacing w:val="-3"/>
              </w:rPr>
              <w:t xml:space="preserve"> </w:t>
            </w:r>
            <w:r>
              <w:t>al</w:t>
            </w:r>
            <w:r>
              <w:rPr>
                <w:spacing w:val="-6"/>
              </w:rPr>
              <w:t xml:space="preserve"> </w:t>
            </w:r>
            <w:r>
              <w:t>que</w:t>
            </w:r>
            <w:r>
              <w:rPr>
                <w:spacing w:val="-3"/>
              </w:rPr>
              <w:t xml:space="preserve"> </w:t>
            </w:r>
            <w:r>
              <w:t>se</w:t>
            </w:r>
            <w:r>
              <w:rPr>
                <w:spacing w:val="-4"/>
              </w:rPr>
              <w:t xml:space="preserve"> </w:t>
            </w:r>
            <w:r>
              <w:t>sujetarán</w:t>
            </w:r>
            <w:r>
              <w:rPr>
                <w:spacing w:val="-5"/>
              </w:rPr>
              <w:t xml:space="preserve"> </w:t>
            </w:r>
            <w:r>
              <w:t>los</w:t>
            </w:r>
            <w:r>
              <w:rPr>
                <w:spacing w:val="-3"/>
              </w:rPr>
              <w:t xml:space="preserve"> </w:t>
            </w:r>
            <w:r>
              <w:t>partidos</w:t>
            </w:r>
            <w:r>
              <w:rPr>
                <w:spacing w:val="-6"/>
              </w:rPr>
              <w:t xml:space="preserve"> </w:t>
            </w:r>
            <w:r>
              <w:t>políticos</w:t>
            </w:r>
            <w:r>
              <w:rPr>
                <w:spacing w:val="-4"/>
              </w:rPr>
              <w:t xml:space="preserve"> </w:t>
            </w:r>
            <w:r>
              <w:t>que</w:t>
            </w:r>
            <w:r>
              <w:rPr>
                <w:spacing w:val="-3"/>
              </w:rPr>
              <w:t xml:space="preserve"> </w:t>
            </w:r>
            <w:r>
              <w:t>pierdan</w:t>
            </w:r>
            <w:r>
              <w:rPr>
                <w:spacing w:val="-6"/>
              </w:rPr>
              <w:t xml:space="preserve"> </w:t>
            </w:r>
            <w:r>
              <w:t>su</w:t>
            </w:r>
            <w:r>
              <w:rPr>
                <w:spacing w:val="-4"/>
              </w:rPr>
              <w:t xml:space="preserve"> </w:t>
            </w:r>
            <w:r>
              <w:t>registro</w:t>
            </w:r>
            <w:r>
              <w:rPr>
                <w:spacing w:val="-5"/>
              </w:rPr>
              <w:t xml:space="preserve"> </w:t>
            </w:r>
            <w:r>
              <w:t>para</w:t>
            </w:r>
            <w:r>
              <w:rPr>
                <w:spacing w:val="-4"/>
              </w:rPr>
              <w:t xml:space="preserve"> </w:t>
            </w:r>
            <w:r>
              <w:t>su</w:t>
            </w:r>
            <w:r>
              <w:rPr>
                <w:spacing w:val="-4"/>
              </w:rPr>
              <w:t xml:space="preserve"> </w:t>
            </w:r>
            <w:r>
              <w:t>liquidación</w:t>
            </w:r>
            <w:r>
              <w:rPr>
                <w:spacing w:val="-6"/>
              </w:rPr>
              <w:t xml:space="preserve"> </w:t>
            </w:r>
            <w:r>
              <w:t>de</w:t>
            </w:r>
            <w:r>
              <w:rPr>
                <w:spacing w:val="-4"/>
              </w:rPr>
              <w:t xml:space="preserve"> </w:t>
            </w:r>
            <w:r>
              <w:t>bienes</w:t>
            </w:r>
            <w:r>
              <w:rPr>
                <w:spacing w:val="-3"/>
              </w:rPr>
              <w:t xml:space="preserve"> </w:t>
            </w:r>
            <w:r>
              <w:t>y remanentes,</w:t>
            </w:r>
            <w:r>
              <w:rPr>
                <w:spacing w:val="-6"/>
              </w:rPr>
              <w:t xml:space="preserve"> </w:t>
            </w:r>
            <w:r>
              <w:t>los</w:t>
            </w:r>
            <w:r>
              <w:rPr>
                <w:spacing w:val="-7"/>
              </w:rPr>
              <w:t xml:space="preserve"> </w:t>
            </w:r>
            <w:r>
              <w:t>límites</w:t>
            </w:r>
            <w:r>
              <w:rPr>
                <w:spacing w:val="-5"/>
              </w:rPr>
              <w:t xml:space="preserve"> </w:t>
            </w:r>
            <w:r>
              <w:t>a</w:t>
            </w:r>
            <w:r>
              <w:rPr>
                <w:spacing w:val="-7"/>
              </w:rPr>
              <w:t xml:space="preserve"> </w:t>
            </w:r>
            <w:r>
              <w:t>las</w:t>
            </w:r>
            <w:r>
              <w:rPr>
                <w:spacing w:val="-6"/>
              </w:rPr>
              <w:t xml:space="preserve"> </w:t>
            </w:r>
            <w:r>
              <w:t>erogaciones</w:t>
            </w:r>
            <w:r>
              <w:rPr>
                <w:spacing w:val="-7"/>
              </w:rPr>
              <w:t xml:space="preserve"> </w:t>
            </w:r>
            <w:r>
              <w:t>de</w:t>
            </w:r>
            <w:r>
              <w:rPr>
                <w:spacing w:val="-6"/>
              </w:rPr>
              <w:t xml:space="preserve"> </w:t>
            </w:r>
            <w:r>
              <w:t>los</w:t>
            </w:r>
            <w:r>
              <w:rPr>
                <w:spacing w:val="-6"/>
              </w:rPr>
              <w:t xml:space="preserve"> </w:t>
            </w:r>
            <w:r>
              <w:t>partidos</w:t>
            </w:r>
            <w:r>
              <w:rPr>
                <w:spacing w:val="-7"/>
              </w:rPr>
              <w:t xml:space="preserve"> </w:t>
            </w:r>
            <w:r>
              <w:t>políticos</w:t>
            </w:r>
            <w:r>
              <w:rPr>
                <w:spacing w:val="-6"/>
              </w:rPr>
              <w:t xml:space="preserve"> </w:t>
            </w:r>
            <w:r>
              <w:t>en</w:t>
            </w:r>
            <w:r>
              <w:rPr>
                <w:spacing w:val="-7"/>
              </w:rPr>
              <w:t xml:space="preserve"> </w:t>
            </w:r>
            <w:r>
              <w:t>sus</w:t>
            </w:r>
            <w:r>
              <w:rPr>
                <w:spacing w:val="-6"/>
              </w:rPr>
              <w:t xml:space="preserve"> </w:t>
            </w:r>
            <w:r>
              <w:t>precampañas</w:t>
            </w:r>
            <w:r>
              <w:rPr>
                <w:spacing w:val="-7"/>
              </w:rPr>
              <w:t xml:space="preserve"> </w:t>
            </w:r>
            <w:r>
              <w:t>y</w:t>
            </w:r>
            <w:r>
              <w:rPr>
                <w:spacing w:val="-6"/>
              </w:rPr>
              <w:t xml:space="preserve"> </w:t>
            </w:r>
            <w:r>
              <w:t>campañas</w:t>
            </w:r>
            <w:r>
              <w:rPr>
                <w:spacing w:val="-8"/>
              </w:rPr>
              <w:t xml:space="preserve"> </w:t>
            </w:r>
            <w:r>
              <w:t>electorales, así como los montos máximos que tengan las aportaciones relativas al financiamiento privado de éstos, los procedimientos</w:t>
            </w:r>
            <w:r>
              <w:rPr>
                <w:spacing w:val="-4"/>
              </w:rPr>
              <w:t xml:space="preserve"> </w:t>
            </w:r>
            <w:r>
              <w:t>para</w:t>
            </w:r>
            <w:r>
              <w:rPr>
                <w:spacing w:val="-4"/>
              </w:rPr>
              <w:t xml:space="preserve"> </w:t>
            </w:r>
            <w:r>
              <w:t>el</w:t>
            </w:r>
            <w:r>
              <w:rPr>
                <w:spacing w:val="-3"/>
              </w:rPr>
              <w:t xml:space="preserve"> </w:t>
            </w:r>
            <w:r>
              <w:t>control</w:t>
            </w:r>
            <w:r>
              <w:rPr>
                <w:spacing w:val="-4"/>
              </w:rPr>
              <w:t xml:space="preserve"> </w:t>
            </w:r>
            <w:r>
              <w:t>y</w:t>
            </w:r>
            <w:r>
              <w:rPr>
                <w:spacing w:val="-1"/>
              </w:rPr>
              <w:t xml:space="preserve"> </w:t>
            </w:r>
            <w:r>
              <w:t>vigilancia</w:t>
            </w:r>
            <w:r>
              <w:rPr>
                <w:spacing w:val="-4"/>
              </w:rPr>
              <w:t xml:space="preserve"> </w:t>
            </w:r>
            <w:r>
              <w:t>del</w:t>
            </w:r>
            <w:r>
              <w:rPr>
                <w:spacing w:val="-4"/>
              </w:rPr>
              <w:t xml:space="preserve"> </w:t>
            </w:r>
            <w:r>
              <w:t>origen</w:t>
            </w:r>
            <w:r>
              <w:rPr>
                <w:spacing w:val="-3"/>
              </w:rPr>
              <w:t xml:space="preserve"> </w:t>
            </w:r>
            <w:r>
              <w:t>y</w:t>
            </w:r>
            <w:r>
              <w:rPr>
                <w:spacing w:val="-2"/>
              </w:rPr>
              <w:t xml:space="preserve"> </w:t>
            </w:r>
            <w:r>
              <w:t>uso</w:t>
            </w:r>
            <w:r>
              <w:rPr>
                <w:spacing w:val="-3"/>
              </w:rPr>
              <w:t xml:space="preserve"> </w:t>
            </w:r>
            <w:r>
              <w:t>de</w:t>
            </w:r>
            <w:r>
              <w:rPr>
                <w:spacing w:val="-4"/>
              </w:rPr>
              <w:t xml:space="preserve"> </w:t>
            </w:r>
            <w:r>
              <w:t>todos</w:t>
            </w:r>
            <w:r>
              <w:rPr>
                <w:spacing w:val="-4"/>
              </w:rPr>
              <w:t xml:space="preserve"> </w:t>
            </w:r>
            <w:r>
              <w:t>los recursos</w:t>
            </w:r>
            <w:r>
              <w:rPr>
                <w:spacing w:val="-3"/>
              </w:rPr>
              <w:t xml:space="preserve"> </w:t>
            </w:r>
            <w:r>
              <w:t>con</w:t>
            </w:r>
            <w:r>
              <w:rPr>
                <w:spacing w:val="-2"/>
              </w:rPr>
              <w:t xml:space="preserve"> </w:t>
            </w:r>
            <w:r>
              <w:t>que</w:t>
            </w:r>
            <w:r>
              <w:rPr>
                <w:spacing w:val="-3"/>
              </w:rPr>
              <w:t xml:space="preserve"> </w:t>
            </w:r>
            <w:r>
              <w:t>cuenten</w:t>
            </w:r>
            <w:r>
              <w:rPr>
                <w:spacing w:val="1"/>
              </w:rPr>
              <w:t xml:space="preserve"> </w:t>
            </w:r>
            <w:r>
              <w:t>los</w:t>
            </w:r>
            <w:r>
              <w:rPr>
                <w:spacing w:val="-3"/>
              </w:rPr>
              <w:t xml:space="preserve"> </w:t>
            </w:r>
            <w:r>
              <w:t>partidos políticos, y las bases para la fiscalización de las finanzas de los partidos políticos, serán las que determine la Constitución Política de los Estados Unidos Mexicanos, la Ley General De Partidos Políticos y la ley local correspondiente. El financiamiento público deberá prevalecer sobre los recursos de origen</w:t>
            </w:r>
            <w:r>
              <w:rPr>
                <w:spacing w:val="-16"/>
              </w:rPr>
              <w:t xml:space="preserve"> </w:t>
            </w:r>
            <w:r>
              <w:t>privado.</w:t>
            </w:r>
          </w:p>
          <w:p w14:paraId="2F0EABB8" w14:textId="77777777" w:rsidR="00897066" w:rsidRDefault="001E1DAA">
            <w:pPr>
              <w:pStyle w:val="TableParagraph"/>
            </w:pPr>
            <w:r>
              <w:t>[…]</w:t>
            </w:r>
          </w:p>
        </w:tc>
      </w:tr>
      <w:tr w:rsidR="00DD755A" w14:paraId="0C9EFD45" w14:textId="77777777" w:rsidTr="00B05AED">
        <w:trPr>
          <w:trHeight w:val="7813"/>
        </w:trPr>
        <w:tc>
          <w:tcPr>
            <w:tcW w:w="747" w:type="dxa"/>
            <w:shd w:val="clear" w:color="auto" w:fill="auto"/>
          </w:tcPr>
          <w:p w14:paraId="0BBC0B75" w14:textId="77777777" w:rsidR="00DD755A" w:rsidRDefault="00DD755A" w:rsidP="00DD755A">
            <w:pPr>
              <w:pStyle w:val="TableParagraph"/>
              <w:ind w:left="0"/>
              <w:rPr>
                <w:rFonts w:ascii="Arial"/>
                <w:b/>
                <w:i/>
                <w:sz w:val="24"/>
              </w:rPr>
            </w:pPr>
          </w:p>
          <w:p w14:paraId="48103788" w14:textId="77777777" w:rsidR="00DD755A" w:rsidRDefault="00DD755A" w:rsidP="00DD755A">
            <w:pPr>
              <w:pStyle w:val="TableParagraph"/>
              <w:ind w:left="0"/>
              <w:rPr>
                <w:rFonts w:ascii="Arial"/>
                <w:b/>
                <w:i/>
                <w:sz w:val="24"/>
              </w:rPr>
            </w:pPr>
          </w:p>
          <w:p w14:paraId="69C7F788" w14:textId="312F46CE" w:rsidR="00DD755A" w:rsidRDefault="00DD755A" w:rsidP="00DD755A">
            <w:pPr>
              <w:pStyle w:val="TableParagraph"/>
              <w:spacing w:before="118"/>
              <w:ind w:left="107"/>
              <w:rPr>
                <w:rFonts w:ascii="Century Gothic"/>
                <w:b/>
                <w:sz w:val="20"/>
              </w:rPr>
            </w:pPr>
            <w:r>
              <w:rPr>
                <w:rFonts w:ascii="Century Gothic"/>
                <w:b/>
                <w:sz w:val="20"/>
              </w:rPr>
              <w:t>2.</w:t>
            </w:r>
          </w:p>
        </w:tc>
        <w:tc>
          <w:tcPr>
            <w:tcW w:w="3094" w:type="dxa"/>
            <w:shd w:val="clear" w:color="auto" w:fill="auto"/>
          </w:tcPr>
          <w:p w14:paraId="7DBC23F9" w14:textId="77777777" w:rsidR="00DD755A" w:rsidRDefault="00DD755A" w:rsidP="00DD755A">
            <w:pPr>
              <w:pStyle w:val="TableParagraph"/>
              <w:ind w:left="0"/>
              <w:rPr>
                <w:rFonts w:ascii="Arial"/>
                <w:b/>
                <w:i/>
              </w:rPr>
            </w:pPr>
          </w:p>
          <w:p w14:paraId="35BD112D" w14:textId="77777777" w:rsidR="00DD755A" w:rsidRDefault="00DD755A" w:rsidP="00DD755A">
            <w:pPr>
              <w:pStyle w:val="TableParagraph"/>
              <w:ind w:left="0"/>
              <w:rPr>
                <w:rFonts w:ascii="Arial"/>
                <w:b/>
                <w:i/>
              </w:rPr>
            </w:pPr>
          </w:p>
          <w:p w14:paraId="3148BFCB" w14:textId="77777777" w:rsidR="00DD755A" w:rsidRDefault="00DD755A" w:rsidP="00DD755A">
            <w:pPr>
              <w:pStyle w:val="TableParagraph"/>
              <w:spacing w:before="7"/>
              <w:ind w:left="0"/>
              <w:rPr>
                <w:rFonts w:ascii="Arial"/>
                <w:b/>
                <w:i/>
                <w:sz w:val="19"/>
              </w:rPr>
            </w:pPr>
          </w:p>
          <w:p w14:paraId="377017AA" w14:textId="4EF29D6C" w:rsidR="00DD755A" w:rsidRDefault="00DD755A" w:rsidP="00DD755A">
            <w:pPr>
              <w:pStyle w:val="TableParagraph"/>
              <w:spacing w:before="59"/>
              <w:ind w:left="1010" w:right="1004"/>
              <w:jc w:val="center"/>
              <w:rPr>
                <w:b/>
              </w:rPr>
            </w:pPr>
            <w:r>
              <w:rPr>
                <w:b/>
              </w:rPr>
              <w:t>CAMPECHE</w:t>
            </w:r>
          </w:p>
        </w:tc>
        <w:tc>
          <w:tcPr>
            <w:tcW w:w="3685" w:type="dxa"/>
            <w:shd w:val="clear" w:color="auto" w:fill="FFFFFF" w:themeFill="background1"/>
          </w:tcPr>
          <w:p w14:paraId="4C8E076F" w14:textId="77777777" w:rsidR="00DD755A" w:rsidRDefault="00DD755A" w:rsidP="00DD755A">
            <w:pPr>
              <w:pStyle w:val="TableParagraph"/>
              <w:ind w:left="0"/>
              <w:rPr>
                <w:rFonts w:ascii="Arial"/>
                <w:b/>
                <w:i/>
              </w:rPr>
            </w:pPr>
          </w:p>
          <w:p w14:paraId="7FC006EF" w14:textId="77777777" w:rsidR="00DD755A" w:rsidRDefault="00DD755A" w:rsidP="00DD755A">
            <w:pPr>
              <w:pStyle w:val="TableParagraph"/>
              <w:ind w:left="0"/>
              <w:rPr>
                <w:rFonts w:ascii="Arial"/>
                <w:b/>
                <w:i/>
              </w:rPr>
            </w:pPr>
          </w:p>
          <w:p w14:paraId="04D70852" w14:textId="77777777" w:rsidR="00DD755A" w:rsidRPr="001B737B" w:rsidRDefault="00CE61E5" w:rsidP="00DD755A">
            <w:pPr>
              <w:pStyle w:val="TableParagraph"/>
              <w:spacing w:before="7"/>
              <w:ind w:left="0"/>
              <w:jc w:val="center"/>
              <w:rPr>
                <w:rFonts w:ascii="Arial"/>
                <w:b/>
                <w:iCs/>
                <w:sz w:val="19"/>
              </w:rPr>
            </w:pPr>
            <w:hyperlink r:id="rId8" w:history="1">
              <w:r w:rsidR="00DD755A" w:rsidRPr="00135D57">
                <w:rPr>
                  <w:rStyle w:val="Hipervnculo"/>
                  <w:rFonts w:ascii="Arial"/>
                  <w:b/>
                  <w:iCs/>
                  <w:sz w:val="19"/>
                </w:rPr>
                <w:t>Ley de Instituciones y Procedimientos Electorales del Estado de Campeche</w:t>
              </w:r>
            </w:hyperlink>
          </w:p>
          <w:p w14:paraId="4866F141" w14:textId="77777777" w:rsidR="00DD755A" w:rsidRPr="001B737B" w:rsidRDefault="00DD755A" w:rsidP="00DD755A">
            <w:pPr>
              <w:pStyle w:val="TableParagraph"/>
              <w:spacing w:before="7"/>
              <w:ind w:left="0"/>
              <w:jc w:val="center"/>
              <w:rPr>
                <w:rFonts w:ascii="Arial"/>
                <w:b/>
                <w:iCs/>
                <w:sz w:val="19"/>
              </w:rPr>
            </w:pPr>
          </w:p>
          <w:p w14:paraId="30421EAF" w14:textId="77777777" w:rsidR="00DD755A" w:rsidRDefault="00DD755A" w:rsidP="00DD755A">
            <w:pPr>
              <w:pStyle w:val="TableParagraph"/>
              <w:spacing w:before="7"/>
              <w:ind w:left="0"/>
              <w:rPr>
                <w:rFonts w:ascii="Arial"/>
                <w:b/>
                <w:i/>
                <w:sz w:val="19"/>
              </w:rPr>
            </w:pPr>
          </w:p>
          <w:p w14:paraId="6248A6E1" w14:textId="77777777" w:rsidR="00DD755A" w:rsidRDefault="00DD755A" w:rsidP="00DD755A">
            <w:pPr>
              <w:pStyle w:val="TableParagraph"/>
              <w:spacing w:before="59"/>
              <w:ind w:left="172" w:right="334"/>
              <w:jc w:val="center"/>
            </w:pPr>
          </w:p>
        </w:tc>
        <w:tc>
          <w:tcPr>
            <w:tcW w:w="10034" w:type="dxa"/>
            <w:shd w:val="clear" w:color="auto" w:fill="FFFFFF" w:themeFill="background1"/>
          </w:tcPr>
          <w:p w14:paraId="739FF1C5" w14:textId="77777777" w:rsidR="00DD755A" w:rsidRDefault="00DD755A" w:rsidP="00DD755A">
            <w:pPr>
              <w:pStyle w:val="TableParagraph"/>
              <w:spacing w:before="59"/>
              <w:ind w:right="40"/>
              <w:jc w:val="both"/>
              <w:rPr>
                <w:b/>
              </w:rPr>
            </w:pPr>
          </w:p>
          <w:p w14:paraId="5A0AF65F" w14:textId="77777777" w:rsidR="00DD755A" w:rsidRDefault="00DD755A" w:rsidP="00DD755A">
            <w:pPr>
              <w:pStyle w:val="TableParagraph"/>
              <w:spacing w:before="59"/>
              <w:ind w:right="40"/>
              <w:jc w:val="both"/>
            </w:pPr>
            <w:r>
              <w:rPr>
                <w:b/>
              </w:rPr>
              <w:t xml:space="preserve">Artículo 41.- </w:t>
            </w:r>
            <w:r>
              <w:t>Las agrupaciones políticas estarán sujetas a las obligaciones y procedimientos de fiscalización de sus recursos conforme a lo establecido en la Ley General de Partidos y demás disposiciones que emita el Instituto</w:t>
            </w:r>
            <w:r>
              <w:rPr>
                <w:spacing w:val="-8"/>
              </w:rPr>
              <w:t xml:space="preserve"> </w:t>
            </w:r>
            <w:r>
              <w:t>Nacional;</w:t>
            </w:r>
            <w:r>
              <w:rPr>
                <w:spacing w:val="-11"/>
              </w:rPr>
              <w:t xml:space="preserve"> </w:t>
            </w:r>
            <w:r>
              <w:t>si</w:t>
            </w:r>
            <w:r>
              <w:rPr>
                <w:spacing w:val="-9"/>
              </w:rPr>
              <w:t xml:space="preserve"> </w:t>
            </w:r>
            <w:r>
              <w:t>la</w:t>
            </w:r>
            <w:r>
              <w:rPr>
                <w:spacing w:val="-8"/>
              </w:rPr>
              <w:t xml:space="preserve"> </w:t>
            </w:r>
            <w:r>
              <w:t>fiscalización</w:t>
            </w:r>
            <w:r>
              <w:rPr>
                <w:spacing w:val="-10"/>
              </w:rPr>
              <w:t xml:space="preserve"> </w:t>
            </w:r>
            <w:r>
              <w:t>es</w:t>
            </w:r>
            <w:r>
              <w:rPr>
                <w:spacing w:val="-8"/>
              </w:rPr>
              <w:t xml:space="preserve"> </w:t>
            </w:r>
            <w:r>
              <w:t>delegada</w:t>
            </w:r>
            <w:r>
              <w:rPr>
                <w:spacing w:val="-8"/>
              </w:rPr>
              <w:t xml:space="preserve"> </w:t>
            </w:r>
            <w:r>
              <w:t>al</w:t>
            </w:r>
            <w:r>
              <w:rPr>
                <w:spacing w:val="-9"/>
              </w:rPr>
              <w:t xml:space="preserve"> </w:t>
            </w:r>
            <w:r>
              <w:t>Instituto</w:t>
            </w:r>
            <w:r>
              <w:rPr>
                <w:spacing w:val="-7"/>
              </w:rPr>
              <w:t xml:space="preserve"> </w:t>
            </w:r>
            <w:r>
              <w:t>Electoral</w:t>
            </w:r>
            <w:r>
              <w:rPr>
                <w:spacing w:val="-10"/>
              </w:rPr>
              <w:t xml:space="preserve"> </w:t>
            </w:r>
            <w:r>
              <w:t>se</w:t>
            </w:r>
            <w:r>
              <w:rPr>
                <w:spacing w:val="-8"/>
              </w:rPr>
              <w:t xml:space="preserve"> </w:t>
            </w:r>
            <w:r>
              <w:t>regirá</w:t>
            </w:r>
            <w:r>
              <w:rPr>
                <w:spacing w:val="-8"/>
              </w:rPr>
              <w:t xml:space="preserve"> </w:t>
            </w:r>
            <w:r>
              <w:t>por</w:t>
            </w:r>
            <w:r>
              <w:rPr>
                <w:spacing w:val="-11"/>
              </w:rPr>
              <w:t xml:space="preserve"> </w:t>
            </w:r>
            <w:r>
              <w:t>las</w:t>
            </w:r>
            <w:r>
              <w:rPr>
                <w:spacing w:val="-9"/>
              </w:rPr>
              <w:t xml:space="preserve"> </w:t>
            </w:r>
            <w:r>
              <w:t>disposiciones</w:t>
            </w:r>
            <w:r>
              <w:rPr>
                <w:spacing w:val="-10"/>
              </w:rPr>
              <w:t xml:space="preserve"> </w:t>
            </w:r>
            <w:r>
              <w:t xml:space="preserve">establecidas por dicho Instituto Nacional o en su caso por lo dispuesto por esta Ley de Instituciones y en el Reglamento correspondiente. </w:t>
            </w:r>
          </w:p>
          <w:p w14:paraId="719A7240" w14:textId="77777777" w:rsidR="00DD755A" w:rsidRDefault="00DD755A" w:rsidP="00DD755A">
            <w:pPr>
              <w:pStyle w:val="TableParagraph"/>
              <w:spacing w:before="59"/>
              <w:ind w:right="40"/>
              <w:jc w:val="both"/>
            </w:pPr>
          </w:p>
          <w:p w14:paraId="4D1DF5FD" w14:textId="77777777" w:rsidR="00DD755A" w:rsidRPr="00017568" w:rsidRDefault="00DD755A" w:rsidP="00DD755A">
            <w:pPr>
              <w:pStyle w:val="TableParagraph"/>
              <w:spacing w:before="59"/>
              <w:ind w:right="40"/>
              <w:jc w:val="both"/>
            </w:pPr>
            <w:r w:rsidRPr="00017568">
              <w:t>En caso de que sea delegada la función de fiscalización, se presentará en la forma y términos que disponga el Consejo General del Instituto Nacional o en su caso por lo dispuesto por esta Ley de Instituciones y en el Reglamento correspondiente.</w:t>
            </w:r>
          </w:p>
          <w:p w14:paraId="1172C4C1" w14:textId="77777777" w:rsidR="00DD755A" w:rsidRPr="00017568" w:rsidRDefault="00DD755A" w:rsidP="00DD755A">
            <w:pPr>
              <w:pStyle w:val="TableParagraph"/>
              <w:spacing w:before="59"/>
              <w:ind w:right="40"/>
            </w:pPr>
            <w:r w:rsidRPr="00017568">
              <w:br/>
              <w:t>Nota: Se reformó el párrafo primero mediante decreto 135 de la LXIII Legislatura, publicado en el P.O 1185 Segunda Sección de fecha 29 de mayo de 2020.</w:t>
            </w:r>
          </w:p>
          <w:p w14:paraId="7AF2CB6B" w14:textId="77777777" w:rsidR="00DD755A" w:rsidRDefault="00DD755A" w:rsidP="00DD755A">
            <w:pPr>
              <w:pStyle w:val="TableParagraph"/>
              <w:spacing w:before="59"/>
              <w:ind w:right="40"/>
              <w:jc w:val="both"/>
            </w:pPr>
          </w:p>
          <w:p w14:paraId="4F72C7A0" w14:textId="77777777" w:rsidR="00DD755A" w:rsidRDefault="00DD755A" w:rsidP="00DD755A">
            <w:pPr>
              <w:pStyle w:val="TableParagraph"/>
              <w:spacing w:before="59"/>
              <w:ind w:right="40"/>
              <w:jc w:val="both"/>
            </w:pPr>
            <w:r>
              <w:t>[…]</w:t>
            </w:r>
          </w:p>
          <w:p w14:paraId="0161136E" w14:textId="77777777" w:rsidR="00DD755A" w:rsidRDefault="00DD755A" w:rsidP="00DD755A">
            <w:pPr>
              <w:pStyle w:val="TableParagraph"/>
              <w:spacing w:before="2"/>
              <w:ind w:left="0"/>
              <w:rPr>
                <w:rFonts w:ascii="Arial"/>
                <w:b/>
                <w:i/>
                <w:sz w:val="23"/>
              </w:rPr>
            </w:pPr>
          </w:p>
          <w:p w14:paraId="04330F53" w14:textId="77777777" w:rsidR="00DD755A" w:rsidRDefault="00DD755A" w:rsidP="00DD755A">
            <w:pPr>
              <w:pStyle w:val="TableParagraph"/>
              <w:ind w:right="39"/>
              <w:jc w:val="both"/>
            </w:pPr>
            <w:r>
              <w:rPr>
                <w:b/>
              </w:rPr>
              <w:t>Artículo</w:t>
            </w:r>
            <w:r>
              <w:rPr>
                <w:b/>
                <w:spacing w:val="-7"/>
              </w:rPr>
              <w:t xml:space="preserve"> </w:t>
            </w:r>
            <w:r>
              <w:rPr>
                <w:b/>
              </w:rPr>
              <w:t>51.-</w:t>
            </w:r>
            <w:r>
              <w:rPr>
                <w:b/>
                <w:spacing w:val="-5"/>
              </w:rPr>
              <w:t xml:space="preserve"> </w:t>
            </w:r>
            <w:r>
              <w:t>La</w:t>
            </w:r>
            <w:r>
              <w:rPr>
                <w:spacing w:val="-5"/>
              </w:rPr>
              <w:t xml:space="preserve"> </w:t>
            </w:r>
            <w:r>
              <w:t>organización</w:t>
            </w:r>
            <w:r>
              <w:rPr>
                <w:spacing w:val="-4"/>
              </w:rPr>
              <w:t xml:space="preserve"> </w:t>
            </w:r>
            <w:r>
              <w:t>de</w:t>
            </w:r>
            <w:r>
              <w:rPr>
                <w:spacing w:val="-4"/>
              </w:rPr>
              <w:t xml:space="preserve"> </w:t>
            </w:r>
            <w:r>
              <w:t>ciudadanos</w:t>
            </w:r>
            <w:r>
              <w:rPr>
                <w:spacing w:val="-5"/>
              </w:rPr>
              <w:t xml:space="preserve"> </w:t>
            </w:r>
            <w:r>
              <w:t>que</w:t>
            </w:r>
            <w:r>
              <w:rPr>
                <w:spacing w:val="-5"/>
              </w:rPr>
              <w:t xml:space="preserve"> </w:t>
            </w:r>
            <w:r>
              <w:t>pretenda</w:t>
            </w:r>
            <w:r>
              <w:rPr>
                <w:spacing w:val="-2"/>
              </w:rPr>
              <w:t xml:space="preserve"> </w:t>
            </w:r>
            <w:r>
              <w:t>constituirse</w:t>
            </w:r>
            <w:r>
              <w:rPr>
                <w:spacing w:val="-4"/>
              </w:rPr>
              <w:t xml:space="preserve"> </w:t>
            </w:r>
            <w:r>
              <w:t>en</w:t>
            </w:r>
            <w:r>
              <w:rPr>
                <w:spacing w:val="-7"/>
              </w:rPr>
              <w:t xml:space="preserve"> </w:t>
            </w:r>
            <w:r>
              <w:t>Partido</w:t>
            </w:r>
            <w:r>
              <w:rPr>
                <w:spacing w:val="-7"/>
              </w:rPr>
              <w:t xml:space="preserve"> </w:t>
            </w:r>
            <w:r>
              <w:t>Político</w:t>
            </w:r>
            <w:r>
              <w:rPr>
                <w:spacing w:val="-5"/>
              </w:rPr>
              <w:t xml:space="preserve"> </w:t>
            </w:r>
            <w:r>
              <w:t>Local</w:t>
            </w:r>
            <w:r>
              <w:rPr>
                <w:spacing w:val="-3"/>
              </w:rPr>
              <w:t xml:space="preserve"> </w:t>
            </w:r>
            <w:r>
              <w:t>para</w:t>
            </w:r>
            <w:r>
              <w:rPr>
                <w:spacing w:val="-9"/>
              </w:rPr>
              <w:t xml:space="preserve"> </w:t>
            </w:r>
            <w:r>
              <w:t>obtener</w:t>
            </w:r>
            <w:r>
              <w:rPr>
                <w:spacing w:val="-7"/>
              </w:rPr>
              <w:t xml:space="preserve"> </w:t>
            </w:r>
            <w:r>
              <w:t>su registro</w:t>
            </w:r>
            <w:r>
              <w:rPr>
                <w:spacing w:val="-12"/>
              </w:rPr>
              <w:t xml:space="preserve"> </w:t>
            </w:r>
            <w:r>
              <w:t>deberá</w:t>
            </w:r>
            <w:r>
              <w:rPr>
                <w:spacing w:val="-13"/>
              </w:rPr>
              <w:t xml:space="preserve"> </w:t>
            </w:r>
            <w:r>
              <w:t>informar</w:t>
            </w:r>
            <w:r>
              <w:rPr>
                <w:spacing w:val="-11"/>
              </w:rPr>
              <w:t xml:space="preserve"> </w:t>
            </w:r>
            <w:r>
              <w:t>al</w:t>
            </w:r>
            <w:r>
              <w:rPr>
                <w:spacing w:val="-17"/>
              </w:rPr>
              <w:t xml:space="preserve"> </w:t>
            </w:r>
            <w:r>
              <w:t>Instituto</w:t>
            </w:r>
            <w:r>
              <w:rPr>
                <w:spacing w:val="-11"/>
              </w:rPr>
              <w:t xml:space="preserve"> </w:t>
            </w:r>
            <w:r>
              <w:t>Electoral</w:t>
            </w:r>
            <w:r>
              <w:rPr>
                <w:spacing w:val="-14"/>
              </w:rPr>
              <w:t xml:space="preserve"> </w:t>
            </w:r>
            <w:r>
              <w:t>tal</w:t>
            </w:r>
            <w:r>
              <w:rPr>
                <w:spacing w:val="-12"/>
              </w:rPr>
              <w:t xml:space="preserve"> </w:t>
            </w:r>
            <w:r>
              <w:t>propósito</w:t>
            </w:r>
            <w:r>
              <w:rPr>
                <w:spacing w:val="-12"/>
              </w:rPr>
              <w:t xml:space="preserve"> </w:t>
            </w:r>
            <w:r>
              <w:t>en</w:t>
            </w:r>
            <w:r>
              <w:rPr>
                <w:spacing w:val="-10"/>
              </w:rPr>
              <w:t xml:space="preserve"> </w:t>
            </w:r>
            <w:r>
              <w:t>el</w:t>
            </w:r>
            <w:r>
              <w:rPr>
                <w:spacing w:val="-14"/>
              </w:rPr>
              <w:t xml:space="preserve"> </w:t>
            </w:r>
            <w:r>
              <w:t>mes</w:t>
            </w:r>
            <w:r>
              <w:rPr>
                <w:spacing w:val="-10"/>
              </w:rPr>
              <w:t xml:space="preserve"> </w:t>
            </w:r>
            <w:r>
              <w:t>de</w:t>
            </w:r>
            <w:r>
              <w:rPr>
                <w:spacing w:val="-10"/>
              </w:rPr>
              <w:t xml:space="preserve"> </w:t>
            </w:r>
            <w:r>
              <w:t>enero</w:t>
            </w:r>
            <w:r>
              <w:rPr>
                <w:spacing w:val="-12"/>
              </w:rPr>
              <w:t xml:space="preserve"> </w:t>
            </w:r>
            <w:r>
              <w:t>del</w:t>
            </w:r>
            <w:r>
              <w:rPr>
                <w:spacing w:val="-13"/>
              </w:rPr>
              <w:t xml:space="preserve"> </w:t>
            </w:r>
            <w:r>
              <w:t>año</w:t>
            </w:r>
            <w:r>
              <w:rPr>
                <w:spacing w:val="-9"/>
              </w:rPr>
              <w:t xml:space="preserve"> </w:t>
            </w:r>
            <w:r>
              <w:t>siguiente</w:t>
            </w:r>
            <w:r>
              <w:rPr>
                <w:spacing w:val="-11"/>
              </w:rPr>
              <w:t xml:space="preserve"> </w:t>
            </w:r>
            <w:r>
              <w:t>al</w:t>
            </w:r>
            <w:r>
              <w:rPr>
                <w:spacing w:val="-11"/>
              </w:rPr>
              <w:t xml:space="preserve"> </w:t>
            </w:r>
            <w:r>
              <w:t>de</w:t>
            </w:r>
            <w:r>
              <w:rPr>
                <w:spacing w:val="-10"/>
              </w:rPr>
              <w:t xml:space="preserve"> </w:t>
            </w:r>
            <w:r>
              <w:t>la</w:t>
            </w:r>
            <w:r>
              <w:rPr>
                <w:spacing w:val="-14"/>
              </w:rPr>
              <w:t xml:space="preserve"> </w:t>
            </w:r>
            <w:r>
              <w:t>elección de</w:t>
            </w:r>
            <w:r>
              <w:rPr>
                <w:spacing w:val="1"/>
              </w:rPr>
              <w:t xml:space="preserve"> </w:t>
            </w:r>
            <w:r>
              <w:t>Gobernador.</w:t>
            </w:r>
          </w:p>
          <w:p w14:paraId="35DF84A6" w14:textId="77777777" w:rsidR="00DD755A" w:rsidRDefault="00DD755A" w:rsidP="00DD755A">
            <w:pPr>
              <w:pStyle w:val="TableParagraph"/>
              <w:spacing w:before="5"/>
              <w:ind w:left="0"/>
              <w:rPr>
                <w:rFonts w:ascii="Arial"/>
                <w:b/>
                <w:i/>
                <w:sz w:val="23"/>
              </w:rPr>
            </w:pPr>
          </w:p>
          <w:p w14:paraId="5AF09AB2" w14:textId="77777777" w:rsidR="00DD755A" w:rsidRDefault="00DD755A" w:rsidP="00DD755A">
            <w:pPr>
              <w:pStyle w:val="TableParagraph"/>
              <w:spacing w:before="1"/>
              <w:ind w:right="39"/>
              <w:jc w:val="both"/>
            </w:pPr>
            <w:r>
              <w:t>A</w:t>
            </w:r>
            <w:r>
              <w:rPr>
                <w:spacing w:val="-5"/>
              </w:rPr>
              <w:t xml:space="preserve"> </w:t>
            </w:r>
            <w:r>
              <w:t>partir</w:t>
            </w:r>
            <w:r>
              <w:rPr>
                <w:spacing w:val="-4"/>
              </w:rPr>
              <w:t xml:space="preserve"> </w:t>
            </w:r>
            <w:r>
              <w:t>del</w:t>
            </w:r>
            <w:r>
              <w:rPr>
                <w:spacing w:val="-5"/>
              </w:rPr>
              <w:t xml:space="preserve"> </w:t>
            </w:r>
            <w:r>
              <w:t>momento</w:t>
            </w:r>
            <w:r>
              <w:rPr>
                <w:spacing w:val="-2"/>
              </w:rPr>
              <w:t xml:space="preserve"> </w:t>
            </w:r>
            <w:r>
              <w:t>del</w:t>
            </w:r>
            <w:r>
              <w:rPr>
                <w:spacing w:val="-2"/>
              </w:rPr>
              <w:t xml:space="preserve"> </w:t>
            </w:r>
            <w:r>
              <w:t>aviso</w:t>
            </w:r>
            <w:r>
              <w:rPr>
                <w:spacing w:val="-5"/>
              </w:rPr>
              <w:t xml:space="preserve"> </w:t>
            </w:r>
            <w:r>
              <w:t>a</w:t>
            </w:r>
            <w:r>
              <w:rPr>
                <w:spacing w:val="-3"/>
              </w:rPr>
              <w:t xml:space="preserve"> </w:t>
            </w:r>
            <w:r>
              <w:t>que</w:t>
            </w:r>
            <w:r>
              <w:rPr>
                <w:spacing w:val="-3"/>
              </w:rPr>
              <w:t xml:space="preserve"> </w:t>
            </w:r>
            <w:r>
              <w:t>se</w:t>
            </w:r>
            <w:r>
              <w:rPr>
                <w:spacing w:val="-5"/>
              </w:rPr>
              <w:t xml:space="preserve"> </w:t>
            </w:r>
            <w:r>
              <w:t>refiere</w:t>
            </w:r>
            <w:r>
              <w:rPr>
                <w:spacing w:val="-3"/>
              </w:rPr>
              <w:t xml:space="preserve"> </w:t>
            </w:r>
            <w:r>
              <w:t>el</w:t>
            </w:r>
            <w:r>
              <w:rPr>
                <w:spacing w:val="-3"/>
              </w:rPr>
              <w:t xml:space="preserve"> </w:t>
            </w:r>
            <w:r>
              <w:t>párrafo</w:t>
            </w:r>
            <w:r>
              <w:rPr>
                <w:spacing w:val="-3"/>
              </w:rPr>
              <w:t xml:space="preserve"> </w:t>
            </w:r>
            <w:r>
              <w:t>anterior,</w:t>
            </w:r>
            <w:r>
              <w:rPr>
                <w:spacing w:val="-3"/>
              </w:rPr>
              <w:t xml:space="preserve"> </w:t>
            </w:r>
            <w:r>
              <w:t>hasta</w:t>
            </w:r>
            <w:r>
              <w:rPr>
                <w:spacing w:val="-3"/>
              </w:rPr>
              <w:t xml:space="preserve"> </w:t>
            </w:r>
            <w:r>
              <w:t>la</w:t>
            </w:r>
            <w:r>
              <w:rPr>
                <w:spacing w:val="-4"/>
              </w:rPr>
              <w:t xml:space="preserve"> </w:t>
            </w:r>
            <w:r>
              <w:t>resolución</w:t>
            </w:r>
            <w:r>
              <w:rPr>
                <w:spacing w:val="-4"/>
              </w:rPr>
              <w:t xml:space="preserve"> </w:t>
            </w:r>
            <w:r>
              <w:t>sobre</w:t>
            </w:r>
            <w:r>
              <w:rPr>
                <w:spacing w:val="-3"/>
              </w:rPr>
              <w:t xml:space="preserve"> </w:t>
            </w:r>
            <w:r>
              <w:t>la</w:t>
            </w:r>
            <w:r>
              <w:rPr>
                <w:spacing w:val="-4"/>
              </w:rPr>
              <w:t xml:space="preserve"> </w:t>
            </w:r>
            <w:r>
              <w:t>procedencia</w:t>
            </w:r>
            <w:r>
              <w:rPr>
                <w:spacing w:val="-4"/>
              </w:rPr>
              <w:t xml:space="preserve"> </w:t>
            </w:r>
            <w:r>
              <w:t>del registro,</w:t>
            </w:r>
            <w:r>
              <w:rPr>
                <w:spacing w:val="-14"/>
              </w:rPr>
              <w:t xml:space="preserve"> </w:t>
            </w:r>
            <w:r>
              <w:t>la</w:t>
            </w:r>
            <w:r>
              <w:rPr>
                <w:spacing w:val="-15"/>
              </w:rPr>
              <w:t xml:space="preserve"> </w:t>
            </w:r>
            <w:r>
              <w:t>organización</w:t>
            </w:r>
            <w:r>
              <w:rPr>
                <w:spacing w:val="-14"/>
              </w:rPr>
              <w:t xml:space="preserve"> </w:t>
            </w:r>
            <w:r>
              <w:t>informará</w:t>
            </w:r>
            <w:r>
              <w:rPr>
                <w:spacing w:val="-13"/>
              </w:rPr>
              <w:t xml:space="preserve"> </w:t>
            </w:r>
            <w:r>
              <w:t>mensualmente</w:t>
            </w:r>
            <w:r>
              <w:rPr>
                <w:spacing w:val="-12"/>
              </w:rPr>
              <w:t xml:space="preserve"> </w:t>
            </w:r>
            <w:r>
              <w:t>al</w:t>
            </w:r>
            <w:r>
              <w:rPr>
                <w:spacing w:val="-14"/>
              </w:rPr>
              <w:t xml:space="preserve"> </w:t>
            </w:r>
            <w:r>
              <w:t>Instituto</w:t>
            </w:r>
            <w:r>
              <w:rPr>
                <w:spacing w:val="-12"/>
              </w:rPr>
              <w:t xml:space="preserve"> </w:t>
            </w:r>
            <w:r>
              <w:t>Nacional</w:t>
            </w:r>
            <w:r>
              <w:rPr>
                <w:spacing w:val="-13"/>
              </w:rPr>
              <w:t xml:space="preserve"> </w:t>
            </w:r>
            <w:r>
              <w:t>sobre</w:t>
            </w:r>
            <w:r>
              <w:rPr>
                <w:spacing w:val="-12"/>
              </w:rPr>
              <w:t xml:space="preserve"> </w:t>
            </w:r>
            <w:r>
              <w:t>el</w:t>
            </w:r>
            <w:r>
              <w:rPr>
                <w:spacing w:val="-15"/>
              </w:rPr>
              <w:t xml:space="preserve"> </w:t>
            </w:r>
            <w:r>
              <w:t>origen</w:t>
            </w:r>
            <w:r>
              <w:rPr>
                <w:spacing w:val="-14"/>
              </w:rPr>
              <w:t xml:space="preserve"> </w:t>
            </w:r>
            <w:r>
              <w:t>y</w:t>
            </w:r>
            <w:r>
              <w:rPr>
                <w:spacing w:val="-12"/>
              </w:rPr>
              <w:t xml:space="preserve"> </w:t>
            </w:r>
            <w:r>
              <w:t>destino</w:t>
            </w:r>
            <w:r>
              <w:rPr>
                <w:spacing w:val="-12"/>
              </w:rPr>
              <w:t xml:space="preserve"> </w:t>
            </w:r>
            <w:r>
              <w:t>de</w:t>
            </w:r>
            <w:r>
              <w:rPr>
                <w:spacing w:val="-12"/>
              </w:rPr>
              <w:t xml:space="preserve"> </w:t>
            </w:r>
            <w:r>
              <w:t>sus</w:t>
            </w:r>
            <w:r>
              <w:rPr>
                <w:spacing w:val="-14"/>
              </w:rPr>
              <w:t xml:space="preserve"> </w:t>
            </w:r>
            <w:r>
              <w:t>recursos, dentro</w:t>
            </w:r>
            <w:r>
              <w:rPr>
                <w:spacing w:val="-5"/>
              </w:rPr>
              <w:t xml:space="preserve"> </w:t>
            </w:r>
            <w:r>
              <w:t>de</w:t>
            </w:r>
            <w:r>
              <w:rPr>
                <w:spacing w:val="-5"/>
              </w:rPr>
              <w:t xml:space="preserve"> </w:t>
            </w:r>
            <w:r>
              <w:t>los</w:t>
            </w:r>
            <w:r>
              <w:rPr>
                <w:spacing w:val="-5"/>
              </w:rPr>
              <w:t xml:space="preserve"> </w:t>
            </w:r>
            <w:r>
              <w:t>primeros</w:t>
            </w:r>
            <w:r>
              <w:rPr>
                <w:spacing w:val="-6"/>
              </w:rPr>
              <w:t xml:space="preserve"> </w:t>
            </w:r>
            <w:r>
              <w:t>diez</w:t>
            </w:r>
            <w:r>
              <w:rPr>
                <w:spacing w:val="-7"/>
              </w:rPr>
              <w:t xml:space="preserve"> </w:t>
            </w:r>
            <w:r>
              <w:t>días</w:t>
            </w:r>
            <w:r>
              <w:rPr>
                <w:spacing w:val="-6"/>
              </w:rPr>
              <w:t xml:space="preserve"> </w:t>
            </w:r>
            <w:r>
              <w:t>de</w:t>
            </w:r>
            <w:r>
              <w:rPr>
                <w:spacing w:val="-4"/>
              </w:rPr>
              <w:t xml:space="preserve"> </w:t>
            </w:r>
            <w:r>
              <w:t>cada</w:t>
            </w:r>
            <w:r>
              <w:rPr>
                <w:spacing w:val="-6"/>
              </w:rPr>
              <w:t xml:space="preserve"> </w:t>
            </w:r>
            <w:r>
              <w:t>mes.</w:t>
            </w:r>
            <w:r>
              <w:rPr>
                <w:spacing w:val="-7"/>
              </w:rPr>
              <w:t xml:space="preserve"> </w:t>
            </w:r>
            <w:r>
              <w:t>En</w:t>
            </w:r>
            <w:r>
              <w:rPr>
                <w:spacing w:val="-6"/>
              </w:rPr>
              <w:t xml:space="preserve"> </w:t>
            </w:r>
            <w:r>
              <w:t>caso,</w:t>
            </w:r>
            <w:r>
              <w:rPr>
                <w:spacing w:val="-4"/>
              </w:rPr>
              <w:t xml:space="preserve"> </w:t>
            </w:r>
            <w:r>
              <w:t>de</w:t>
            </w:r>
            <w:r>
              <w:rPr>
                <w:spacing w:val="-5"/>
              </w:rPr>
              <w:t xml:space="preserve"> </w:t>
            </w:r>
            <w:r>
              <w:t>que</w:t>
            </w:r>
            <w:r>
              <w:rPr>
                <w:spacing w:val="-5"/>
              </w:rPr>
              <w:t xml:space="preserve"> </w:t>
            </w:r>
            <w:r>
              <w:t>sea</w:t>
            </w:r>
            <w:r>
              <w:rPr>
                <w:spacing w:val="-4"/>
              </w:rPr>
              <w:t xml:space="preserve"> </w:t>
            </w:r>
            <w:r>
              <w:t>delegada</w:t>
            </w:r>
            <w:r>
              <w:rPr>
                <w:spacing w:val="-6"/>
              </w:rPr>
              <w:t xml:space="preserve"> </w:t>
            </w:r>
            <w:r>
              <w:t>la</w:t>
            </w:r>
            <w:r>
              <w:rPr>
                <w:spacing w:val="-5"/>
              </w:rPr>
              <w:t xml:space="preserve"> </w:t>
            </w:r>
            <w:r>
              <w:t>función</w:t>
            </w:r>
            <w:r>
              <w:rPr>
                <w:spacing w:val="-6"/>
              </w:rPr>
              <w:t xml:space="preserve"> </w:t>
            </w:r>
            <w:r>
              <w:t>de</w:t>
            </w:r>
            <w:r>
              <w:rPr>
                <w:spacing w:val="-4"/>
              </w:rPr>
              <w:t xml:space="preserve"> </w:t>
            </w:r>
            <w:r>
              <w:t>fiscalización</w:t>
            </w:r>
            <w:r>
              <w:rPr>
                <w:spacing w:val="-6"/>
              </w:rPr>
              <w:t xml:space="preserve"> </w:t>
            </w:r>
            <w:r>
              <w:t>por</w:t>
            </w:r>
            <w:r>
              <w:rPr>
                <w:spacing w:val="-5"/>
              </w:rPr>
              <w:t xml:space="preserve"> </w:t>
            </w:r>
            <w:r>
              <w:t>parte del Instituto Nacional al Instituto Electoral se hará conforme a lo que disponga el Consejo General del Instituto Nacional, o en su caso por lo dispuesto por esta Ley de Instituciones y en el Reglamento</w:t>
            </w:r>
            <w:r>
              <w:rPr>
                <w:spacing w:val="-22"/>
              </w:rPr>
              <w:t xml:space="preserve"> </w:t>
            </w:r>
            <w:r>
              <w:t>correspondiente.</w:t>
            </w:r>
          </w:p>
          <w:p w14:paraId="5B6B76B4" w14:textId="77777777" w:rsidR="00DD755A" w:rsidRDefault="00DD755A" w:rsidP="00DD755A">
            <w:pPr>
              <w:pStyle w:val="TableParagraph"/>
              <w:spacing w:before="3"/>
              <w:ind w:left="0"/>
              <w:rPr>
                <w:rFonts w:ascii="Arial"/>
                <w:b/>
                <w:i/>
                <w:sz w:val="23"/>
              </w:rPr>
            </w:pPr>
          </w:p>
          <w:p w14:paraId="44B5C1A4" w14:textId="77777777" w:rsidR="00DD755A" w:rsidRDefault="00DD755A" w:rsidP="00DD755A">
            <w:pPr>
              <w:pStyle w:val="TableParagraph"/>
            </w:pPr>
            <w:r>
              <w:t>[…]</w:t>
            </w:r>
          </w:p>
          <w:p w14:paraId="0BD279C9" w14:textId="77777777" w:rsidR="00DD755A" w:rsidRDefault="00DD755A" w:rsidP="00DD755A">
            <w:pPr>
              <w:pStyle w:val="TableParagraph"/>
              <w:spacing w:before="5"/>
              <w:ind w:left="0"/>
              <w:rPr>
                <w:rFonts w:ascii="Arial"/>
                <w:b/>
                <w:i/>
                <w:sz w:val="23"/>
              </w:rPr>
            </w:pPr>
          </w:p>
          <w:p w14:paraId="2496D941" w14:textId="77777777" w:rsidR="00DD755A" w:rsidRDefault="00DD755A" w:rsidP="00DD755A">
            <w:pPr>
              <w:pStyle w:val="TableParagraph"/>
              <w:ind w:right="1640"/>
            </w:pPr>
            <w:r>
              <w:rPr>
                <w:b/>
              </w:rPr>
              <w:t xml:space="preserve">Artículo 63.- </w:t>
            </w:r>
            <w:r>
              <w:t>Son obligaciones de los partidos políticos con registro ante el Instituto Electoral […]</w:t>
            </w:r>
          </w:p>
          <w:p w14:paraId="4A196628" w14:textId="77777777" w:rsidR="00DD755A" w:rsidRDefault="00DD755A" w:rsidP="00DD755A">
            <w:pPr>
              <w:pStyle w:val="TableParagraph"/>
              <w:spacing w:before="5"/>
              <w:ind w:left="0"/>
              <w:rPr>
                <w:rFonts w:ascii="Arial"/>
                <w:b/>
                <w:i/>
                <w:sz w:val="23"/>
              </w:rPr>
            </w:pPr>
          </w:p>
          <w:p w14:paraId="4B70FAAD" w14:textId="77777777" w:rsidR="00DD755A" w:rsidRDefault="00DD755A" w:rsidP="00DD755A">
            <w:pPr>
              <w:pStyle w:val="TableParagraph"/>
              <w:ind w:right="43"/>
              <w:jc w:val="both"/>
            </w:pPr>
            <w:r>
              <w:rPr>
                <w:b/>
              </w:rPr>
              <w:lastRenderedPageBreak/>
              <w:t xml:space="preserve">XI. </w:t>
            </w:r>
            <w:r>
              <w:t>Permitir la práctica de auditorías y verificaciones que ordene el Instituto Nacional, o la Unidad de Fiscalización cuando se deleguen al Instituto Electoral las facultades de fiscalización y entregar la documentación que dichos órganos les soliciten respecto a sus ingresos y egresos;</w:t>
            </w:r>
          </w:p>
          <w:p w14:paraId="484D9923" w14:textId="77777777" w:rsidR="00DD755A" w:rsidRDefault="00DD755A" w:rsidP="00DD755A">
            <w:pPr>
              <w:pStyle w:val="TableParagraph"/>
              <w:spacing w:line="267" w:lineRule="exact"/>
            </w:pPr>
            <w:r>
              <w:t>[…]</w:t>
            </w:r>
          </w:p>
          <w:p w14:paraId="63F8A8D5" w14:textId="77777777" w:rsidR="00DD755A" w:rsidRDefault="00DD755A" w:rsidP="00DD755A">
            <w:pPr>
              <w:pStyle w:val="TableParagraph"/>
              <w:spacing w:line="267" w:lineRule="exact"/>
            </w:pPr>
          </w:p>
          <w:p w14:paraId="5571DA68" w14:textId="77777777" w:rsidR="00DD755A" w:rsidRDefault="00DD755A" w:rsidP="00DD755A">
            <w:pPr>
              <w:pStyle w:val="TableParagraph"/>
              <w:spacing w:line="267" w:lineRule="exact"/>
            </w:pPr>
            <w:r w:rsidRPr="00CA499C">
              <w:rPr>
                <w:b/>
                <w:bCs/>
              </w:rPr>
              <w:t>Artículo 99.-</w:t>
            </w:r>
            <w:r>
              <w:t xml:space="preserve"> […]</w:t>
            </w:r>
          </w:p>
          <w:p w14:paraId="0BD49842" w14:textId="77777777" w:rsidR="00DD755A" w:rsidRDefault="00DD755A" w:rsidP="00DD755A">
            <w:pPr>
              <w:pStyle w:val="TableParagraph"/>
              <w:spacing w:line="267" w:lineRule="exact"/>
            </w:pPr>
            <w:r>
              <w:t>[…]</w:t>
            </w:r>
          </w:p>
          <w:p w14:paraId="75E1D299" w14:textId="77777777" w:rsidR="00DD755A" w:rsidRDefault="00DD755A" w:rsidP="00DD755A">
            <w:pPr>
              <w:pStyle w:val="TableParagraph"/>
              <w:spacing w:line="267" w:lineRule="exact"/>
              <w:jc w:val="both"/>
            </w:pPr>
            <w:r>
              <w:t>c) El financiamiento de campaña será administrado en su totalidad por los partidos políticos; estableciendo el</w:t>
            </w:r>
          </w:p>
          <w:p w14:paraId="73592161" w14:textId="77777777" w:rsidR="00DD755A" w:rsidRDefault="00DD755A" w:rsidP="00DD755A">
            <w:pPr>
              <w:pStyle w:val="TableParagraph"/>
              <w:spacing w:line="267" w:lineRule="exact"/>
              <w:jc w:val="both"/>
            </w:pPr>
            <w:r>
              <w:t xml:space="preserve">prorrateo conforme lo previsto en la Ley General de Partidos y en lo que se disponga en su caso por esta Ley de Instituciones, teniendo que informarlas a </w:t>
            </w:r>
            <w:proofErr w:type="gramStart"/>
            <w:r>
              <w:t>la diez días</w:t>
            </w:r>
            <w:proofErr w:type="gramEnd"/>
            <w:r>
              <w:t xml:space="preserve"> antes del inicio de la campaña electoral, la cual lo hará del conocimiento ante la instancia correspondiente del Consejo General del Instituto Nacional en la siguiente sesión, sin que dichos porcentajes de prorrateo puedan ser modificados. En caso de que las funciones de fiscalización se deleguen por parte del Instituto Nacional al Instituto Electoral, se harán en los términos que disponga dicho órgano nacional.</w:t>
            </w:r>
          </w:p>
          <w:p w14:paraId="3D62725C" w14:textId="77777777" w:rsidR="00DD755A" w:rsidRDefault="00DD755A" w:rsidP="00DD755A">
            <w:pPr>
              <w:pStyle w:val="TableParagraph"/>
              <w:spacing w:line="267" w:lineRule="exact"/>
            </w:pPr>
          </w:p>
          <w:p w14:paraId="04CA1176" w14:textId="77777777" w:rsidR="00DD755A" w:rsidRDefault="00DD755A" w:rsidP="00DD755A">
            <w:pPr>
              <w:pStyle w:val="TableParagraph"/>
              <w:spacing w:line="267" w:lineRule="exact"/>
            </w:pPr>
            <w:r w:rsidRPr="00CA499C">
              <w:rPr>
                <w:b/>
                <w:bCs/>
              </w:rPr>
              <w:t>Artículo 105</w:t>
            </w:r>
            <w:r>
              <w:t xml:space="preserve">.- […] </w:t>
            </w:r>
          </w:p>
          <w:p w14:paraId="570C8DC5" w14:textId="77777777" w:rsidR="00DD755A" w:rsidRDefault="00DD755A" w:rsidP="00DD755A">
            <w:pPr>
              <w:pStyle w:val="TableParagraph"/>
              <w:spacing w:line="267" w:lineRule="exact"/>
            </w:pPr>
          </w:p>
          <w:p w14:paraId="17A7975C" w14:textId="77777777" w:rsidR="00DD755A" w:rsidRDefault="00DD755A" w:rsidP="00DD755A">
            <w:pPr>
              <w:pStyle w:val="TableParagraph"/>
              <w:spacing w:line="267" w:lineRule="exact"/>
              <w:jc w:val="both"/>
            </w:pPr>
            <w:r>
              <w:t xml:space="preserve">El Partido Político, aspirantes de </w:t>
            </w:r>
            <w:proofErr w:type="gramStart"/>
            <w:r>
              <w:t>candidaturas independientes o los candidatos independientes</w:t>
            </w:r>
            <w:proofErr w:type="gramEnd"/>
            <w:r>
              <w:t xml:space="preserve"> deberán entregar a la Unidad de Fiscalización una relación mensual de los nombres de los aportantes y, en su caso, las</w:t>
            </w:r>
          </w:p>
          <w:p w14:paraId="13666144" w14:textId="77777777" w:rsidR="00DD755A" w:rsidRDefault="00DD755A" w:rsidP="00DD755A">
            <w:pPr>
              <w:pStyle w:val="TableParagraph"/>
              <w:spacing w:line="267" w:lineRule="exact"/>
            </w:pPr>
            <w:r>
              <w:t>cuentas del origen del recurso que necesariamente deberán estar a nombre de quien realice la aportación.</w:t>
            </w:r>
          </w:p>
          <w:p w14:paraId="59AE340F" w14:textId="77777777" w:rsidR="00DD755A" w:rsidRDefault="00DD755A" w:rsidP="00DD755A">
            <w:pPr>
              <w:pStyle w:val="TableParagraph"/>
              <w:spacing w:line="267" w:lineRule="exact"/>
            </w:pPr>
            <w:r>
              <w:t>[…]</w:t>
            </w:r>
          </w:p>
          <w:p w14:paraId="0B1012CC" w14:textId="77777777" w:rsidR="00DD755A" w:rsidRDefault="00DD755A" w:rsidP="00DD755A">
            <w:pPr>
              <w:pStyle w:val="TableParagraph"/>
              <w:spacing w:line="267" w:lineRule="exact"/>
              <w:jc w:val="both"/>
            </w:pPr>
            <w:r w:rsidRPr="00CA499C">
              <w:rPr>
                <w:b/>
                <w:bCs/>
              </w:rPr>
              <w:t>Artículo 109</w:t>
            </w:r>
            <w:r>
              <w:t>.- Corresponde al Instituto Nacional, en los términos que establece la Constitución Federal y demás leyes aplicables, la fiscalización de los ingresos y egresos de los partidos políticos, sus precandidatos y candidatos, las agrupaciones políticas, los aspirantes a candidatos independientes y los candidatos independientes, no obstante el Instituto Electoral podrá ejercer las facultades de fiscalización por delegación el Instituto Nacional sujetándose en todo momento a los lineamientos, acuerdos generales, normas técnicas y demás disposiciones que emita dicha autoridad y sin perjuicio de que el citado organismo nacional reasuma el ejercicio directo de la función fiscalizadora en cualquier momento.</w:t>
            </w:r>
          </w:p>
          <w:p w14:paraId="02ADCC71" w14:textId="77777777" w:rsidR="00DD755A" w:rsidRDefault="00DD755A" w:rsidP="00DD755A">
            <w:pPr>
              <w:pStyle w:val="TableParagraph"/>
              <w:spacing w:line="267" w:lineRule="exact"/>
            </w:pPr>
          </w:p>
          <w:p w14:paraId="6088C498" w14:textId="77777777" w:rsidR="00DD755A" w:rsidRDefault="00DD755A" w:rsidP="00DD755A">
            <w:pPr>
              <w:pStyle w:val="TableParagraph"/>
              <w:spacing w:line="267" w:lineRule="exact"/>
              <w:jc w:val="both"/>
            </w:pPr>
            <w:r>
              <w:t xml:space="preserve">En caso de que la función de fiscalización sea delegada, la recepción y revisión de los informes que los partidos políticos y las agrupaciones políticas presenten sobre el origen y destino de sus recursos financieros a que </w:t>
            </w:r>
            <w:proofErr w:type="gramStart"/>
            <w:r>
              <w:t>se  refiere</w:t>
            </w:r>
            <w:proofErr w:type="gramEnd"/>
            <w:r>
              <w:t xml:space="preserve"> esta Ley de Instituciones, según el tipo de financiamiento, así como la práctica de auditorías sobre el</w:t>
            </w:r>
          </w:p>
          <w:p w14:paraId="7D6EF7F5" w14:textId="77777777" w:rsidR="00FA32B3" w:rsidRDefault="00DD755A" w:rsidP="00FA32B3">
            <w:pPr>
              <w:pStyle w:val="TableParagraph"/>
              <w:spacing w:line="244" w:lineRule="exact"/>
              <w:jc w:val="both"/>
            </w:pPr>
            <w:r>
              <w:t>manejo de sus recursos y su situación financiera estará a cargo de su Unidad de Fiscalización.</w:t>
            </w:r>
            <w:r w:rsidR="00FA32B3">
              <w:t xml:space="preserve"> </w:t>
            </w:r>
          </w:p>
          <w:p w14:paraId="7E0B48B1" w14:textId="1D16595D" w:rsidR="00FA32B3" w:rsidRDefault="00FA32B3" w:rsidP="00FA32B3">
            <w:pPr>
              <w:pStyle w:val="TableParagraph"/>
              <w:spacing w:line="244" w:lineRule="exact"/>
              <w:jc w:val="both"/>
            </w:pPr>
            <w:r>
              <w:lastRenderedPageBreak/>
              <w:t>La Unidad de Fiscalización tendrá las siguientes facultades:</w:t>
            </w:r>
          </w:p>
          <w:p w14:paraId="11F0B5C6" w14:textId="77777777" w:rsidR="00FA32B3" w:rsidRDefault="00FA32B3" w:rsidP="00FA32B3">
            <w:pPr>
              <w:pStyle w:val="TableParagraph"/>
              <w:spacing w:line="244" w:lineRule="exact"/>
              <w:jc w:val="both"/>
            </w:pPr>
          </w:p>
          <w:p w14:paraId="5A7A2FFD" w14:textId="77777777" w:rsidR="00FA32B3" w:rsidRDefault="00FA32B3" w:rsidP="00FA32B3">
            <w:pPr>
              <w:pStyle w:val="TableParagraph"/>
              <w:spacing w:line="244" w:lineRule="exact"/>
              <w:jc w:val="both"/>
            </w:pPr>
            <w:r>
              <w:t>Regular el registro contable de los ingresos y egresos de los partidos políticos, sus precandidatos y candidatos, las agrupaciones políticas, los aspirantes a candidatos independientes y los candidatos independientes, las características de la documentación comprobatoria sobre el manejo de sus recursos y establecer los requisitos que deberán satisfacer los informes de ingresos y egresos que le presenten, de conformidad a lo establecido en la Ley General de Instituciones, la Ley General de Partidos y esta Ley de Instituciones;</w:t>
            </w:r>
          </w:p>
          <w:p w14:paraId="1C8FEC8E" w14:textId="77777777" w:rsidR="00FA32B3" w:rsidRDefault="00FA32B3" w:rsidP="00FA32B3">
            <w:pPr>
              <w:pStyle w:val="TableParagraph"/>
              <w:spacing w:line="244" w:lineRule="exact"/>
              <w:jc w:val="both"/>
            </w:pPr>
          </w:p>
          <w:p w14:paraId="5872CFC9" w14:textId="77777777" w:rsidR="00FA32B3" w:rsidRDefault="00FA32B3" w:rsidP="00FA32B3">
            <w:pPr>
              <w:pStyle w:val="TableParagraph"/>
              <w:spacing w:line="244" w:lineRule="exact"/>
              <w:jc w:val="both"/>
            </w:pPr>
            <w:r>
              <w:t>Emitir las normas generales de contabilidad y registro de operaciones aplicables a los partidos políticos, sus precandidatos y candidatos, las agrupaciones políticas, los aspirantes a candidatos independientes y los candidatos independientes;</w:t>
            </w:r>
          </w:p>
          <w:p w14:paraId="479A47CF" w14:textId="77777777" w:rsidR="00FA32B3" w:rsidRDefault="00FA32B3" w:rsidP="00FA32B3">
            <w:pPr>
              <w:pStyle w:val="TableParagraph"/>
              <w:spacing w:line="244" w:lineRule="exact"/>
              <w:jc w:val="both"/>
            </w:pPr>
          </w:p>
          <w:p w14:paraId="04C1985C" w14:textId="77777777" w:rsidR="00FA32B3" w:rsidRDefault="00FA32B3" w:rsidP="00FA32B3">
            <w:pPr>
              <w:pStyle w:val="TableParagraph"/>
              <w:spacing w:line="244" w:lineRule="exact"/>
              <w:jc w:val="both"/>
            </w:pPr>
            <w:r>
              <w:t>Vigilar que los recursos de los partidos políticos, sus precandidatos y candidatos, las agrupaciones políticas, los aspirantes a candidatos independientes y los candidatos independientes tengan origen lícito y se apliquen estricta e invariablemente a las actividades señaladas en la Ley General de Instituciones, la Ley General de Partidos y esta Ley de Instituciones;</w:t>
            </w:r>
          </w:p>
          <w:p w14:paraId="11FEB1D4" w14:textId="77777777" w:rsidR="00FA32B3" w:rsidRDefault="00FA32B3" w:rsidP="00FA32B3">
            <w:pPr>
              <w:pStyle w:val="TableParagraph"/>
              <w:spacing w:line="244" w:lineRule="exact"/>
              <w:jc w:val="both"/>
            </w:pPr>
          </w:p>
          <w:p w14:paraId="72F8D287" w14:textId="77777777" w:rsidR="00FA32B3" w:rsidRDefault="00FA32B3" w:rsidP="00FA32B3">
            <w:pPr>
              <w:pStyle w:val="TableParagraph"/>
              <w:spacing w:line="244" w:lineRule="exact"/>
              <w:jc w:val="both"/>
            </w:pPr>
            <w:r>
              <w:t>Recibir los informes de ingresos y egresos, así como de gastos de precampaña de los partidos políticos y sus precandidatos así como de los actos tendentes a recabar el apoyo ciudadano de los aspirantes a candidatos independientes y los gastos de campaña de los partidos políticos y sus candidatos así como de los candidatos independientes, así como los demás informes de ingresos y gastos establecidos por la Ley General de Partidos y esta Ley de Instituciones;</w:t>
            </w:r>
          </w:p>
          <w:p w14:paraId="4EB16DF1" w14:textId="77777777" w:rsidR="00FA32B3" w:rsidRDefault="00FA32B3" w:rsidP="00FA32B3">
            <w:pPr>
              <w:pStyle w:val="TableParagraph"/>
              <w:spacing w:line="244" w:lineRule="exact"/>
              <w:jc w:val="both"/>
            </w:pPr>
          </w:p>
          <w:p w14:paraId="07D39BC8" w14:textId="77777777" w:rsidR="00FA32B3" w:rsidRDefault="00FA32B3" w:rsidP="00FA32B3">
            <w:pPr>
              <w:pStyle w:val="TableParagraph"/>
              <w:spacing w:line="244" w:lineRule="exact"/>
              <w:jc w:val="both"/>
            </w:pPr>
            <w:r>
              <w:t>Revisar los informes señalados en la fracción anterior;</w:t>
            </w:r>
          </w:p>
          <w:p w14:paraId="5C0C0A57" w14:textId="77777777" w:rsidR="00FA32B3" w:rsidRDefault="00FA32B3" w:rsidP="00FA32B3">
            <w:pPr>
              <w:pStyle w:val="TableParagraph"/>
              <w:spacing w:line="244" w:lineRule="exact"/>
              <w:jc w:val="both"/>
            </w:pPr>
          </w:p>
          <w:p w14:paraId="54F59EC5" w14:textId="77777777" w:rsidR="00FA32B3" w:rsidRDefault="00FA32B3" w:rsidP="00FA32B3">
            <w:pPr>
              <w:pStyle w:val="TableParagraph"/>
              <w:spacing w:line="244" w:lineRule="exact"/>
              <w:jc w:val="both"/>
            </w:pPr>
            <w:r>
              <w:t>Requerir información complementaria respecto de los diversos apartados de los informes de ingresos y egresos o documentación comprobatoria de cualquier otro aspecto vinculado a los mismos;</w:t>
            </w:r>
          </w:p>
          <w:p w14:paraId="6DD8CC5F" w14:textId="77777777" w:rsidR="00FA32B3" w:rsidRDefault="00FA32B3" w:rsidP="00FA32B3">
            <w:pPr>
              <w:pStyle w:val="TableParagraph"/>
              <w:spacing w:line="244" w:lineRule="exact"/>
              <w:jc w:val="both"/>
            </w:pPr>
          </w:p>
          <w:p w14:paraId="77DCA075" w14:textId="77777777" w:rsidR="00FA32B3" w:rsidRDefault="00FA32B3" w:rsidP="00FA32B3">
            <w:pPr>
              <w:pStyle w:val="TableParagraph"/>
              <w:spacing w:before="59"/>
              <w:jc w:val="both"/>
            </w:pPr>
            <w:r>
              <w:t>VII. Ordenar la práctica de auditorías, directamente o a través de terceros, a las finanzas de los partidos políticos, sus precandidatos y candidatos, las agrupaciones políticas, los aspirantes a candidatos independientes y los candidatos independientes. Ordenar visitas de verificación a los partidos políticos, sus precandidatos y candidatos, las agrupaciones políticas, los aspirantes a candidatos independientes y los candidatos independientes con el fin de corroborar el cumplimiento de sus obligaciones y la veracidad de sus informes;</w:t>
            </w:r>
          </w:p>
          <w:p w14:paraId="660498D2" w14:textId="77777777" w:rsidR="00FA32B3" w:rsidRDefault="00FA32B3" w:rsidP="00FA32B3">
            <w:pPr>
              <w:pStyle w:val="TableParagraph"/>
              <w:spacing w:before="59"/>
              <w:jc w:val="both"/>
            </w:pPr>
          </w:p>
          <w:p w14:paraId="596794EB" w14:textId="77777777" w:rsidR="00FA32B3" w:rsidRDefault="00FA32B3" w:rsidP="00FA32B3">
            <w:pPr>
              <w:pStyle w:val="TableParagraph"/>
              <w:spacing w:before="59"/>
              <w:jc w:val="both"/>
            </w:pPr>
            <w:r>
              <w:lastRenderedPageBreak/>
              <w:t xml:space="preserve">Presentar al Consejo General los informes y dictámenes con proyectos de resolución sobre las auditorías y verificaciones practicadas a los partidos políticos, sus precandidatos y candidatos, las agrupaciones políticas, los aspirantes a candidatos independientes y los candidatos independientes. Los informes y dictámenes con proyectos de resolución especificarán las irregularidades en que hubiesen incurrido en el manejo de sus recursos; el incumplimiento de su obligación de informar sobre la aplicación de </w:t>
            </w:r>
            <w:proofErr w:type="gramStart"/>
            <w:r>
              <w:t>los mismos</w:t>
            </w:r>
            <w:proofErr w:type="gramEnd"/>
            <w:r>
              <w:t xml:space="preserve"> y, en su caso, propondrán las sanciones que procedan conforme a la legislación aplicable;</w:t>
            </w:r>
          </w:p>
          <w:p w14:paraId="75C8D309" w14:textId="77777777" w:rsidR="00FA32B3" w:rsidRDefault="00FA32B3" w:rsidP="00FA32B3">
            <w:pPr>
              <w:pStyle w:val="TableParagraph"/>
              <w:spacing w:before="59"/>
              <w:jc w:val="both"/>
            </w:pPr>
          </w:p>
          <w:p w14:paraId="3454EE0A" w14:textId="77777777" w:rsidR="00FA32B3" w:rsidRDefault="00FA32B3" w:rsidP="00FA32B3">
            <w:pPr>
              <w:pStyle w:val="TableParagraph"/>
              <w:spacing w:before="59"/>
              <w:jc w:val="both"/>
            </w:pPr>
            <w:r>
              <w:t>Proporcionar a los partidos políticos, sus precandidatos y candidatos, las agrupaciones políticas, los aspirantes a candidatos independientes y los candidatos independientes la orientación, asesoría y capacitación necesarias para el cumplimiento de las obligaciones consignadas en esta Ley de Instituciones;</w:t>
            </w:r>
          </w:p>
          <w:p w14:paraId="393CD385" w14:textId="77777777" w:rsidR="00FA32B3" w:rsidRDefault="00FA32B3" w:rsidP="00FA32B3">
            <w:pPr>
              <w:pStyle w:val="TableParagraph"/>
              <w:spacing w:before="59"/>
              <w:jc w:val="both"/>
            </w:pPr>
          </w:p>
          <w:p w14:paraId="6D8B5FA5" w14:textId="77777777" w:rsidR="00FA32B3" w:rsidRDefault="00FA32B3" w:rsidP="00FA32B3">
            <w:pPr>
              <w:pStyle w:val="TableParagraph"/>
              <w:spacing w:before="59"/>
              <w:jc w:val="both"/>
            </w:pPr>
            <w:r>
              <w:t>Instruir los procedimientos administrativos a que haya lugar respecto de las quejas que se presenten y proponer a la consideración del Consejo General la imposición de las sanciones que procedan;</w:t>
            </w:r>
          </w:p>
          <w:p w14:paraId="16E11DFA" w14:textId="77777777" w:rsidR="00FA32B3" w:rsidRDefault="00FA32B3" w:rsidP="00FA32B3">
            <w:pPr>
              <w:pStyle w:val="TableParagraph"/>
              <w:spacing w:before="59"/>
              <w:jc w:val="both"/>
            </w:pPr>
          </w:p>
          <w:p w14:paraId="5547BBFD" w14:textId="77777777" w:rsidR="00FA32B3" w:rsidRDefault="00FA32B3" w:rsidP="00FA32B3">
            <w:pPr>
              <w:pStyle w:val="TableParagraph"/>
              <w:spacing w:before="59"/>
              <w:jc w:val="both"/>
            </w:pPr>
            <w:r>
              <w:t>Requerir a las personas físicas o morales, públicas o privadas, que tengan relación con las operaciones que realicen los partidos políticos, sus precandidatos y candidatos, las agrupaciones políticas, los aspirantes a candidatos independientes y los candidatos independientes,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correspondientes, y</w:t>
            </w:r>
          </w:p>
          <w:p w14:paraId="3C03AD48" w14:textId="77777777" w:rsidR="00FA32B3" w:rsidRDefault="00FA32B3" w:rsidP="00FA32B3">
            <w:pPr>
              <w:pStyle w:val="TableParagraph"/>
              <w:spacing w:before="59"/>
              <w:jc w:val="both"/>
            </w:pPr>
          </w:p>
          <w:p w14:paraId="2BB911D3" w14:textId="37D05182" w:rsidR="00DD755A" w:rsidRDefault="00FA32B3" w:rsidP="00FA32B3">
            <w:pPr>
              <w:pStyle w:val="TableParagraph"/>
              <w:spacing w:before="59"/>
              <w:jc w:val="both"/>
            </w:pPr>
            <w:r>
              <w:t>Las demás que le confiera esta Ley de Instituciones o el Consejo General</w:t>
            </w:r>
          </w:p>
          <w:p w14:paraId="4DD3BBEC" w14:textId="77777777" w:rsidR="00FA32B3" w:rsidRDefault="00FA32B3" w:rsidP="00FA32B3">
            <w:pPr>
              <w:pStyle w:val="TableParagraph"/>
              <w:spacing w:before="59"/>
              <w:jc w:val="both"/>
            </w:pPr>
          </w:p>
          <w:p w14:paraId="7C3E245C" w14:textId="77777777" w:rsidR="00FA32B3" w:rsidRDefault="00FA32B3" w:rsidP="00FA32B3">
            <w:pPr>
              <w:pStyle w:val="TableParagraph"/>
              <w:spacing w:before="59"/>
              <w:jc w:val="both"/>
            </w:pPr>
            <w:r>
              <w:rPr>
                <w:b/>
              </w:rPr>
              <w:t xml:space="preserve">Artículo 113.- </w:t>
            </w:r>
            <w:r>
              <w:t>Todos los dictámenes y proyectos de resolución emitidos por la Unidad de Fiscalización deberán fundarse, motivarse y contener como mínimo:</w:t>
            </w:r>
          </w:p>
          <w:p w14:paraId="7705D2D5" w14:textId="77777777" w:rsidR="00FA32B3" w:rsidRDefault="00FA32B3" w:rsidP="00FA32B3">
            <w:pPr>
              <w:pStyle w:val="TableParagraph"/>
              <w:numPr>
                <w:ilvl w:val="0"/>
                <w:numId w:val="4"/>
              </w:numPr>
              <w:tabs>
                <w:tab w:val="left" w:pos="275"/>
              </w:tabs>
              <w:spacing w:before="59"/>
              <w:ind w:right="43" w:firstLine="0"/>
              <w:jc w:val="both"/>
            </w:pPr>
            <w:r>
              <w:t>Los apartados relativos a los antecedentes, marco legal, consideraciones y conclusiones o puntos de</w:t>
            </w:r>
            <w:r>
              <w:rPr>
                <w:spacing w:val="-33"/>
              </w:rPr>
              <w:t xml:space="preserve"> </w:t>
            </w:r>
            <w:r>
              <w:t>acuerdo o resolutivos;</w:t>
            </w:r>
          </w:p>
          <w:p w14:paraId="3576277F" w14:textId="77777777" w:rsidR="00FA32B3" w:rsidRDefault="00FA32B3" w:rsidP="00FA32B3">
            <w:pPr>
              <w:pStyle w:val="TableParagraph"/>
              <w:spacing w:before="4"/>
              <w:ind w:left="0"/>
              <w:jc w:val="both"/>
              <w:rPr>
                <w:rFonts w:ascii="Arial"/>
                <w:b/>
                <w:i/>
                <w:sz w:val="23"/>
              </w:rPr>
            </w:pPr>
          </w:p>
          <w:p w14:paraId="10D5FF31" w14:textId="77777777" w:rsidR="00FA32B3" w:rsidRDefault="00FA32B3" w:rsidP="00FA32B3">
            <w:pPr>
              <w:pStyle w:val="TableParagraph"/>
              <w:numPr>
                <w:ilvl w:val="0"/>
                <w:numId w:val="4"/>
              </w:numPr>
              <w:tabs>
                <w:tab w:val="left" w:pos="335"/>
              </w:tabs>
              <w:spacing w:before="1"/>
              <w:ind w:left="334" w:hanging="229"/>
              <w:jc w:val="both"/>
            </w:pPr>
            <w:r>
              <w:t>Resultado y las conclusiones de la revisión de los informes que hayan presentado los partidos</w:t>
            </w:r>
            <w:r>
              <w:rPr>
                <w:spacing w:val="-22"/>
              </w:rPr>
              <w:t xml:space="preserve"> </w:t>
            </w:r>
            <w:r>
              <w:t>políticos;</w:t>
            </w:r>
          </w:p>
          <w:p w14:paraId="7CABBC49" w14:textId="77777777" w:rsidR="00FA32B3" w:rsidRDefault="00FA32B3" w:rsidP="00FA32B3">
            <w:pPr>
              <w:pStyle w:val="TableParagraph"/>
              <w:spacing w:before="5"/>
              <w:ind w:left="0"/>
              <w:jc w:val="both"/>
              <w:rPr>
                <w:rFonts w:ascii="Arial"/>
                <w:b/>
                <w:i/>
                <w:sz w:val="23"/>
              </w:rPr>
            </w:pPr>
          </w:p>
          <w:p w14:paraId="63633347" w14:textId="77777777" w:rsidR="00FA32B3" w:rsidRDefault="00FA32B3" w:rsidP="00FA32B3">
            <w:pPr>
              <w:pStyle w:val="TableParagraph"/>
              <w:numPr>
                <w:ilvl w:val="0"/>
                <w:numId w:val="4"/>
              </w:numPr>
              <w:tabs>
                <w:tab w:val="left" w:pos="393"/>
              </w:tabs>
              <w:ind w:left="392" w:hanging="287"/>
              <w:jc w:val="both"/>
            </w:pPr>
            <w:r>
              <w:lastRenderedPageBreak/>
              <w:t>En su caso, la mención de los errores o irregularidades encontrados en los mismos,</w:t>
            </w:r>
            <w:r>
              <w:rPr>
                <w:spacing w:val="-20"/>
              </w:rPr>
              <w:t xml:space="preserve"> </w:t>
            </w:r>
            <w:r>
              <w:t>y</w:t>
            </w:r>
          </w:p>
          <w:p w14:paraId="6FB3273F" w14:textId="77777777" w:rsidR="00FA32B3" w:rsidRDefault="00FA32B3" w:rsidP="00FA32B3">
            <w:pPr>
              <w:pStyle w:val="TableParagraph"/>
              <w:spacing w:before="2"/>
              <w:ind w:left="0"/>
              <w:jc w:val="both"/>
              <w:rPr>
                <w:rFonts w:ascii="Arial"/>
                <w:b/>
                <w:i/>
                <w:sz w:val="23"/>
              </w:rPr>
            </w:pPr>
          </w:p>
          <w:p w14:paraId="46F590C6" w14:textId="77777777" w:rsidR="00FA32B3" w:rsidRDefault="00FA32B3" w:rsidP="00FA32B3">
            <w:pPr>
              <w:pStyle w:val="TableParagraph"/>
              <w:numPr>
                <w:ilvl w:val="0"/>
                <w:numId w:val="4"/>
              </w:numPr>
              <w:tabs>
                <w:tab w:val="left" w:pos="484"/>
              </w:tabs>
              <w:ind w:right="44" w:firstLine="50"/>
              <w:jc w:val="both"/>
            </w:pPr>
            <w:r>
              <w:t>El señalamiento de las aclaraciones o rectificaciones que presentaron los partidos políticos después de haberles notificado con este</w:t>
            </w:r>
            <w:r>
              <w:rPr>
                <w:spacing w:val="1"/>
              </w:rPr>
              <w:t xml:space="preserve"> </w:t>
            </w:r>
            <w:r>
              <w:t>fin.</w:t>
            </w:r>
          </w:p>
          <w:p w14:paraId="55BFE38E" w14:textId="77777777" w:rsidR="00FA32B3" w:rsidRDefault="00FA32B3" w:rsidP="00FA32B3">
            <w:pPr>
              <w:pStyle w:val="TableParagraph"/>
              <w:jc w:val="both"/>
            </w:pPr>
            <w:r>
              <w:t>[…]</w:t>
            </w:r>
          </w:p>
          <w:p w14:paraId="3D89A071" w14:textId="77777777" w:rsidR="00FA32B3" w:rsidRDefault="00FA32B3" w:rsidP="00FA32B3">
            <w:pPr>
              <w:pStyle w:val="TableParagraph"/>
              <w:jc w:val="both"/>
            </w:pPr>
          </w:p>
          <w:p w14:paraId="63DCF16E" w14:textId="77777777" w:rsidR="00FA32B3" w:rsidRDefault="00FA32B3" w:rsidP="00FA32B3">
            <w:pPr>
              <w:pStyle w:val="TableParagraph"/>
              <w:jc w:val="both"/>
            </w:pPr>
            <w:r w:rsidRPr="0017605A">
              <w:rPr>
                <w:b/>
                <w:bCs/>
              </w:rPr>
              <w:t>Artículo 162.-</w:t>
            </w:r>
            <w:r>
              <w:t xml:space="preserve"> La pérdida del registro de un Partido Político no tiene efectos en relación con los triunfos que sus candidatos hayan obtenido en las elecciones según el principio de Mayoría Relativa. La pérdida del registro de estos partidos políticos conlleva la cancelación de todo financiamiento público y perderá todas sus prerrogativas. La cancelación o pérdida del registro extinguirá la personalidad jurídica del Partido Político, pero quienes hayan sido sus dirigentes y candidatos deberán cumplir las obligaciones que en materia de fiscalización establece la Ley General de Partidos, esta Ley de Instituciones y demás normatividad aplicable, hasta la conclusión de los procedimientos respectivos y de liquidación de su patrimonio.</w:t>
            </w:r>
          </w:p>
          <w:p w14:paraId="2E26F5C2" w14:textId="77777777" w:rsidR="00FA32B3" w:rsidRDefault="00FA32B3" w:rsidP="00FA32B3">
            <w:pPr>
              <w:pStyle w:val="TableParagraph"/>
              <w:jc w:val="both"/>
            </w:pPr>
          </w:p>
          <w:p w14:paraId="27AEE36D" w14:textId="77777777" w:rsidR="00FA32B3" w:rsidRDefault="00FA32B3" w:rsidP="00FA32B3">
            <w:pPr>
              <w:pStyle w:val="TableParagraph"/>
              <w:jc w:val="both"/>
            </w:pPr>
          </w:p>
          <w:p w14:paraId="7B579F2A" w14:textId="77777777" w:rsidR="00FA32B3" w:rsidRDefault="00FA32B3" w:rsidP="00FA32B3">
            <w:pPr>
              <w:pStyle w:val="TableParagraph"/>
              <w:jc w:val="both"/>
            </w:pPr>
            <w:r>
              <w:t>Una vez que haya causado estado la resolución que decrete la pérdida del registro, la Dirección Ejecutiva de Administración y Prerrogativas del Instituto Electoral procederá a solicitarle, dentro de los quince días hábiles siguientes, a quien hubiere fungido como Presidente del respectivo Comité Estatal o su equivalente, del que fuera Partido Político, la entrega de los bienes adquiridos con recursos del financiamiento público estatal.</w:t>
            </w:r>
          </w:p>
          <w:p w14:paraId="6B8214E7" w14:textId="77777777" w:rsidR="00FA32B3" w:rsidRDefault="00FA32B3" w:rsidP="00FA32B3">
            <w:pPr>
              <w:pStyle w:val="TableParagraph"/>
              <w:jc w:val="both"/>
            </w:pPr>
          </w:p>
          <w:p w14:paraId="7868CB7D" w14:textId="77777777" w:rsidR="00FA32B3" w:rsidRDefault="00FA32B3" w:rsidP="00FA32B3">
            <w:pPr>
              <w:pStyle w:val="TableParagraph"/>
              <w:jc w:val="both"/>
            </w:pPr>
          </w:p>
          <w:p w14:paraId="67537810" w14:textId="77777777" w:rsidR="00FA32B3" w:rsidRDefault="00FA32B3" w:rsidP="00FA32B3">
            <w:pPr>
              <w:pStyle w:val="TableParagraph"/>
              <w:jc w:val="both"/>
            </w:pPr>
            <w:r>
              <w:t xml:space="preserve">El Instituto Electoral, por conducto del órgano que el Consejo General autorice en el reglamento de la materia y conforme a lo que en el propio Reglamento se determine, conservará dichos bienes y, en su caso, ordenará su venta mediante subasta pública y aplicará el producto de </w:t>
            </w:r>
            <w:proofErr w:type="gramStart"/>
            <w:r>
              <w:t>la misma</w:t>
            </w:r>
            <w:proofErr w:type="gramEnd"/>
            <w:r>
              <w:t xml:space="preserve"> hasta donde alcance para cubrir las deudas que hubiese adquirido el extinto Partido Político.</w:t>
            </w:r>
          </w:p>
          <w:p w14:paraId="0831EF2F" w14:textId="4C7B154E" w:rsidR="00FA32B3" w:rsidRDefault="00FA32B3" w:rsidP="00FA32B3">
            <w:pPr>
              <w:pStyle w:val="TableParagraph"/>
              <w:jc w:val="both"/>
            </w:pPr>
            <w:r>
              <w:t>[…]</w:t>
            </w:r>
          </w:p>
          <w:p w14:paraId="28ED2C60" w14:textId="2DCC2CF4" w:rsidR="00FA32B3" w:rsidRDefault="00FA32B3" w:rsidP="00FA32B3">
            <w:pPr>
              <w:pStyle w:val="TableParagraph"/>
              <w:jc w:val="both"/>
            </w:pPr>
          </w:p>
          <w:p w14:paraId="53663EB9" w14:textId="77777777" w:rsidR="00FA32B3" w:rsidRDefault="00FA32B3" w:rsidP="00FA32B3">
            <w:pPr>
              <w:pStyle w:val="TableParagraph"/>
              <w:jc w:val="both"/>
            </w:pPr>
            <w:r w:rsidRPr="00D51781">
              <w:rPr>
                <w:b/>
                <w:bCs/>
              </w:rPr>
              <w:t>Artículo 201.-</w:t>
            </w:r>
            <w:r w:rsidRPr="00D51781">
              <w:t xml:space="preserve"> Para el manejo de los recursos para la obtención del apoyo ciudadano, se deberá utilizar la cuenta bancaria </w:t>
            </w:r>
            <w:proofErr w:type="spellStart"/>
            <w:r w:rsidRPr="00D51781">
              <w:t>aperturada</w:t>
            </w:r>
            <w:proofErr w:type="spellEnd"/>
            <w:r w:rsidRPr="00D51781">
              <w:t xml:space="preserve"> a que se refiere esta Ley de Instituciones; todas las aportaciones deberán realizarse exclusivamente a dicha cuenta, mediante cheque o transferencia bancaria.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relativos a la </w:t>
            </w:r>
            <w:r w:rsidRPr="00D51781">
              <w:lastRenderedPageBreak/>
              <w:t>fiscalización conforme la legislación correspondiente.</w:t>
            </w:r>
          </w:p>
          <w:p w14:paraId="14811F58" w14:textId="77777777" w:rsidR="00FA32B3" w:rsidRDefault="00FA32B3" w:rsidP="00FA32B3">
            <w:pPr>
              <w:pStyle w:val="TableParagraph"/>
              <w:jc w:val="both"/>
            </w:pPr>
          </w:p>
          <w:p w14:paraId="389C282B" w14:textId="77777777" w:rsidR="00FA32B3" w:rsidRPr="00C35E62" w:rsidRDefault="00FA32B3" w:rsidP="00FA32B3">
            <w:pPr>
              <w:pStyle w:val="TableParagraph"/>
              <w:jc w:val="both"/>
            </w:pPr>
            <w:r w:rsidRPr="00C35E62">
              <w:rPr>
                <w:b/>
                <w:bCs/>
              </w:rPr>
              <w:t>Artículo 202.-</w:t>
            </w:r>
            <w:r w:rsidRPr="00C35E62">
              <w:t xml:space="preserve">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14:paraId="59BDD21C" w14:textId="77777777" w:rsidR="00FA32B3" w:rsidRPr="00C35E62" w:rsidRDefault="00FA32B3" w:rsidP="00FA32B3">
            <w:pPr>
              <w:pStyle w:val="TableParagraph"/>
              <w:jc w:val="both"/>
            </w:pPr>
            <w:r w:rsidRPr="00C35E62">
              <w:br/>
              <w:t>Los comprobantes que amparen los egresos que realicen los aspirantes, deberán ser expedidos a nombre de la Asociación Civil constituida para la candidatura independiente y constar en original como soporte a los informes financieros de la etapa de obtención de apoyo ciudadano, los cuales estarán a disposición de la Unidad de Fiscalización del Instituto Nacional o, en su caso, del Instituto Electoral para su revisión de conformidad con lo dispuesto en esta Ley de Instituciones. Dicha documentación deberá cumplir con los requisitos que exigen las disposiciones fiscales y demás normatividad aplicable.</w:t>
            </w:r>
          </w:p>
          <w:p w14:paraId="623269DD" w14:textId="77777777" w:rsidR="00FA32B3" w:rsidRDefault="00FA32B3" w:rsidP="00FA32B3">
            <w:pPr>
              <w:pStyle w:val="TableParagraph"/>
              <w:jc w:val="both"/>
            </w:pPr>
            <w:r>
              <w:t>[…]</w:t>
            </w:r>
          </w:p>
          <w:p w14:paraId="4314407E" w14:textId="77777777" w:rsidR="00FA32B3" w:rsidRPr="00D51781" w:rsidRDefault="00FA32B3" w:rsidP="00FA32B3">
            <w:pPr>
              <w:pStyle w:val="TableParagraph"/>
              <w:jc w:val="both"/>
            </w:pPr>
          </w:p>
          <w:p w14:paraId="7AFAE940" w14:textId="77777777" w:rsidR="00FA32B3" w:rsidRDefault="00FA32B3" w:rsidP="00FA32B3">
            <w:pPr>
              <w:pStyle w:val="TableParagraph"/>
              <w:ind w:right="41"/>
              <w:jc w:val="both"/>
            </w:pPr>
            <w:r>
              <w:rPr>
                <w:b/>
              </w:rPr>
              <w:t>Artículo</w:t>
            </w:r>
            <w:r>
              <w:rPr>
                <w:b/>
                <w:spacing w:val="-7"/>
              </w:rPr>
              <w:t xml:space="preserve"> </w:t>
            </w:r>
            <w:r>
              <w:rPr>
                <w:b/>
              </w:rPr>
              <w:t>206.-</w:t>
            </w:r>
            <w:r>
              <w:rPr>
                <w:b/>
                <w:spacing w:val="-4"/>
              </w:rPr>
              <w:t xml:space="preserve"> </w:t>
            </w:r>
            <w:r>
              <w:t>La</w:t>
            </w:r>
            <w:r>
              <w:rPr>
                <w:spacing w:val="-3"/>
              </w:rPr>
              <w:t xml:space="preserve"> </w:t>
            </w:r>
            <w:r>
              <w:t>fiscalización</w:t>
            </w:r>
            <w:r>
              <w:rPr>
                <w:spacing w:val="-4"/>
              </w:rPr>
              <w:t xml:space="preserve"> </w:t>
            </w:r>
            <w:r>
              <w:t>de</w:t>
            </w:r>
            <w:r>
              <w:rPr>
                <w:spacing w:val="-3"/>
              </w:rPr>
              <w:t xml:space="preserve"> </w:t>
            </w:r>
            <w:r>
              <w:t>los</w:t>
            </w:r>
            <w:r>
              <w:rPr>
                <w:spacing w:val="-3"/>
              </w:rPr>
              <w:t xml:space="preserve"> </w:t>
            </w:r>
            <w:r>
              <w:t>recursos</w:t>
            </w:r>
            <w:r>
              <w:rPr>
                <w:spacing w:val="-2"/>
              </w:rPr>
              <w:t xml:space="preserve"> </w:t>
            </w:r>
            <w:r>
              <w:t>de</w:t>
            </w:r>
            <w:r>
              <w:rPr>
                <w:spacing w:val="-3"/>
              </w:rPr>
              <w:t xml:space="preserve"> </w:t>
            </w:r>
            <w:r>
              <w:t>los</w:t>
            </w:r>
            <w:r>
              <w:rPr>
                <w:spacing w:val="-3"/>
              </w:rPr>
              <w:t xml:space="preserve"> </w:t>
            </w:r>
            <w:r>
              <w:t>aspirantes</w:t>
            </w:r>
            <w:r>
              <w:rPr>
                <w:spacing w:val="-3"/>
              </w:rPr>
              <w:t xml:space="preserve"> </w:t>
            </w:r>
            <w:r>
              <w:t>corresponderá</w:t>
            </w:r>
            <w:r>
              <w:rPr>
                <w:spacing w:val="-4"/>
              </w:rPr>
              <w:t xml:space="preserve"> </w:t>
            </w:r>
            <w:r>
              <w:t>al</w:t>
            </w:r>
            <w:r>
              <w:rPr>
                <w:spacing w:val="-4"/>
              </w:rPr>
              <w:t xml:space="preserve"> </w:t>
            </w:r>
            <w:r>
              <w:t>Instituto</w:t>
            </w:r>
            <w:r>
              <w:rPr>
                <w:spacing w:val="-1"/>
              </w:rPr>
              <w:t xml:space="preserve"> </w:t>
            </w:r>
            <w:r>
              <w:t>Nacional</w:t>
            </w:r>
            <w:r>
              <w:rPr>
                <w:spacing w:val="-4"/>
              </w:rPr>
              <w:t xml:space="preserve"> </w:t>
            </w:r>
            <w:r>
              <w:t>y</w:t>
            </w:r>
            <w:r>
              <w:rPr>
                <w:spacing w:val="-3"/>
              </w:rPr>
              <w:t xml:space="preserve"> </w:t>
            </w:r>
            <w:r>
              <w:t>en</w:t>
            </w:r>
            <w:r>
              <w:rPr>
                <w:spacing w:val="-3"/>
              </w:rPr>
              <w:t xml:space="preserve"> </w:t>
            </w:r>
            <w:r>
              <w:t>caso</w:t>
            </w:r>
            <w:r>
              <w:rPr>
                <w:spacing w:val="-4"/>
              </w:rPr>
              <w:t xml:space="preserve"> </w:t>
            </w:r>
            <w:r>
              <w:t>de ser delegada esta facultad al Instituto Electoral, está deberá ser ejercida a través de su Unidad de Fiscalización sujetándose</w:t>
            </w:r>
            <w:r>
              <w:rPr>
                <w:spacing w:val="-6"/>
              </w:rPr>
              <w:t xml:space="preserve"> </w:t>
            </w:r>
            <w:r>
              <w:t>a</w:t>
            </w:r>
            <w:r>
              <w:rPr>
                <w:spacing w:val="-6"/>
              </w:rPr>
              <w:t xml:space="preserve"> </w:t>
            </w:r>
            <w:r>
              <w:t>lo</w:t>
            </w:r>
            <w:r>
              <w:rPr>
                <w:spacing w:val="-5"/>
              </w:rPr>
              <w:t xml:space="preserve"> </w:t>
            </w:r>
            <w:r>
              <w:t>previsto</w:t>
            </w:r>
            <w:r>
              <w:rPr>
                <w:spacing w:val="-4"/>
              </w:rPr>
              <w:t xml:space="preserve"> </w:t>
            </w:r>
            <w:r>
              <w:t>por</w:t>
            </w:r>
            <w:r>
              <w:rPr>
                <w:spacing w:val="-6"/>
              </w:rPr>
              <w:t xml:space="preserve"> </w:t>
            </w:r>
            <w:r>
              <w:t>la</w:t>
            </w:r>
            <w:r>
              <w:rPr>
                <w:spacing w:val="-6"/>
              </w:rPr>
              <w:t xml:space="preserve"> </w:t>
            </w:r>
            <w:r>
              <w:t>Ley</w:t>
            </w:r>
            <w:r>
              <w:rPr>
                <w:spacing w:val="-5"/>
              </w:rPr>
              <w:t xml:space="preserve"> </w:t>
            </w:r>
            <w:r>
              <w:t>General</w:t>
            </w:r>
            <w:r>
              <w:rPr>
                <w:spacing w:val="-6"/>
              </w:rPr>
              <w:t xml:space="preserve"> </w:t>
            </w:r>
            <w:r>
              <w:t>de</w:t>
            </w:r>
            <w:r>
              <w:rPr>
                <w:spacing w:val="-8"/>
              </w:rPr>
              <w:t xml:space="preserve"> </w:t>
            </w:r>
            <w:r>
              <w:t>Partidos,</w:t>
            </w:r>
            <w:r>
              <w:rPr>
                <w:spacing w:val="-7"/>
              </w:rPr>
              <w:t xml:space="preserve"> </w:t>
            </w:r>
            <w:r>
              <w:t>los</w:t>
            </w:r>
            <w:r>
              <w:rPr>
                <w:spacing w:val="-6"/>
              </w:rPr>
              <w:t xml:space="preserve"> </w:t>
            </w:r>
            <w:r>
              <w:t>lineamientos,</w:t>
            </w:r>
            <w:r>
              <w:rPr>
                <w:spacing w:val="-6"/>
              </w:rPr>
              <w:t xml:space="preserve"> </w:t>
            </w:r>
            <w:r>
              <w:t>acuerdos</w:t>
            </w:r>
            <w:r>
              <w:rPr>
                <w:spacing w:val="-6"/>
              </w:rPr>
              <w:t xml:space="preserve"> </w:t>
            </w:r>
            <w:r>
              <w:t>generales,</w:t>
            </w:r>
            <w:r>
              <w:rPr>
                <w:spacing w:val="-6"/>
              </w:rPr>
              <w:t xml:space="preserve"> </w:t>
            </w:r>
            <w:r>
              <w:t>normas</w:t>
            </w:r>
            <w:r>
              <w:rPr>
                <w:spacing w:val="-6"/>
              </w:rPr>
              <w:t xml:space="preserve"> </w:t>
            </w:r>
            <w:r>
              <w:t>técnicas y demás disposiciones que emita el Consejo General del citado Instituto</w:t>
            </w:r>
            <w:r>
              <w:rPr>
                <w:spacing w:val="-14"/>
              </w:rPr>
              <w:t xml:space="preserve"> </w:t>
            </w:r>
            <w:r>
              <w:t>Nacional.</w:t>
            </w:r>
          </w:p>
          <w:p w14:paraId="06D34765" w14:textId="77777777" w:rsidR="00FA32B3" w:rsidRDefault="00FA32B3" w:rsidP="00FA32B3">
            <w:pPr>
              <w:pStyle w:val="TableParagraph"/>
              <w:spacing w:before="6"/>
              <w:ind w:left="0"/>
              <w:jc w:val="both"/>
              <w:rPr>
                <w:rFonts w:ascii="Arial"/>
                <w:b/>
                <w:i/>
                <w:sz w:val="23"/>
              </w:rPr>
            </w:pPr>
          </w:p>
          <w:p w14:paraId="7266AD01" w14:textId="27DC21AA" w:rsidR="00FA32B3" w:rsidRDefault="00FA32B3" w:rsidP="00FA32B3">
            <w:pPr>
              <w:pStyle w:val="TableParagraph"/>
              <w:ind w:right="41"/>
              <w:jc w:val="both"/>
            </w:pPr>
            <w:r>
              <w:rPr>
                <w:b/>
              </w:rPr>
              <w:t xml:space="preserve">Artículo 207.- </w:t>
            </w:r>
            <w:r>
              <w:t>En caso de ser delegada la fiscalización al Instituto Electoral por parte del Instituto Nacional, se deberán</w:t>
            </w:r>
            <w:r>
              <w:rPr>
                <w:spacing w:val="-2"/>
              </w:rPr>
              <w:t xml:space="preserve"> </w:t>
            </w:r>
            <w:r>
              <w:t>presentar</w:t>
            </w:r>
            <w:r>
              <w:rPr>
                <w:spacing w:val="-3"/>
              </w:rPr>
              <w:t xml:space="preserve"> </w:t>
            </w:r>
            <w:r>
              <w:t>los informes</w:t>
            </w:r>
            <w:r>
              <w:rPr>
                <w:spacing w:val="-2"/>
              </w:rPr>
              <w:t xml:space="preserve"> </w:t>
            </w:r>
            <w:r>
              <w:t>del</w:t>
            </w:r>
            <w:r>
              <w:rPr>
                <w:spacing w:val="-3"/>
              </w:rPr>
              <w:t xml:space="preserve"> </w:t>
            </w:r>
            <w:r>
              <w:t>origen</w:t>
            </w:r>
            <w:r>
              <w:rPr>
                <w:spacing w:val="-3"/>
              </w:rPr>
              <w:t xml:space="preserve"> </w:t>
            </w:r>
            <w:r>
              <w:t>y</w:t>
            </w:r>
            <w:r>
              <w:rPr>
                <w:spacing w:val="-2"/>
              </w:rPr>
              <w:t xml:space="preserve"> </w:t>
            </w:r>
            <w:r>
              <w:t>monto</w:t>
            </w:r>
            <w:r>
              <w:rPr>
                <w:spacing w:val="1"/>
              </w:rPr>
              <w:t xml:space="preserve"> </w:t>
            </w:r>
            <w:r>
              <w:t>de</w:t>
            </w:r>
            <w:r>
              <w:rPr>
                <w:spacing w:val="-5"/>
              </w:rPr>
              <w:t xml:space="preserve"> </w:t>
            </w:r>
            <w:r>
              <w:t>los ingresos</w:t>
            </w:r>
            <w:r>
              <w:rPr>
                <w:spacing w:val="-5"/>
              </w:rPr>
              <w:t xml:space="preserve"> </w:t>
            </w:r>
            <w:r>
              <w:t>y</w:t>
            </w:r>
            <w:r>
              <w:rPr>
                <w:spacing w:val="-1"/>
              </w:rPr>
              <w:t xml:space="preserve"> </w:t>
            </w:r>
            <w:r>
              <w:t>gastos</w:t>
            </w:r>
            <w:r>
              <w:rPr>
                <w:spacing w:val="-3"/>
              </w:rPr>
              <w:t xml:space="preserve"> </w:t>
            </w:r>
            <w:r>
              <w:t>de</w:t>
            </w:r>
            <w:r>
              <w:rPr>
                <w:spacing w:val="-3"/>
              </w:rPr>
              <w:t xml:space="preserve"> </w:t>
            </w:r>
            <w:r>
              <w:t>los</w:t>
            </w:r>
            <w:r>
              <w:rPr>
                <w:spacing w:val="-2"/>
              </w:rPr>
              <w:t xml:space="preserve"> </w:t>
            </w:r>
            <w:r>
              <w:t>actos</w:t>
            </w:r>
            <w:r>
              <w:rPr>
                <w:spacing w:val="-3"/>
              </w:rPr>
              <w:t xml:space="preserve"> </w:t>
            </w:r>
            <w:r>
              <w:t>tendentes</w:t>
            </w:r>
            <w:r>
              <w:rPr>
                <w:spacing w:val="-2"/>
              </w:rPr>
              <w:t xml:space="preserve"> </w:t>
            </w:r>
            <w:r>
              <w:t>a</w:t>
            </w:r>
            <w:r>
              <w:rPr>
                <w:spacing w:val="-5"/>
              </w:rPr>
              <w:t xml:space="preserve"> </w:t>
            </w:r>
            <w:r>
              <w:t>obtener</w:t>
            </w:r>
            <w:r>
              <w:rPr>
                <w:spacing w:val="-4"/>
              </w:rPr>
              <w:t xml:space="preserve"> </w:t>
            </w:r>
            <w:r>
              <w:t>el apoyo ciudadano, así como su empleo y aplicación atendiendo a las siguientes</w:t>
            </w:r>
            <w:r>
              <w:rPr>
                <w:spacing w:val="-10"/>
              </w:rPr>
              <w:t xml:space="preserve"> </w:t>
            </w:r>
            <w:r>
              <w:t>reglas:</w:t>
            </w:r>
          </w:p>
          <w:p w14:paraId="6807EBDB" w14:textId="170B4ED6" w:rsidR="00FA32B3" w:rsidRDefault="00FA32B3" w:rsidP="00FA32B3">
            <w:pPr>
              <w:pStyle w:val="TableParagraph"/>
              <w:spacing w:before="2"/>
              <w:ind w:left="0"/>
              <w:jc w:val="both"/>
              <w:rPr>
                <w:rFonts w:ascii="Arial"/>
                <w:b/>
                <w:i/>
                <w:sz w:val="23"/>
              </w:rPr>
            </w:pPr>
          </w:p>
          <w:p w14:paraId="12F0315D" w14:textId="037FBE00" w:rsidR="00FA32B3" w:rsidRDefault="00FA32B3" w:rsidP="00FA32B3">
            <w:pPr>
              <w:pStyle w:val="TableParagraph"/>
              <w:numPr>
                <w:ilvl w:val="0"/>
                <w:numId w:val="3"/>
              </w:numPr>
              <w:tabs>
                <w:tab w:val="left" w:pos="275"/>
              </w:tabs>
              <w:ind w:left="445" w:hanging="283"/>
              <w:jc w:val="both"/>
            </w:pPr>
            <w:r>
              <w:t>Origen y monto de los ingresos, así como los egresos realizados de la cuenta</w:t>
            </w:r>
            <w:r>
              <w:rPr>
                <w:spacing w:val="-23"/>
              </w:rPr>
              <w:t xml:space="preserve"> </w:t>
            </w:r>
            <w:proofErr w:type="spellStart"/>
            <w:r>
              <w:t>aperturada</w:t>
            </w:r>
            <w:proofErr w:type="spellEnd"/>
            <w:r>
              <w:t>;</w:t>
            </w:r>
          </w:p>
          <w:p w14:paraId="23A2797B" w14:textId="77777777" w:rsidR="00FA32B3" w:rsidRDefault="00FA32B3" w:rsidP="00FA32B3">
            <w:pPr>
              <w:pStyle w:val="TableParagraph"/>
              <w:spacing w:before="5"/>
              <w:ind w:left="0"/>
              <w:jc w:val="both"/>
              <w:rPr>
                <w:rFonts w:ascii="Arial"/>
                <w:b/>
                <w:i/>
                <w:sz w:val="23"/>
              </w:rPr>
            </w:pPr>
          </w:p>
          <w:p w14:paraId="2B1B1C1B" w14:textId="64964DD6" w:rsidR="00FA32B3" w:rsidRDefault="00FA32B3" w:rsidP="00FA32B3">
            <w:pPr>
              <w:pStyle w:val="TableParagraph"/>
              <w:numPr>
                <w:ilvl w:val="0"/>
                <w:numId w:val="3"/>
              </w:numPr>
              <w:tabs>
                <w:tab w:val="left" w:pos="335"/>
              </w:tabs>
              <w:ind w:left="334" w:hanging="229"/>
              <w:jc w:val="both"/>
            </w:pPr>
            <w:r>
              <w:t>En su caso, acompañar los estados de cuenta,</w:t>
            </w:r>
            <w:r>
              <w:rPr>
                <w:spacing w:val="-8"/>
              </w:rPr>
              <w:t xml:space="preserve"> </w:t>
            </w:r>
            <w:r>
              <w:t>y</w:t>
            </w:r>
          </w:p>
          <w:p w14:paraId="0CC9D06C" w14:textId="77777777" w:rsidR="00FA32B3" w:rsidRDefault="00FA32B3" w:rsidP="00FA32B3">
            <w:pPr>
              <w:pStyle w:val="Prrafodelista"/>
            </w:pPr>
          </w:p>
          <w:p w14:paraId="75031B22" w14:textId="77777777" w:rsidR="00FA32B3" w:rsidRDefault="00FA32B3" w:rsidP="00FA32B3">
            <w:pPr>
              <w:pStyle w:val="TableParagraph"/>
              <w:numPr>
                <w:ilvl w:val="0"/>
                <w:numId w:val="3"/>
              </w:numPr>
              <w:tabs>
                <w:tab w:val="left" w:pos="393"/>
              </w:tabs>
              <w:ind w:left="392" w:hanging="287"/>
              <w:jc w:val="both"/>
            </w:pPr>
            <w:r>
              <w:t>La documentación comprobatoria y</w:t>
            </w:r>
            <w:r>
              <w:rPr>
                <w:spacing w:val="-7"/>
              </w:rPr>
              <w:t xml:space="preserve"> </w:t>
            </w:r>
            <w:r>
              <w:t>evidencias.</w:t>
            </w:r>
          </w:p>
          <w:p w14:paraId="1334E935" w14:textId="77777777" w:rsidR="00FA32B3" w:rsidRDefault="00FA32B3" w:rsidP="00FA32B3">
            <w:pPr>
              <w:pStyle w:val="TableParagraph"/>
              <w:spacing w:before="7"/>
              <w:ind w:left="0"/>
              <w:jc w:val="both"/>
              <w:rPr>
                <w:rFonts w:ascii="Arial"/>
                <w:b/>
                <w:i/>
                <w:sz w:val="23"/>
              </w:rPr>
            </w:pPr>
          </w:p>
          <w:p w14:paraId="6FE3417C" w14:textId="77777777" w:rsidR="00FA32B3" w:rsidRDefault="00FA32B3" w:rsidP="00FA32B3">
            <w:pPr>
              <w:pStyle w:val="TableParagraph"/>
              <w:spacing w:line="237" w:lineRule="auto"/>
              <w:ind w:right="40"/>
              <w:jc w:val="both"/>
            </w:pPr>
            <w:r>
              <w:t>Los</w:t>
            </w:r>
            <w:r>
              <w:rPr>
                <w:spacing w:val="-15"/>
              </w:rPr>
              <w:t xml:space="preserve"> </w:t>
            </w:r>
            <w:r>
              <w:t>aspirantes</w:t>
            </w:r>
            <w:r>
              <w:rPr>
                <w:spacing w:val="-15"/>
              </w:rPr>
              <w:t xml:space="preserve"> </w:t>
            </w:r>
            <w:r>
              <w:t>deberán</w:t>
            </w:r>
            <w:r>
              <w:rPr>
                <w:spacing w:val="-14"/>
              </w:rPr>
              <w:t xml:space="preserve"> </w:t>
            </w:r>
            <w:r>
              <w:t>presentar</w:t>
            </w:r>
            <w:r>
              <w:rPr>
                <w:spacing w:val="-13"/>
              </w:rPr>
              <w:t xml:space="preserve"> </w:t>
            </w:r>
            <w:r>
              <w:t>ante</w:t>
            </w:r>
            <w:r>
              <w:rPr>
                <w:spacing w:val="-12"/>
              </w:rPr>
              <w:t xml:space="preserve"> </w:t>
            </w:r>
            <w:r>
              <w:t>la</w:t>
            </w:r>
            <w:r>
              <w:rPr>
                <w:spacing w:val="-14"/>
              </w:rPr>
              <w:t xml:space="preserve"> </w:t>
            </w:r>
            <w:r>
              <w:t>Unidad</w:t>
            </w:r>
            <w:r>
              <w:rPr>
                <w:spacing w:val="-14"/>
              </w:rPr>
              <w:t xml:space="preserve"> </w:t>
            </w:r>
            <w:r>
              <w:t>de</w:t>
            </w:r>
            <w:r>
              <w:rPr>
                <w:spacing w:val="-12"/>
              </w:rPr>
              <w:t xml:space="preserve"> </w:t>
            </w:r>
            <w:r>
              <w:t>Fiscalización</w:t>
            </w:r>
            <w:r>
              <w:rPr>
                <w:spacing w:val="-14"/>
              </w:rPr>
              <w:t xml:space="preserve"> </w:t>
            </w:r>
            <w:r>
              <w:t>el</w:t>
            </w:r>
            <w:r>
              <w:rPr>
                <w:spacing w:val="-15"/>
              </w:rPr>
              <w:t xml:space="preserve"> </w:t>
            </w:r>
            <w:r>
              <w:t>citado</w:t>
            </w:r>
            <w:r>
              <w:rPr>
                <w:spacing w:val="-11"/>
              </w:rPr>
              <w:t xml:space="preserve"> </w:t>
            </w:r>
            <w:r>
              <w:t>informe</w:t>
            </w:r>
            <w:r>
              <w:rPr>
                <w:spacing w:val="-15"/>
              </w:rPr>
              <w:t xml:space="preserve"> </w:t>
            </w:r>
            <w:r>
              <w:t>dentro</w:t>
            </w:r>
            <w:r>
              <w:rPr>
                <w:spacing w:val="-12"/>
              </w:rPr>
              <w:t xml:space="preserve"> </w:t>
            </w:r>
            <w:r>
              <w:t>de</w:t>
            </w:r>
            <w:r>
              <w:rPr>
                <w:spacing w:val="-12"/>
              </w:rPr>
              <w:t xml:space="preserve"> </w:t>
            </w:r>
            <w:r>
              <w:t>los</w:t>
            </w:r>
            <w:r>
              <w:rPr>
                <w:spacing w:val="-13"/>
              </w:rPr>
              <w:t xml:space="preserve"> </w:t>
            </w:r>
            <w:r>
              <w:t>diez</w:t>
            </w:r>
            <w:r>
              <w:rPr>
                <w:spacing w:val="-12"/>
              </w:rPr>
              <w:t xml:space="preserve"> </w:t>
            </w:r>
            <w:r>
              <w:t>días</w:t>
            </w:r>
            <w:r>
              <w:rPr>
                <w:spacing w:val="-16"/>
              </w:rPr>
              <w:t xml:space="preserve"> </w:t>
            </w:r>
            <w:r>
              <w:t>hábiles siguientes a la de la conclusión de la obtención del apoyo</w:t>
            </w:r>
            <w:r>
              <w:rPr>
                <w:spacing w:val="-11"/>
              </w:rPr>
              <w:t xml:space="preserve"> </w:t>
            </w:r>
            <w:r>
              <w:t>ciudadano.</w:t>
            </w:r>
          </w:p>
          <w:p w14:paraId="7C542AD4" w14:textId="77777777" w:rsidR="00FA32B3" w:rsidRDefault="00FA32B3" w:rsidP="00FA32B3">
            <w:pPr>
              <w:pStyle w:val="TableParagraph"/>
              <w:spacing w:line="237" w:lineRule="auto"/>
              <w:ind w:right="40"/>
              <w:jc w:val="both"/>
            </w:pPr>
          </w:p>
          <w:p w14:paraId="43FBFFBA" w14:textId="77777777" w:rsidR="00FA32B3" w:rsidRDefault="00FA32B3" w:rsidP="00FA32B3">
            <w:pPr>
              <w:pStyle w:val="TableParagraph"/>
              <w:spacing w:line="237" w:lineRule="auto"/>
              <w:ind w:right="40"/>
              <w:jc w:val="both"/>
            </w:pPr>
            <w:r>
              <w:lastRenderedPageBreak/>
              <w:t>La Unidad de Fiscalización del Instituto Electoral realizará la verificación correspondiente dentro de los quince días</w:t>
            </w:r>
            <w:r>
              <w:rPr>
                <w:spacing w:val="-11"/>
              </w:rPr>
              <w:t xml:space="preserve"> </w:t>
            </w:r>
            <w:r>
              <w:t>hábiles</w:t>
            </w:r>
            <w:r>
              <w:rPr>
                <w:spacing w:val="-10"/>
              </w:rPr>
              <w:t xml:space="preserve"> </w:t>
            </w:r>
            <w:r>
              <w:t>siguientes</w:t>
            </w:r>
            <w:r>
              <w:rPr>
                <w:spacing w:val="-9"/>
              </w:rPr>
              <w:t xml:space="preserve"> </w:t>
            </w:r>
            <w:r>
              <w:t>a</w:t>
            </w:r>
            <w:r>
              <w:rPr>
                <w:spacing w:val="-13"/>
              </w:rPr>
              <w:t xml:space="preserve"> </w:t>
            </w:r>
            <w:r>
              <w:t>la</w:t>
            </w:r>
            <w:r>
              <w:rPr>
                <w:spacing w:val="-13"/>
              </w:rPr>
              <w:t xml:space="preserve"> </w:t>
            </w:r>
            <w:r>
              <w:t>presentación</w:t>
            </w:r>
            <w:r>
              <w:rPr>
                <w:spacing w:val="-10"/>
              </w:rPr>
              <w:t xml:space="preserve"> </w:t>
            </w:r>
            <w:r>
              <w:t>de</w:t>
            </w:r>
            <w:r>
              <w:rPr>
                <w:spacing w:val="-10"/>
              </w:rPr>
              <w:t xml:space="preserve"> </w:t>
            </w:r>
            <w:r>
              <w:t>los</w:t>
            </w:r>
            <w:r>
              <w:rPr>
                <w:spacing w:val="-9"/>
              </w:rPr>
              <w:t xml:space="preserve"> </w:t>
            </w:r>
            <w:r>
              <w:t>informes.</w:t>
            </w:r>
            <w:r>
              <w:rPr>
                <w:spacing w:val="-10"/>
              </w:rPr>
              <w:t xml:space="preserve"> </w:t>
            </w:r>
            <w:r>
              <w:t>En</w:t>
            </w:r>
            <w:r>
              <w:rPr>
                <w:spacing w:val="-11"/>
              </w:rPr>
              <w:t xml:space="preserve"> </w:t>
            </w:r>
            <w:r>
              <w:t>caso</w:t>
            </w:r>
            <w:r>
              <w:rPr>
                <w:spacing w:val="-9"/>
              </w:rPr>
              <w:t xml:space="preserve"> </w:t>
            </w:r>
            <w:r>
              <w:t>de</w:t>
            </w:r>
            <w:r>
              <w:rPr>
                <w:spacing w:val="-12"/>
              </w:rPr>
              <w:t xml:space="preserve"> </w:t>
            </w:r>
            <w:r>
              <w:t>errores</w:t>
            </w:r>
            <w:r>
              <w:rPr>
                <w:spacing w:val="-10"/>
              </w:rPr>
              <w:t xml:space="preserve"> </w:t>
            </w:r>
            <w:r>
              <w:t>u</w:t>
            </w:r>
            <w:r>
              <w:rPr>
                <w:spacing w:val="-13"/>
              </w:rPr>
              <w:t xml:space="preserve"> </w:t>
            </w:r>
            <w:r>
              <w:t>omisiones</w:t>
            </w:r>
            <w:r>
              <w:rPr>
                <w:spacing w:val="-12"/>
              </w:rPr>
              <w:t xml:space="preserve"> </w:t>
            </w:r>
            <w:r>
              <w:t>técnicas</w:t>
            </w:r>
            <w:r>
              <w:rPr>
                <w:spacing w:val="-12"/>
              </w:rPr>
              <w:t xml:space="preserve"> </w:t>
            </w:r>
            <w:r>
              <w:t>se</w:t>
            </w:r>
            <w:r>
              <w:rPr>
                <w:spacing w:val="-10"/>
              </w:rPr>
              <w:t xml:space="preserve"> </w:t>
            </w:r>
            <w:r>
              <w:t>le</w:t>
            </w:r>
            <w:r>
              <w:rPr>
                <w:spacing w:val="-13"/>
              </w:rPr>
              <w:t xml:space="preserve"> </w:t>
            </w:r>
            <w:r>
              <w:t>otorgarán siete días hábiles contados a partir de la notificación para que presenten las aclaraciones o rectificaciones</w:t>
            </w:r>
            <w:r>
              <w:rPr>
                <w:spacing w:val="24"/>
              </w:rPr>
              <w:t xml:space="preserve"> </w:t>
            </w:r>
            <w:r>
              <w:t>que</w:t>
            </w:r>
          </w:p>
          <w:p w14:paraId="358E4E06" w14:textId="77777777" w:rsidR="00FA32B3" w:rsidRDefault="00FA32B3" w:rsidP="00FA32B3">
            <w:pPr>
              <w:pStyle w:val="TableParagraph"/>
              <w:spacing w:before="109" w:line="264" w:lineRule="exact"/>
              <w:jc w:val="both"/>
            </w:pPr>
            <w:r>
              <w:t>considere pertinentes, una vez concluido el término referido, la Unidad de Fiscalización contará con el término</w:t>
            </w:r>
          </w:p>
          <w:p w14:paraId="2F5412A6" w14:textId="77777777" w:rsidR="00FA32B3" w:rsidRDefault="00FA32B3" w:rsidP="00FA32B3">
            <w:pPr>
              <w:pStyle w:val="TableParagraph"/>
              <w:spacing w:line="244" w:lineRule="exact"/>
              <w:jc w:val="both"/>
            </w:pPr>
            <w:r>
              <w:t>de veinte días hábiles para elaborar un Dictamen con Proyecto de Resolución que incluirá los resultados de la</w:t>
            </w:r>
          </w:p>
          <w:p w14:paraId="475C354F" w14:textId="41BA7893" w:rsidR="00FA32B3" w:rsidRDefault="00FA32B3" w:rsidP="00FA32B3">
            <w:pPr>
              <w:pStyle w:val="TableParagraph"/>
              <w:spacing w:before="109" w:line="264" w:lineRule="exact"/>
              <w:jc w:val="both"/>
            </w:pPr>
            <w:r>
              <w:t>revisión así como la propuesta de sanción en su caso, que deberá presentar al Consejo General del Instituto</w:t>
            </w:r>
          </w:p>
          <w:p w14:paraId="29B0702D" w14:textId="77777777" w:rsidR="00FA32B3" w:rsidRDefault="00FA32B3" w:rsidP="00FA32B3">
            <w:pPr>
              <w:pStyle w:val="TableParagraph"/>
              <w:spacing w:before="109" w:line="264" w:lineRule="exact"/>
              <w:jc w:val="both"/>
            </w:pPr>
          </w:p>
          <w:p w14:paraId="7534FC8E" w14:textId="2C314DFC" w:rsidR="00FA32B3" w:rsidRDefault="00FA32B3" w:rsidP="00FA32B3">
            <w:pPr>
              <w:pStyle w:val="TableParagraph"/>
              <w:numPr>
                <w:ilvl w:val="0"/>
                <w:numId w:val="3"/>
              </w:numPr>
              <w:tabs>
                <w:tab w:val="left" w:pos="335"/>
              </w:tabs>
              <w:ind w:left="334" w:hanging="229"/>
              <w:jc w:val="both"/>
            </w:pPr>
            <w:r>
              <w:t>Electoral dentro de los seis días hábiles siguientes a su conclusión, para su correspondiente votación.</w:t>
            </w:r>
          </w:p>
          <w:p w14:paraId="0810EB88" w14:textId="77777777" w:rsidR="00FA32B3" w:rsidRDefault="00FA32B3" w:rsidP="00FA32B3">
            <w:pPr>
              <w:pStyle w:val="TableParagraph"/>
              <w:jc w:val="both"/>
            </w:pPr>
            <w:r>
              <w:t>[…]</w:t>
            </w:r>
          </w:p>
          <w:p w14:paraId="0C2885B8" w14:textId="77777777" w:rsidR="00FA32B3" w:rsidRDefault="00FA32B3" w:rsidP="00FA32B3">
            <w:pPr>
              <w:pStyle w:val="TableParagraph"/>
              <w:jc w:val="both"/>
            </w:pPr>
          </w:p>
          <w:p w14:paraId="099E97FF" w14:textId="77777777" w:rsidR="00FA32B3" w:rsidRDefault="00FA32B3" w:rsidP="00FA32B3">
            <w:pPr>
              <w:pStyle w:val="TableParagraph"/>
              <w:ind w:right="42"/>
              <w:jc w:val="both"/>
            </w:pPr>
            <w:r>
              <w:rPr>
                <w:b/>
              </w:rPr>
              <w:t xml:space="preserve">Artículo 232.- </w:t>
            </w:r>
            <w:r>
              <w:t>Los candidatos deberán nombrar una persona encargada del manejo de los recursos financieros y administración de los recursos generales y de campaña, así como de la presentación de los informes a que</w:t>
            </w:r>
            <w:r>
              <w:rPr>
                <w:spacing w:val="-35"/>
              </w:rPr>
              <w:t xml:space="preserve"> </w:t>
            </w:r>
            <w:r>
              <w:t>se refiere esta Ley de Instituciones, ésta deberá ser invariablemente el Tesorero de la Asociación Civil constituida para la candidatura</w:t>
            </w:r>
            <w:r>
              <w:rPr>
                <w:spacing w:val="-1"/>
              </w:rPr>
              <w:t xml:space="preserve"> </w:t>
            </w:r>
            <w:r>
              <w:t>independiente.</w:t>
            </w:r>
          </w:p>
          <w:p w14:paraId="2439D54D" w14:textId="77777777" w:rsidR="00FA32B3" w:rsidRDefault="00FA32B3" w:rsidP="00FA32B3">
            <w:pPr>
              <w:pStyle w:val="TableParagraph"/>
              <w:spacing w:line="267" w:lineRule="exact"/>
              <w:jc w:val="both"/>
            </w:pPr>
            <w:r>
              <w:t>[…]</w:t>
            </w:r>
          </w:p>
          <w:p w14:paraId="59B89F45" w14:textId="77777777" w:rsidR="00FA32B3" w:rsidRDefault="00FA32B3" w:rsidP="00FA32B3">
            <w:pPr>
              <w:pStyle w:val="TableParagraph"/>
              <w:spacing w:before="5"/>
              <w:ind w:left="0"/>
              <w:jc w:val="both"/>
              <w:rPr>
                <w:rFonts w:ascii="Arial"/>
                <w:b/>
                <w:i/>
                <w:sz w:val="23"/>
              </w:rPr>
            </w:pPr>
          </w:p>
          <w:p w14:paraId="1AC31207" w14:textId="5073190B" w:rsidR="00FA32B3" w:rsidRDefault="00FA32B3" w:rsidP="00FA32B3">
            <w:pPr>
              <w:pStyle w:val="TableParagraph"/>
              <w:ind w:right="43"/>
              <w:jc w:val="both"/>
            </w:pPr>
            <w:r>
              <w:rPr>
                <w:b/>
              </w:rPr>
              <w:t xml:space="preserve">Artículo 235.- </w:t>
            </w:r>
            <w:r>
              <w:t>La Fiscalización de los recursos de los candidatos independientes corresponderá al Instituto Nacional y en caso de ser delegadas estas facultades al Instituto Electoral estás deberán ser ejercidas a través de su Unidad de Fiscalización sujetándose a lo previsto por la Ley General de Partidos, los lineamientos, acuerdos generales, normas técnicas y demás disposiciones que emita el Consejo General del citado Instituto Nacional.</w:t>
            </w:r>
          </w:p>
          <w:p w14:paraId="6A949F53" w14:textId="77777777" w:rsidR="00FA32B3" w:rsidRDefault="00FA32B3" w:rsidP="00FA32B3">
            <w:pPr>
              <w:pStyle w:val="TableParagraph"/>
              <w:ind w:right="43"/>
              <w:jc w:val="both"/>
            </w:pPr>
          </w:p>
          <w:p w14:paraId="489768F7" w14:textId="77777777" w:rsidR="00FA32B3" w:rsidRDefault="00FA32B3" w:rsidP="00FA32B3">
            <w:pPr>
              <w:pStyle w:val="TableParagraph"/>
              <w:ind w:right="41"/>
              <w:jc w:val="both"/>
            </w:pPr>
            <w:r>
              <w:rPr>
                <w:b/>
              </w:rPr>
              <w:t xml:space="preserve">Artículo 236.- </w:t>
            </w:r>
            <w:r>
              <w:t>En caso de ser delegada la fiscalización al Instituto Electoral por parte del Instituto Nacional, se deberán presentar los informes del origen y monto de los ingresos y egresos de los gastos de los actos de campaña, así como su empleo y aplicación atendiendo a las siguientes reglas:</w:t>
            </w:r>
          </w:p>
          <w:p w14:paraId="73A29E13" w14:textId="77777777" w:rsidR="00FA32B3" w:rsidRDefault="00FA32B3" w:rsidP="00FA32B3">
            <w:pPr>
              <w:pStyle w:val="TableParagraph"/>
              <w:spacing w:before="2"/>
              <w:ind w:left="0"/>
              <w:rPr>
                <w:rFonts w:ascii="Arial"/>
                <w:b/>
                <w:i/>
                <w:sz w:val="23"/>
              </w:rPr>
            </w:pPr>
          </w:p>
          <w:p w14:paraId="409730A5" w14:textId="77777777" w:rsidR="00FA32B3" w:rsidRDefault="00FA32B3" w:rsidP="00FA32B3">
            <w:pPr>
              <w:pStyle w:val="TableParagraph"/>
              <w:numPr>
                <w:ilvl w:val="0"/>
                <w:numId w:val="2"/>
              </w:numPr>
              <w:tabs>
                <w:tab w:val="left" w:pos="275"/>
              </w:tabs>
              <w:spacing w:before="1"/>
              <w:ind w:hanging="169"/>
            </w:pPr>
            <w:r>
              <w:t>Origen y monto de los ingresos, así como los egresos realizados de la cuenta</w:t>
            </w:r>
            <w:r>
              <w:rPr>
                <w:spacing w:val="-23"/>
              </w:rPr>
              <w:t xml:space="preserve"> </w:t>
            </w:r>
            <w:proofErr w:type="spellStart"/>
            <w:r>
              <w:t>aperturada</w:t>
            </w:r>
            <w:proofErr w:type="spellEnd"/>
            <w:r>
              <w:t>;</w:t>
            </w:r>
          </w:p>
          <w:p w14:paraId="0331F998" w14:textId="77777777" w:rsidR="00FA32B3" w:rsidRDefault="00FA32B3" w:rsidP="00FA32B3">
            <w:pPr>
              <w:pStyle w:val="TableParagraph"/>
              <w:spacing w:before="4"/>
              <w:ind w:left="0"/>
              <w:rPr>
                <w:rFonts w:ascii="Arial"/>
                <w:b/>
                <w:i/>
                <w:sz w:val="23"/>
              </w:rPr>
            </w:pPr>
          </w:p>
          <w:p w14:paraId="2F40F2EB" w14:textId="77777777" w:rsidR="00FA32B3" w:rsidRDefault="00FA32B3" w:rsidP="00FA32B3">
            <w:pPr>
              <w:pStyle w:val="TableParagraph"/>
              <w:numPr>
                <w:ilvl w:val="0"/>
                <w:numId w:val="2"/>
              </w:numPr>
              <w:tabs>
                <w:tab w:val="left" w:pos="335"/>
              </w:tabs>
              <w:ind w:left="334" w:hanging="229"/>
            </w:pPr>
            <w:r>
              <w:t>En su caso, acompañar los estados de cuenta,</w:t>
            </w:r>
            <w:r>
              <w:rPr>
                <w:spacing w:val="-8"/>
              </w:rPr>
              <w:t xml:space="preserve"> </w:t>
            </w:r>
            <w:r>
              <w:t>y</w:t>
            </w:r>
          </w:p>
          <w:p w14:paraId="69B3EBC6" w14:textId="77777777" w:rsidR="00FA32B3" w:rsidRDefault="00FA32B3" w:rsidP="00FA32B3">
            <w:pPr>
              <w:pStyle w:val="TableParagraph"/>
              <w:spacing w:before="5"/>
              <w:ind w:left="0"/>
              <w:rPr>
                <w:rFonts w:ascii="Arial"/>
                <w:b/>
                <w:i/>
                <w:sz w:val="23"/>
              </w:rPr>
            </w:pPr>
          </w:p>
          <w:p w14:paraId="366909EF" w14:textId="77777777" w:rsidR="00FA32B3" w:rsidRDefault="00FA32B3" w:rsidP="00FA32B3">
            <w:pPr>
              <w:pStyle w:val="TableParagraph"/>
              <w:numPr>
                <w:ilvl w:val="0"/>
                <w:numId w:val="2"/>
              </w:numPr>
              <w:tabs>
                <w:tab w:val="left" w:pos="393"/>
              </w:tabs>
              <w:ind w:left="392" w:hanging="287"/>
            </w:pPr>
            <w:r>
              <w:t>La documentación comprobatoria y</w:t>
            </w:r>
            <w:r>
              <w:rPr>
                <w:spacing w:val="-7"/>
              </w:rPr>
              <w:t xml:space="preserve"> </w:t>
            </w:r>
            <w:r>
              <w:t>evidencias.</w:t>
            </w:r>
          </w:p>
          <w:p w14:paraId="76AEEB17" w14:textId="77777777" w:rsidR="00FA32B3" w:rsidRDefault="00FA32B3" w:rsidP="00FA32B3">
            <w:pPr>
              <w:pStyle w:val="TableParagraph"/>
              <w:spacing w:before="5"/>
              <w:ind w:left="0"/>
              <w:rPr>
                <w:rFonts w:ascii="Arial"/>
                <w:b/>
                <w:i/>
                <w:sz w:val="23"/>
              </w:rPr>
            </w:pPr>
          </w:p>
          <w:p w14:paraId="2F7DC652" w14:textId="77777777" w:rsidR="00FA32B3" w:rsidRDefault="00FA32B3" w:rsidP="00FA32B3">
            <w:pPr>
              <w:pStyle w:val="TableParagraph"/>
              <w:ind w:right="38"/>
              <w:jc w:val="both"/>
            </w:pPr>
            <w:r>
              <w:lastRenderedPageBreak/>
              <w:t>Los</w:t>
            </w:r>
            <w:r>
              <w:rPr>
                <w:spacing w:val="-13"/>
              </w:rPr>
              <w:t xml:space="preserve"> </w:t>
            </w:r>
            <w:r>
              <w:t>candidatos</w:t>
            </w:r>
            <w:r>
              <w:rPr>
                <w:spacing w:val="-13"/>
              </w:rPr>
              <w:t xml:space="preserve"> </w:t>
            </w:r>
            <w:r>
              <w:t>independientes</w:t>
            </w:r>
            <w:r>
              <w:rPr>
                <w:spacing w:val="-13"/>
              </w:rPr>
              <w:t xml:space="preserve"> </w:t>
            </w:r>
            <w:r>
              <w:t>deberán</w:t>
            </w:r>
            <w:r>
              <w:rPr>
                <w:spacing w:val="-14"/>
              </w:rPr>
              <w:t xml:space="preserve"> </w:t>
            </w:r>
            <w:r>
              <w:t>presentar</w:t>
            </w:r>
            <w:r>
              <w:rPr>
                <w:spacing w:val="-13"/>
              </w:rPr>
              <w:t xml:space="preserve"> </w:t>
            </w:r>
            <w:r>
              <w:t>ante</w:t>
            </w:r>
            <w:r>
              <w:rPr>
                <w:spacing w:val="-11"/>
              </w:rPr>
              <w:t xml:space="preserve"> </w:t>
            </w:r>
            <w:r>
              <w:t>la</w:t>
            </w:r>
            <w:r>
              <w:rPr>
                <w:spacing w:val="-13"/>
              </w:rPr>
              <w:t xml:space="preserve"> </w:t>
            </w:r>
            <w:r>
              <w:t>Unidad</w:t>
            </w:r>
            <w:r>
              <w:rPr>
                <w:spacing w:val="-14"/>
              </w:rPr>
              <w:t xml:space="preserve"> </w:t>
            </w:r>
            <w:r>
              <w:t>de</w:t>
            </w:r>
            <w:r>
              <w:rPr>
                <w:spacing w:val="-12"/>
              </w:rPr>
              <w:t xml:space="preserve"> </w:t>
            </w:r>
            <w:r>
              <w:t>Fiscalización</w:t>
            </w:r>
            <w:r>
              <w:rPr>
                <w:spacing w:val="-16"/>
              </w:rPr>
              <w:t xml:space="preserve"> </w:t>
            </w:r>
            <w:r>
              <w:t>el</w:t>
            </w:r>
            <w:r>
              <w:rPr>
                <w:spacing w:val="-12"/>
              </w:rPr>
              <w:t xml:space="preserve"> </w:t>
            </w:r>
            <w:r>
              <w:t>citado</w:t>
            </w:r>
            <w:r>
              <w:rPr>
                <w:spacing w:val="-12"/>
              </w:rPr>
              <w:t xml:space="preserve"> </w:t>
            </w:r>
            <w:r>
              <w:t>informe</w:t>
            </w:r>
            <w:r>
              <w:rPr>
                <w:spacing w:val="-12"/>
              </w:rPr>
              <w:t xml:space="preserve"> </w:t>
            </w:r>
            <w:r>
              <w:t>por</w:t>
            </w:r>
            <w:r>
              <w:rPr>
                <w:spacing w:val="-13"/>
              </w:rPr>
              <w:t xml:space="preserve"> </w:t>
            </w:r>
            <w:r>
              <w:t>periodos de treinta días contados a partir de que dé inicio la etapa de campaña los cuales deberán entregar a la citada Unidad de Fiscalización dentro de los siguientes tres días concluido cada</w:t>
            </w:r>
            <w:r>
              <w:rPr>
                <w:spacing w:val="-16"/>
              </w:rPr>
              <w:t xml:space="preserve"> </w:t>
            </w:r>
            <w:r>
              <w:t>periodo.</w:t>
            </w:r>
          </w:p>
          <w:p w14:paraId="072E0019" w14:textId="77777777" w:rsidR="00FA32B3" w:rsidRDefault="00FA32B3" w:rsidP="00FA32B3">
            <w:pPr>
              <w:pStyle w:val="TableParagraph"/>
              <w:spacing w:before="1"/>
              <w:ind w:left="0"/>
              <w:rPr>
                <w:rFonts w:ascii="Arial"/>
                <w:b/>
                <w:i/>
                <w:sz w:val="23"/>
              </w:rPr>
            </w:pPr>
          </w:p>
          <w:p w14:paraId="7A89806E" w14:textId="0AC67D6D" w:rsidR="00FA32B3" w:rsidRDefault="00FA32B3" w:rsidP="00FA32B3">
            <w:pPr>
              <w:pStyle w:val="TableParagraph"/>
              <w:tabs>
                <w:tab w:val="left" w:pos="335"/>
              </w:tabs>
              <w:jc w:val="both"/>
            </w:pPr>
            <w:r>
              <w:rPr>
                <w:b/>
              </w:rPr>
              <w:t xml:space="preserve">Artículo 237.- </w:t>
            </w:r>
            <w:r>
              <w:t>El procedimiento para la revisión de los informes de campaña de los candidatos independientes se sujetará a las siguientes reglas:</w:t>
            </w:r>
          </w:p>
          <w:p w14:paraId="1DB7F5F2" w14:textId="77777777" w:rsidR="00FA32B3" w:rsidRDefault="00FA32B3" w:rsidP="00FA32B3">
            <w:pPr>
              <w:pStyle w:val="TableParagraph"/>
              <w:spacing w:before="109" w:line="264" w:lineRule="exact"/>
              <w:ind w:left="162" w:hanging="56"/>
              <w:jc w:val="both"/>
            </w:pPr>
            <w:r>
              <w:t>.</w:t>
            </w:r>
            <w:r>
              <w:tab/>
              <w:t>La Unidad de Fiscalización revisará y auditará, simultáneamente al desarrollo de la campaña, el destino que le den los candidatos independientes a los recursos de campaña;</w:t>
            </w:r>
          </w:p>
          <w:p w14:paraId="3562F6E4" w14:textId="77777777" w:rsidR="00FA32B3" w:rsidRDefault="00FA32B3" w:rsidP="00FA32B3">
            <w:pPr>
              <w:pStyle w:val="TableParagraph"/>
              <w:spacing w:before="109" w:line="264" w:lineRule="exact"/>
              <w:jc w:val="both"/>
            </w:pPr>
          </w:p>
          <w:p w14:paraId="30A66896" w14:textId="77777777" w:rsidR="00FA32B3" w:rsidRDefault="00FA32B3" w:rsidP="00FA32B3">
            <w:pPr>
              <w:pStyle w:val="TableParagraph"/>
              <w:spacing w:before="109" w:line="264" w:lineRule="exact"/>
              <w:jc w:val="both"/>
            </w:pPr>
            <w:r>
              <w:t>II.</w:t>
            </w:r>
            <w:r>
              <w:tab/>
              <w:t>Una vez entregados los informes de campaña, la Unidad de Fiscalización contará con diez días hábiles para revisar la documentación soporte y la contabilidad presentada;</w:t>
            </w:r>
          </w:p>
          <w:p w14:paraId="7B072193" w14:textId="77777777" w:rsidR="00FA32B3" w:rsidRDefault="00FA32B3" w:rsidP="00FA32B3">
            <w:pPr>
              <w:pStyle w:val="TableParagraph"/>
              <w:spacing w:before="109" w:line="264" w:lineRule="exact"/>
              <w:jc w:val="both"/>
            </w:pPr>
          </w:p>
          <w:p w14:paraId="5B9FF17F" w14:textId="77777777" w:rsidR="00FA32B3" w:rsidRDefault="00FA32B3" w:rsidP="00FA32B3">
            <w:pPr>
              <w:pStyle w:val="TableParagraph"/>
              <w:spacing w:before="109" w:line="264" w:lineRule="exact"/>
              <w:jc w:val="both"/>
            </w:pPr>
            <w:r>
              <w:t>III.</w:t>
            </w:r>
            <w:r>
              <w:tab/>
              <w:t>En el caso que la autoridad se percate de la existencia de errores u omisiones técnicas en la documentación soporte y contabilidad presentada, otorgará un plazo de cinco días hábiles contados a partir de la notificación que al respecto realice al candidato independiente, para que éste presente las aclaraciones o rectificaciones que considere pertinentes;</w:t>
            </w:r>
          </w:p>
          <w:p w14:paraId="220080F6" w14:textId="77777777" w:rsidR="00FA32B3" w:rsidRDefault="00FA32B3" w:rsidP="00FA32B3">
            <w:pPr>
              <w:pStyle w:val="TableParagraph"/>
              <w:spacing w:before="109" w:line="264" w:lineRule="exact"/>
              <w:jc w:val="both"/>
            </w:pPr>
          </w:p>
          <w:p w14:paraId="08601F75" w14:textId="77777777" w:rsidR="00FA32B3" w:rsidRDefault="00FA32B3" w:rsidP="00FA32B3">
            <w:pPr>
              <w:pStyle w:val="TableParagraph"/>
              <w:spacing w:before="109" w:line="264" w:lineRule="exact"/>
              <w:jc w:val="both"/>
            </w:pPr>
            <w:r>
              <w:t>IV.</w:t>
            </w:r>
            <w:r>
              <w:tab/>
              <w:t>Una vez concluida la revisión del último informe, la Unidad de Fiscalización contará con un término de diez días hábiles para realizar el dictamen consolidado con proyecto de resolución y la propuesta de resolución, que incluirá los resultados de la revisión así como la propuesta de sanción en su caso, que deberá someter a consideración del Consejo General para que éstos sean votados en un término improrrogable de seis días hábiles.</w:t>
            </w:r>
          </w:p>
          <w:p w14:paraId="6AA386EB" w14:textId="77777777" w:rsidR="00FA32B3" w:rsidRDefault="00FA32B3" w:rsidP="00FA32B3">
            <w:pPr>
              <w:pStyle w:val="TableParagraph"/>
              <w:spacing w:before="109" w:line="264" w:lineRule="exact"/>
              <w:jc w:val="both"/>
            </w:pPr>
          </w:p>
          <w:p w14:paraId="1E7BE726" w14:textId="77777777" w:rsidR="00FA32B3" w:rsidRDefault="00FA32B3" w:rsidP="00FA32B3">
            <w:pPr>
              <w:pStyle w:val="TableParagraph"/>
              <w:spacing w:before="109" w:line="264" w:lineRule="exact"/>
              <w:jc w:val="both"/>
            </w:pPr>
            <w:r w:rsidRPr="00460862">
              <w:rPr>
                <w:b/>
                <w:bCs/>
              </w:rPr>
              <w:t>Artículo 238.-</w:t>
            </w:r>
            <w:r>
              <w:t xml:space="preserve"> En el desempeño de sus facultades y atribuciones la Unidad de Fiscalización a través del Consejo General del Instituto Nacional no estará limitada por los secretos bancario, fiscal o fiduciario establecidos por otras leyes. Las autoridades competentes están obligadas a atender y resolver, en un plazo máximo de cinco días hábiles, los requerimientos de información que en esas materias les presente la Unidad de Fiscalización.</w:t>
            </w:r>
          </w:p>
          <w:p w14:paraId="125F675D" w14:textId="77777777" w:rsidR="00FA32B3" w:rsidRDefault="00FA32B3" w:rsidP="00FA32B3">
            <w:pPr>
              <w:pStyle w:val="TableParagraph"/>
              <w:spacing w:before="109" w:line="264" w:lineRule="exact"/>
              <w:jc w:val="both"/>
            </w:pPr>
          </w:p>
          <w:p w14:paraId="710D03FE" w14:textId="77777777" w:rsidR="00FA32B3" w:rsidRDefault="00FA32B3" w:rsidP="00FA32B3">
            <w:pPr>
              <w:pStyle w:val="TableParagraph"/>
              <w:spacing w:before="109" w:line="264" w:lineRule="exact"/>
              <w:jc w:val="both"/>
            </w:pPr>
            <w:r w:rsidRPr="00460862">
              <w:rPr>
                <w:b/>
                <w:bCs/>
              </w:rPr>
              <w:lastRenderedPageBreak/>
              <w:t>Artículo 239.-</w:t>
            </w:r>
            <w:r>
              <w:t xml:space="preserve"> En el ejercicio de sus facultades, la Unidad de Fiscalización deberá garantizar el derecho de audiencia de los candidatos independientes con motivo de los procesos de fiscalización a que se refiere el presente Título.</w:t>
            </w:r>
          </w:p>
          <w:p w14:paraId="1B5F23BB" w14:textId="77777777" w:rsidR="00FA32B3" w:rsidRDefault="00FA32B3" w:rsidP="00FA32B3">
            <w:pPr>
              <w:pStyle w:val="TableParagraph"/>
              <w:spacing w:before="109" w:line="264" w:lineRule="exact"/>
              <w:jc w:val="both"/>
            </w:pPr>
          </w:p>
          <w:p w14:paraId="2BEA8B89" w14:textId="77777777" w:rsidR="00FA32B3" w:rsidRDefault="00FA32B3" w:rsidP="00FA32B3">
            <w:pPr>
              <w:pStyle w:val="TableParagraph"/>
              <w:spacing w:before="109" w:line="264" w:lineRule="exact"/>
              <w:jc w:val="both"/>
            </w:pPr>
            <w:r w:rsidRPr="00C045D5">
              <w:rPr>
                <w:b/>
                <w:bCs/>
              </w:rPr>
              <w:t>Artículo 240.-</w:t>
            </w:r>
            <w:r>
              <w:t xml:space="preserve"> Los candidatos independientes tendrán derecho a la confronta de los documentos comprobatorios de sus ingresos y egresos, o de sus estados contables, contra los obtenidos o elaborados por la Unidad de Fiscalización sobre las mismas operaciones, a fin de aclarar las discrepancias entre unos y otros.</w:t>
            </w:r>
          </w:p>
          <w:p w14:paraId="5FF7CF00" w14:textId="77777777" w:rsidR="00FA32B3" w:rsidRDefault="00FA32B3" w:rsidP="00FA32B3">
            <w:pPr>
              <w:pStyle w:val="TableParagraph"/>
              <w:spacing w:before="109" w:line="264" w:lineRule="exact"/>
              <w:jc w:val="both"/>
            </w:pPr>
          </w:p>
          <w:p w14:paraId="0CE54A76" w14:textId="74D28969" w:rsidR="00FA32B3" w:rsidRDefault="00FA32B3" w:rsidP="00FA32B3">
            <w:pPr>
              <w:pStyle w:val="TableParagraph"/>
              <w:jc w:val="both"/>
            </w:pPr>
            <w:r w:rsidRPr="00CC5A91">
              <w:rPr>
                <w:b/>
                <w:bCs/>
              </w:rPr>
              <w:t>Artículo 241.-</w:t>
            </w:r>
            <w:r>
              <w:t xml:space="preserve"> En casos de excepción y previo acuerdo del Consejo General, la Unidad de Fiscalización podrá abrir procesos extraordinarios de fiscalización con plazos diferentes a los establecidos en el artículo anterior.</w:t>
            </w:r>
          </w:p>
          <w:p w14:paraId="4BEE7EA6" w14:textId="177D89BD" w:rsidR="00FA32B3" w:rsidRDefault="00FA32B3" w:rsidP="00FA32B3">
            <w:pPr>
              <w:pStyle w:val="TableParagraph"/>
              <w:jc w:val="both"/>
            </w:pPr>
          </w:p>
          <w:p w14:paraId="66C96CED" w14:textId="77777777" w:rsidR="00FA32B3" w:rsidRDefault="00FA32B3" w:rsidP="00FA32B3">
            <w:pPr>
              <w:pStyle w:val="TableParagraph"/>
              <w:spacing w:before="59"/>
              <w:ind w:right="40"/>
              <w:jc w:val="both"/>
            </w:pPr>
            <w:r>
              <w:t>En</w:t>
            </w:r>
            <w:r>
              <w:rPr>
                <w:spacing w:val="-7"/>
              </w:rPr>
              <w:t xml:space="preserve"> </w:t>
            </w:r>
            <w:r>
              <w:t>todo</w:t>
            </w:r>
            <w:r>
              <w:rPr>
                <w:spacing w:val="-4"/>
              </w:rPr>
              <w:t xml:space="preserve"> </w:t>
            </w:r>
            <w:r>
              <w:t>caso,</w:t>
            </w:r>
            <w:r>
              <w:rPr>
                <w:spacing w:val="-5"/>
              </w:rPr>
              <w:t xml:space="preserve"> </w:t>
            </w:r>
            <w:r>
              <w:t>los</w:t>
            </w:r>
            <w:r>
              <w:rPr>
                <w:spacing w:val="-6"/>
              </w:rPr>
              <w:t xml:space="preserve"> </w:t>
            </w:r>
            <w:r>
              <w:t>procesos</w:t>
            </w:r>
            <w:r>
              <w:rPr>
                <w:spacing w:val="-9"/>
              </w:rPr>
              <w:t xml:space="preserve"> </w:t>
            </w:r>
            <w:r>
              <w:t>extraordinarios</w:t>
            </w:r>
            <w:r>
              <w:rPr>
                <w:spacing w:val="-6"/>
              </w:rPr>
              <w:t xml:space="preserve"> </w:t>
            </w:r>
            <w:r>
              <w:t>deberán</w:t>
            </w:r>
            <w:r>
              <w:rPr>
                <w:spacing w:val="-6"/>
              </w:rPr>
              <w:t xml:space="preserve"> </w:t>
            </w:r>
            <w:r>
              <w:t>quedar</w:t>
            </w:r>
            <w:r>
              <w:rPr>
                <w:spacing w:val="-6"/>
              </w:rPr>
              <w:t xml:space="preserve"> </w:t>
            </w:r>
            <w:r>
              <w:t>concluidos</w:t>
            </w:r>
            <w:r>
              <w:rPr>
                <w:spacing w:val="-7"/>
              </w:rPr>
              <w:t xml:space="preserve"> </w:t>
            </w:r>
            <w:r>
              <w:t>en</w:t>
            </w:r>
            <w:r>
              <w:rPr>
                <w:spacing w:val="-6"/>
              </w:rPr>
              <w:t xml:space="preserve"> </w:t>
            </w:r>
            <w:r>
              <w:t>un</w:t>
            </w:r>
            <w:r>
              <w:rPr>
                <w:spacing w:val="-6"/>
              </w:rPr>
              <w:t xml:space="preserve"> </w:t>
            </w:r>
            <w:r>
              <w:t>plazo</w:t>
            </w:r>
            <w:r>
              <w:rPr>
                <w:spacing w:val="-4"/>
              </w:rPr>
              <w:t xml:space="preserve"> </w:t>
            </w:r>
            <w:r>
              <w:t>máximo</w:t>
            </w:r>
            <w:r>
              <w:rPr>
                <w:spacing w:val="-5"/>
              </w:rPr>
              <w:t xml:space="preserve"> </w:t>
            </w:r>
            <w:r>
              <w:t>de</w:t>
            </w:r>
            <w:r>
              <w:rPr>
                <w:spacing w:val="-7"/>
              </w:rPr>
              <w:t xml:space="preserve"> </w:t>
            </w:r>
            <w:r>
              <w:t>seis</w:t>
            </w:r>
            <w:r>
              <w:rPr>
                <w:spacing w:val="-8"/>
              </w:rPr>
              <w:t xml:space="preserve"> </w:t>
            </w:r>
            <w:r>
              <w:t>meses,</w:t>
            </w:r>
            <w:r>
              <w:rPr>
                <w:spacing w:val="-5"/>
              </w:rPr>
              <w:t xml:space="preserve"> </w:t>
            </w:r>
            <w:r>
              <w:t>salvo que</w:t>
            </w:r>
            <w:r>
              <w:rPr>
                <w:spacing w:val="-11"/>
              </w:rPr>
              <w:t xml:space="preserve"> </w:t>
            </w:r>
            <w:r>
              <w:t>el</w:t>
            </w:r>
            <w:r>
              <w:rPr>
                <w:spacing w:val="-13"/>
              </w:rPr>
              <w:t xml:space="preserve"> </w:t>
            </w:r>
            <w:r>
              <w:t>Consejo</w:t>
            </w:r>
            <w:r>
              <w:rPr>
                <w:spacing w:val="-9"/>
              </w:rPr>
              <w:t xml:space="preserve"> </w:t>
            </w:r>
            <w:r>
              <w:t>General</w:t>
            </w:r>
            <w:r>
              <w:rPr>
                <w:spacing w:val="-13"/>
              </w:rPr>
              <w:t xml:space="preserve"> </w:t>
            </w:r>
            <w:r>
              <w:t>autorice,</w:t>
            </w:r>
            <w:r>
              <w:rPr>
                <w:spacing w:val="-12"/>
              </w:rPr>
              <w:t xml:space="preserve"> </w:t>
            </w:r>
            <w:r>
              <w:t>por</w:t>
            </w:r>
            <w:r>
              <w:rPr>
                <w:spacing w:val="-13"/>
              </w:rPr>
              <w:t xml:space="preserve"> </w:t>
            </w:r>
            <w:r>
              <w:t>causa</w:t>
            </w:r>
            <w:r>
              <w:rPr>
                <w:spacing w:val="-11"/>
              </w:rPr>
              <w:t xml:space="preserve"> </w:t>
            </w:r>
            <w:r>
              <w:t>justificada,</w:t>
            </w:r>
            <w:r>
              <w:rPr>
                <w:spacing w:val="-15"/>
              </w:rPr>
              <w:t xml:space="preserve"> </w:t>
            </w:r>
            <w:r>
              <w:t>la</w:t>
            </w:r>
            <w:r>
              <w:rPr>
                <w:spacing w:val="-11"/>
              </w:rPr>
              <w:t xml:space="preserve"> </w:t>
            </w:r>
            <w:r>
              <w:t>ampliación</w:t>
            </w:r>
            <w:r>
              <w:rPr>
                <w:spacing w:val="-14"/>
              </w:rPr>
              <w:t xml:space="preserve"> </w:t>
            </w:r>
            <w:r>
              <w:t>del</w:t>
            </w:r>
            <w:r>
              <w:rPr>
                <w:spacing w:val="-13"/>
              </w:rPr>
              <w:t xml:space="preserve"> </w:t>
            </w:r>
            <w:r>
              <w:t>plazo.</w:t>
            </w:r>
            <w:r>
              <w:rPr>
                <w:spacing w:val="-13"/>
              </w:rPr>
              <w:t xml:space="preserve"> </w:t>
            </w:r>
            <w:r>
              <w:t>Los</w:t>
            </w:r>
            <w:r>
              <w:rPr>
                <w:spacing w:val="-13"/>
              </w:rPr>
              <w:t xml:space="preserve"> </w:t>
            </w:r>
            <w:r>
              <w:t>acuerdos</w:t>
            </w:r>
            <w:r>
              <w:rPr>
                <w:spacing w:val="-13"/>
              </w:rPr>
              <w:t xml:space="preserve"> </w:t>
            </w:r>
            <w:r>
              <w:t>del</w:t>
            </w:r>
            <w:r>
              <w:rPr>
                <w:spacing w:val="-13"/>
              </w:rPr>
              <w:t xml:space="preserve"> </w:t>
            </w:r>
            <w:r>
              <w:t>Consejo</w:t>
            </w:r>
            <w:r>
              <w:rPr>
                <w:spacing w:val="-9"/>
              </w:rPr>
              <w:t xml:space="preserve"> </w:t>
            </w:r>
            <w:r>
              <w:t>General a que se refiere este artículo podrán ser impugnados ante el Tribunal</w:t>
            </w:r>
            <w:r>
              <w:rPr>
                <w:spacing w:val="-12"/>
              </w:rPr>
              <w:t xml:space="preserve"> </w:t>
            </w:r>
            <w:r>
              <w:t>Electoral.</w:t>
            </w:r>
          </w:p>
          <w:p w14:paraId="5864BE47" w14:textId="77777777" w:rsidR="00FA32B3" w:rsidRDefault="00FA32B3" w:rsidP="00FA32B3">
            <w:pPr>
              <w:pStyle w:val="TableParagraph"/>
              <w:spacing w:before="5"/>
              <w:ind w:left="0"/>
              <w:jc w:val="both"/>
              <w:rPr>
                <w:rFonts w:ascii="Arial"/>
                <w:b/>
                <w:i/>
                <w:sz w:val="23"/>
              </w:rPr>
            </w:pPr>
          </w:p>
          <w:p w14:paraId="2BE47F23" w14:textId="77777777" w:rsidR="00FA32B3" w:rsidRDefault="00FA32B3" w:rsidP="00FA32B3">
            <w:pPr>
              <w:pStyle w:val="TableParagraph"/>
              <w:spacing w:line="239" w:lineRule="exact"/>
              <w:jc w:val="both"/>
            </w:pPr>
            <w:r>
              <w:t xml:space="preserve">[…] </w:t>
            </w:r>
          </w:p>
          <w:p w14:paraId="77EE3748" w14:textId="77777777" w:rsidR="00FA32B3" w:rsidRPr="00970E94" w:rsidRDefault="00FA32B3" w:rsidP="00FA32B3">
            <w:pPr>
              <w:pStyle w:val="TableParagraph"/>
              <w:spacing w:line="239" w:lineRule="exact"/>
              <w:jc w:val="both"/>
            </w:pPr>
            <w:r w:rsidRPr="00970E94">
              <w:rPr>
                <w:b/>
                <w:bCs/>
              </w:rPr>
              <w:t>Artículo 383</w:t>
            </w:r>
            <w:r w:rsidRPr="00970E94">
              <w:t>.- En caso de ser delegada la fiscalización al Instituto Electoral por parte del Instituto Nacional, se deberán presentar los informes del origen y monto de los ingresos y gastos de precampaña, así como su empleo y aplicación atendiendo a las siguientes reglas:</w:t>
            </w:r>
          </w:p>
          <w:p w14:paraId="08CBAFA2" w14:textId="77777777" w:rsidR="00FA32B3" w:rsidRDefault="00FA32B3" w:rsidP="00FA32B3">
            <w:pPr>
              <w:pStyle w:val="TableParagraph"/>
              <w:spacing w:line="239" w:lineRule="exact"/>
              <w:jc w:val="both"/>
            </w:pPr>
          </w:p>
          <w:p w14:paraId="091D91AD" w14:textId="77777777" w:rsidR="00FA32B3" w:rsidRDefault="00FA32B3" w:rsidP="00FA32B3">
            <w:pPr>
              <w:pStyle w:val="TableParagraph"/>
              <w:spacing w:line="239" w:lineRule="exact"/>
              <w:jc w:val="both"/>
            </w:pPr>
            <w:r>
              <w:t xml:space="preserve">Origen y monto de los ingresos, así como los egresos realizados de la cuenta </w:t>
            </w:r>
            <w:proofErr w:type="spellStart"/>
            <w:r>
              <w:t>aperturada</w:t>
            </w:r>
            <w:proofErr w:type="spellEnd"/>
            <w:r>
              <w:t>;</w:t>
            </w:r>
          </w:p>
          <w:p w14:paraId="4E6A59B0" w14:textId="77777777" w:rsidR="00FA32B3" w:rsidRDefault="00FA32B3" w:rsidP="00FA32B3">
            <w:pPr>
              <w:pStyle w:val="TableParagraph"/>
              <w:spacing w:line="239" w:lineRule="exact"/>
              <w:jc w:val="both"/>
            </w:pPr>
          </w:p>
          <w:p w14:paraId="60FF857C" w14:textId="77777777" w:rsidR="00FA32B3" w:rsidRDefault="00FA32B3" w:rsidP="00FA32B3">
            <w:pPr>
              <w:pStyle w:val="TableParagraph"/>
              <w:spacing w:line="239" w:lineRule="exact"/>
              <w:jc w:val="both"/>
            </w:pPr>
            <w:r>
              <w:t>En su caso, acompañar los estados de cuenta, y</w:t>
            </w:r>
          </w:p>
          <w:p w14:paraId="45B0CA00" w14:textId="77777777" w:rsidR="00FA32B3" w:rsidRDefault="00FA32B3" w:rsidP="00FA32B3">
            <w:pPr>
              <w:pStyle w:val="TableParagraph"/>
              <w:spacing w:line="239" w:lineRule="exact"/>
              <w:jc w:val="both"/>
            </w:pPr>
          </w:p>
          <w:p w14:paraId="2A4247AE" w14:textId="77777777" w:rsidR="00FA32B3" w:rsidRDefault="00FA32B3" w:rsidP="00FA32B3">
            <w:pPr>
              <w:pStyle w:val="TableParagraph"/>
              <w:spacing w:line="239" w:lineRule="exact"/>
              <w:jc w:val="both"/>
            </w:pPr>
            <w:r>
              <w:t>La documentación comprobatoria y evidencias.</w:t>
            </w:r>
          </w:p>
          <w:p w14:paraId="4BC4A458" w14:textId="77777777" w:rsidR="00FA32B3" w:rsidRDefault="00FA32B3" w:rsidP="00FA32B3">
            <w:pPr>
              <w:pStyle w:val="TableParagraph"/>
              <w:spacing w:line="239" w:lineRule="exact"/>
              <w:jc w:val="both"/>
            </w:pPr>
          </w:p>
          <w:p w14:paraId="51E19E68" w14:textId="77777777" w:rsidR="00FA32B3" w:rsidRDefault="00FA32B3" w:rsidP="00FA32B3">
            <w:pPr>
              <w:pStyle w:val="TableParagraph"/>
              <w:spacing w:line="239" w:lineRule="exact"/>
              <w:jc w:val="both"/>
            </w:pPr>
            <w:r>
              <w:t>Los partidos políticos deberán presentar ante la Unidad de Fiscalización el citado informe dentro de los diez días siguientes a la de la conclusión de las precampañas.</w:t>
            </w:r>
          </w:p>
          <w:p w14:paraId="5786DED6" w14:textId="77777777" w:rsidR="00FA32B3" w:rsidRDefault="00FA32B3" w:rsidP="00FA32B3">
            <w:pPr>
              <w:pStyle w:val="TableParagraph"/>
              <w:spacing w:line="239" w:lineRule="exact"/>
              <w:jc w:val="both"/>
            </w:pPr>
          </w:p>
          <w:p w14:paraId="1836E294" w14:textId="12DE8A45" w:rsidR="00FA32B3" w:rsidRDefault="00FA32B3" w:rsidP="00FA32B3">
            <w:pPr>
              <w:pStyle w:val="TableParagraph"/>
              <w:jc w:val="both"/>
              <w:rPr>
                <w:b/>
              </w:rPr>
            </w:pPr>
            <w:r>
              <w:t xml:space="preserve">La Unidad de Fiscalización realizará la verificación correspondiente dentro de los quince días hábiles siguientes a la presentación de los informes. En caso de errores u omisiones técnicas se le otorgarán siete días hábiles contados a partir de la notificación para que presenten las aclaraciones o rectificaciones que considere </w:t>
            </w:r>
            <w:r>
              <w:lastRenderedPageBreak/>
              <w:t>pertinentes, una vez concluido el término referido, la Unidad de Fiscalización contará con el término de diez días para elaborar un Dictamen con Proyecto de Resolución que incluirá los resultados de la revisión así como la propuesta de sanción en su caso, que deberá  presentar al Consejo General del Instituto Electoral del Estado dentro de los seis días siguientes a su conclusión, para su correspondiente votación.</w:t>
            </w:r>
          </w:p>
        </w:tc>
      </w:tr>
      <w:tr w:rsidR="00FA32B3" w14:paraId="7A0B2591" w14:textId="77777777" w:rsidTr="00FA32B3">
        <w:trPr>
          <w:trHeight w:val="607"/>
        </w:trPr>
        <w:tc>
          <w:tcPr>
            <w:tcW w:w="747" w:type="dxa"/>
            <w:shd w:val="clear" w:color="auto" w:fill="auto"/>
          </w:tcPr>
          <w:p w14:paraId="57838DA4" w14:textId="7A002357" w:rsidR="00FA32B3" w:rsidRDefault="00FA32B3" w:rsidP="00FA32B3">
            <w:pPr>
              <w:pStyle w:val="TableParagraph"/>
              <w:ind w:left="0"/>
              <w:rPr>
                <w:rFonts w:ascii="Arial"/>
                <w:b/>
                <w:i/>
                <w:sz w:val="24"/>
              </w:rPr>
            </w:pPr>
            <w:r>
              <w:rPr>
                <w:b/>
              </w:rPr>
              <w:lastRenderedPageBreak/>
              <w:t>3.</w:t>
            </w:r>
          </w:p>
        </w:tc>
        <w:tc>
          <w:tcPr>
            <w:tcW w:w="3094" w:type="dxa"/>
            <w:shd w:val="clear" w:color="auto" w:fill="auto"/>
          </w:tcPr>
          <w:p w14:paraId="6CDDB8D9" w14:textId="7258A8AE" w:rsidR="00FA32B3" w:rsidRDefault="00FA32B3" w:rsidP="00FA32B3">
            <w:pPr>
              <w:pStyle w:val="TableParagraph"/>
              <w:ind w:left="0"/>
              <w:rPr>
                <w:rFonts w:ascii="Arial"/>
                <w:b/>
                <w:i/>
              </w:rPr>
            </w:pPr>
            <w:r>
              <w:rPr>
                <w:b/>
              </w:rPr>
              <w:t>CAMPECHE</w:t>
            </w:r>
          </w:p>
        </w:tc>
        <w:tc>
          <w:tcPr>
            <w:tcW w:w="13719" w:type="dxa"/>
            <w:gridSpan w:val="2"/>
            <w:shd w:val="clear" w:color="auto" w:fill="FFFFFF" w:themeFill="background1"/>
          </w:tcPr>
          <w:p w14:paraId="74CFF0A7" w14:textId="77777777" w:rsidR="00FA32B3" w:rsidRDefault="00CE61E5" w:rsidP="00FA32B3">
            <w:pPr>
              <w:pStyle w:val="TableParagraph"/>
              <w:ind w:left="0"/>
              <w:rPr>
                <w:rFonts w:ascii="Arial"/>
                <w:b/>
                <w:i/>
              </w:rPr>
            </w:pPr>
            <w:hyperlink r:id="rId9">
              <w:r w:rsidR="00FA32B3">
                <w:rPr>
                  <w:b/>
                  <w:color w:val="0462C1"/>
                  <w:u w:val="single" w:color="0462C1"/>
                </w:rPr>
                <w:t>Reglamento de Fiscalización de las Agrupaciones Políticas y Organizaciones Locales</w:t>
              </w:r>
            </w:hyperlink>
          </w:p>
          <w:p w14:paraId="2C37F6FD" w14:textId="66E5EB4F" w:rsidR="00FA32B3" w:rsidRDefault="00FA32B3" w:rsidP="00FA32B3">
            <w:pPr>
              <w:pStyle w:val="TableParagraph"/>
              <w:spacing w:before="59"/>
              <w:ind w:right="40"/>
              <w:jc w:val="both"/>
              <w:rPr>
                <w:b/>
              </w:rPr>
            </w:pPr>
          </w:p>
        </w:tc>
      </w:tr>
    </w:tbl>
    <w:p w14:paraId="2F0EABBA" w14:textId="77777777" w:rsidR="00897066" w:rsidRDefault="00897066">
      <w:pPr>
        <w:sectPr w:rsidR="00897066" w:rsidSect="00DD755A">
          <w:headerReference w:type="even" r:id="rId10"/>
          <w:headerReference w:type="default" r:id="rId11"/>
          <w:type w:val="continuous"/>
          <w:pgSz w:w="20160" w:h="12240" w:orient="landscape"/>
          <w:pgMar w:top="900" w:right="1020" w:bottom="280" w:left="1320" w:header="720" w:footer="720" w:gutter="0"/>
          <w:cols w:space="720"/>
          <w:docGrid w:linePitch="299"/>
        </w:sectPr>
      </w:pPr>
    </w:p>
    <w:p w14:paraId="43A376E7" w14:textId="44EF54A7" w:rsidR="008C386F" w:rsidRPr="008C386F" w:rsidRDefault="008C386F" w:rsidP="00FA32B3">
      <w:pPr>
        <w:ind w:right="115"/>
        <w:jc w:val="right"/>
        <w:rPr>
          <w:rFonts w:ascii="Times New Roman" w:eastAsia="Arial" w:hAnsi="Arial" w:cs="Arial"/>
          <w:bCs/>
          <w:sz w:val="20"/>
          <w:szCs w:val="18"/>
        </w:rPr>
      </w:pPr>
    </w:p>
    <w:sectPr w:rsidR="008C386F" w:rsidRPr="008C386F">
      <w:pgSz w:w="20160" w:h="12240" w:orient="landscape"/>
      <w:pgMar w:top="900" w:right="10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C252" w14:textId="77777777" w:rsidR="00CE61E5" w:rsidRDefault="00CE61E5" w:rsidP="00E414E4">
      <w:r>
        <w:separator/>
      </w:r>
    </w:p>
  </w:endnote>
  <w:endnote w:type="continuationSeparator" w:id="0">
    <w:p w14:paraId="2B04E341" w14:textId="77777777" w:rsidR="00CE61E5" w:rsidRDefault="00CE61E5" w:rsidP="00E4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211C" w14:textId="77777777" w:rsidR="00CE61E5" w:rsidRDefault="00CE61E5" w:rsidP="00E414E4">
      <w:r>
        <w:separator/>
      </w:r>
    </w:p>
  </w:footnote>
  <w:footnote w:type="continuationSeparator" w:id="0">
    <w:p w14:paraId="589CB44B" w14:textId="77777777" w:rsidR="00CE61E5" w:rsidRDefault="00CE61E5" w:rsidP="00E4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BCF1" w14:textId="0D5A67A2" w:rsidR="00B66EEB" w:rsidRPr="00E414E4" w:rsidRDefault="00B66EEB" w:rsidP="00B66EEB">
    <w:pPr>
      <w:rPr>
        <w:rFonts w:ascii="Times New Roman" w:eastAsia="Arial" w:hAnsi="Arial" w:cs="Arial"/>
        <w:bCs/>
        <w:sz w:val="20"/>
        <w:szCs w:val="18"/>
      </w:rPr>
    </w:pPr>
    <w:r w:rsidRPr="008F3C4A">
      <w:rPr>
        <w:rFonts w:ascii="Arial" w:eastAsia="Arial" w:hAnsi="Arial" w:cs="Arial"/>
        <w:b/>
        <w:bCs/>
        <w:i/>
        <w:noProof/>
        <w:sz w:val="18"/>
        <w:szCs w:val="18"/>
      </w:rPr>
      <w:drawing>
        <wp:anchor distT="0" distB="0" distL="0" distR="0" simplePos="0" relativeHeight="251657728" behindDoc="0" locked="0" layoutInCell="1" allowOverlap="1" wp14:anchorId="030F3887" wp14:editId="4B9B31C0">
          <wp:simplePos x="0" y="0"/>
          <wp:positionH relativeFrom="page">
            <wp:posOffset>1082675</wp:posOffset>
          </wp:positionH>
          <wp:positionV relativeFrom="page">
            <wp:posOffset>190913</wp:posOffset>
          </wp:positionV>
          <wp:extent cx="1040838" cy="100134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838" cy="1001344"/>
                  </a:xfrm>
                  <a:prstGeom prst="rect">
                    <a:avLst/>
                  </a:prstGeom>
                </pic:spPr>
              </pic:pic>
            </a:graphicData>
          </a:graphic>
        </wp:anchor>
      </w:drawing>
    </w:r>
    <w:r>
      <w:tab/>
    </w:r>
    <w:r>
      <w:tab/>
    </w:r>
    <w:r>
      <w:tab/>
    </w:r>
    <w:r>
      <w:tab/>
    </w:r>
    <w:r>
      <w:tab/>
    </w:r>
    <w:r>
      <w:tab/>
    </w:r>
    <w:r>
      <w:tab/>
    </w:r>
    <w:r>
      <w:tab/>
    </w:r>
    <w:r>
      <w:tab/>
    </w:r>
    <w:r>
      <w:tab/>
    </w:r>
    <w:r>
      <w:tab/>
    </w:r>
    <w:r>
      <w:tab/>
    </w:r>
    <w:r>
      <w:tab/>
    </w:r>
    <w:r>
      <w:tab/>
    </w:r>
    <w:r>
      <w:tab/>
    </w:r>
    <w:r w:rsidRPr="008F3C4A">
      <w:rPr>
        <w:rFonts w:ascii="Arial" w:eastAsia="Arial" w:hAnsi="Arial" w:cs="Arial"/>
        <w:b/>
        <w:i/>
      </w:rPr>
      <w:t>D</w:t>
    </w:r>
    <w:r w:rsidRPr="008F3C4A">
      <w:rPr>
        <w:rFonts w:ascii="Arial" w:eastAsia="Arial" w:hAnsi="Arial" w:cs="Arial"/>
        <w:b/>
        <w:i/>
        <w:sz w:val="18"/>
        <w:szCs w:val="18"/>
      </w:rPr>
      <w:t>IRECCIÓN</w:t>
    </w:r>
    <w:r w:rsidRPr="008F3C4A">
      <w:rPr>
        <w:rFonts w:ascii="Arial" w:eastAsia="Arial" w:hAnsi="Arial" w:cs="Arial"/>
        <w:b/>
        <w:i/>
      </w:rPr>
      <w:t xml:space="preserve"> G</w:t>
    </w:r>
    <w:r w:rsidRPr="008F3C4A">
      <w:rPr>
        <w:rFonts w:ascii="Arial" w:eastAsia="Arial" w:hAnsi="Arial" w:cs="Arial"/>
        <w:b/>
        <w:i/>
        <w:sz w:val="18"/>
        <w:szCs w:val="18"/>
      </w:rPr>
      <w:t>ENERAL</w:t>
    </w:r>
    <w:r w:rsidRPr="008F3C4A">
      <w:rPr>
        <w:rFonts w:ascii="Arial" w:eastAsia="Arial" w:hAnsi="Arial" w:cs="Arial"/>
        <w:b/>
        <w:i/>
      </w:rPr>
      <w:t xml:space="preserve"> </w:t>
    </w:r>
    <w:r w:rsidRPr="008F3C4A">
      <w:rPr>
        <w:rFonts w:ascii="Arial" w:eastAsia="Arial" w:hAnsi="Arial" w:cs="Arial"/>
        <w:b/>
        <w:i/>
        <w:sz w:val="18"/>
      </w:rPr>
      <w:t xml:space="preserve">DE </w:t>
    </w:r>
    <w:r w:rsidRPr="008F3C4A">
      <w:rPr>
        <w:rFonts w:ascii="Arial" w:eastAsia="Arial" w:hAnsi="Arial" w:cs="Arial"/>
        <w:b/>
        <w:i/>
      </w:rPr>
      <w:t>J</w:t>
    </w:r>
    <w:r w:rsidRPr="008F3C4A">
      <w:rPr>
        <w:rFonts w:ascii="Arial" w:eastAsia="Arial" w:hAnsi="Arial" w:cs="Arial"/>
        <w:b/>
        <w:i/>
        <w:sz w:val="18"/>
      </w:rPr>
      <w:t>URISPRUDENCIA</w:t>
    </w:r>
    <w:r w:rsidRPr="008F3C4A">
      <w:rPr>
        <w:rFonts w:ascii="Arial" w:eastAsia="Arial" w:hAnsi="Arial" w:cs="Arial"/>
        <w:b/>
        <w:i/>
      </w:rPr>
      <w:t>,</w:t>
    </w:r>
    <w:r w:rsidRPr="008F3C4A">
      <w:rPr>
        <w:rFonts w:ascii="Arial" w:eastAsia="Arial" w:hAnsi="Arial" w:cs="Arial"/>
        <w:b/>
        <w:i/>
        <w:sz w:val="18"/>
      </w:rPr>
      <w:t xml:space="preserve"> SEGUIMIENTO Y CONSULTA</w:t>
    </w:r>
  </w:p>
  <w:p w14:paraId="1939166F" w14:textId="77777777" w:rsidR="00B66EEB" w:rsidRDefault="00B66EEB" w:rsidP="00B66EEB">
    <w:pPr>
      <w:tabs>
        <w:tab w:val="left" w:pos="6865"/>
      </w:tabs>
      <w:ind w:right="115"/>
      <w:rPr>
        <w:rFonts w:ascii="Arial" w:eastAsia="Arial" w:hAnsi="Arial" w:cs="Arial"/>
        <w:b/>
        <w:i/>
        <w:sz w:val="18"/>
      </w:rPr>
    </w:pPr>
  </w:p>
  <w:p w14:paraId="2664583C" w14:textId="1181B2E6" w:rsidR="00B66EEB" w:rsidRDefault="00B66EEB" w:rsidP="00B66EEB">
    <w:pPr>
      <w:pStyle w:val="Encabezado"/>
      <w:tabs>
        <w:tab w:val="clear" w:pos="4419"/>
        <w:tab w:val="clear" w:pos="8838"/>
        <w:tab w:val="left" w:pos="10331"/>
      </w:tabs>
    </w:pPr>
    <w:r>
      <w:tab/>
    </w:r>
    <w:r>
      <w:tab/>
    </w:r>
  </w:p>
  <w:p w14:paraId="0D16878F" w14:textId="77777777" w:rsidR="00B66EEB" w:rsidRDefault="00B66EEB">
    <w:pPr>
      <w:pStyle w:val="Encabezado"/>
    </w:pPr>
  </w:p>
  <w:p w14:paraId="2C0B7D82" w14:textId="77777777" w:rsidR="00B66EEB" w:rsidRDefault="00B66EEB">
    <w:pPr>
      <w:pStyle w:val="Encabezado"/>
    </w:pPr>
  </w:p>
  <w:p w14:paraId="18B0B879" w14:textId="08F3D5B6" w:rsidR="00B66EEB" w:rsidRDefault="00B66E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9925" w14:textId="77777777" w:rsidR="00AC55EF" w:rsidRDefault="00AC55EF" w:rsidP="00AC55EF">
    <w:pPr>
      <w:pStyle w:val="Encabezado"/>
      <w:tabs>
        <w:tab w:val="clear" w:pos="4419"/>
        <w:tab w:val="clear" w:pos="8838"/>
        <w:tab w:val="left" w:pos="13429"/>
      </w:tabs>
      <w:ind w:firstLine="708"/>
    </w:pPr>
    <w:r>
      <w:rPr>
        <w:noProof/>
      </w:rPr>
      <w:drawing>
        <wp:anchor distT="0" distB="0" distL="0" distR="0" simplePos="0" relativeHeight="251659776" behindDoc="0" locked="0" layoutInCell="1" allowOverlap="1" wp14:anchorId="147C00BA" wp14:editId="4D80DD11">
          <wp:simplePos x="0" y="0"/>
          <wp:positionH relativeFrom="margin">
            <wp:posOffset>161925</wp:posOffset>
          </wp:positionH>
          <wp:positionV relativeFrom="paragraph">
            <wp:posOffset>-48895</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t xml:space="preserve">                                                                                                                                                                                                 </w:t>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5C18CEB6" w14:textId="2249D516" w:rsidR="00DD755A" w:rsidRDefault="00DD755A">
    <w:pPr>
      <w:pStyle w:val="Encabezado"/>
    </w:pPr>
  </w:p>
  <w:p w14:paraId="05806D82" w14:textId="63ADA9FE" w:rsidR="00AC55EF" w:rsidRDefault="00AC55EF">
    <w:pPr>
      <w:pStyle w:val="Encabezado"/>
    </w:pPr>
  </w:p>
  <w:p w14:paraId="185F66CB" w14:textId="1EF73458" w:rsidR="00AC55EF" w:rsidRDefault="00AC55EF">
    <w:pPr>
      <w:pStyle w:val="Encabezado"/>
    </w:pPr>
  </w:p>
  <w:p w14:paraId="0C9FC919" w14:textId="77777777" w:rsidR="00AC55EF" w:rsidRDefault="00AC55EF">
    <w:pPr>
      <w:pStyle w:val="Encabezado"/>
    </w:pPr>
  </w:p>
  <w:p w14:paraId="343CDC12" w14:textId="77777777" w:rsidR="00AC55EF" w:rsidRDefault="00AC55EF">
    <w:pPr>
      <w:pStyle w:val="Encabezado"/>
    </w:pPr>
  </w:p>
  <w:p w14:paraId="41EB2746" w14:textId="77777777" w:rsidR="00DD755A" w:rsidRDefault="00DD75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437F"/>
    <w:multiLevelType w:val="hybridMultilevel"/>
    <w:tmpl w:val="23862BB2"/>
    <w:lvl w:ilvl="0" w:tplc="A176BCDE">
      <w:start w:val="1"/>
      <w:numFmt w:val="lowerLetter"/>
      <w:lvlText w:val="%1)"/>
      <w:lvlJc w:val="left"/>
      <w:pPr>
        <w:ind w:left="106" w:hanging="260"/>
      </w:pPr>
      <w:rPr>
        <w:rFonts w:ascii="Calibri" w:eastAsia="Calibri" w:hAnsi="Calibri" w:cs="Calibri" w:hint="default"/>
        <w:b/>
        <w:bCs/>
        <w:spacing w:val="-1"/>
        <w:w w:val="100"/>
        <w:sz w:val="22"/>
        <w:szCs w:val="22"/>
        <w:lang w:val="es-MX" w:eastAsia="es-MX" w:bidi="es-MX"/>
      </w:rPr>
    </w:lvl>
    <w:lvl w:ilvl="1" w:tplc="199A9BEC">
      <w:numFmt w:val="bullet"/>
      <w:lvlText w:val="•"/>
      <w:lvlJc w:val="left"/>
      <w:pPr>
        <w:ind w:left="1092" w:hanging="260"/>
      </w:pPr>
      <w:rPr>
        <w:rFonts w:hint="default"/>
        <w:lang w:val="es-MX" w:eastAsia="es-MX" w:bidi="es-MX"/>
      </w:rPr>
    </w:lvl>
    <w:lvl w:ilvl="2" w:tplc="17A09C16">
      <w:numFmt w:val="bullet"/>
      <w:lvlText w:val="•"/>
      <w:lvlJc w:val="left"/>
      <w:pPr>
        <w:ind w:left="2084" w:hanging="260"/>
      </w:pPr>
      <w:rPr>
        <w:rFonts w:hint="default"/>
        <w:lang w:val="es-MX" w:eastAsia="es-MX" w:bidi="es-MX"/>
      </w:rPr>
    </w:lvl>
    <w:lvl w:ilvl="3" w:tplc="7F4603B2">
      <w:numFmt w:val="bullet"/>
      <w:lvlText w:val="•"/>
      <w:lvlJc w:val="left"/>
      <w:pPr>
        <w:ind w:left="3077" w:hanging="260"/>
      </w:pPr>
      <w:rPr>
        <w:rFonts w:hint="default"/>
        <w:lang w:val="es-MX" w:eastAsia="es-MX" w:bidi="es-MX"/>
      </w:rPr>
    </w:lvl>
    <w:lvl w:ilvl="4" w:tplc="3F283068">
      <w:numFmt w:val="bullet"/>
      <w:lvlText w:val="•"/>
      <w:lvlJc w:val="left"/>
      <w:pPr>
        <w:ind w:left="4069" w:hanging="260"/>
      </w:pPr>
      <w:rPr>
        <w:rFonts w:hint="default"/>
        <w:lang w:val="es-MX" w:eastAsia="es-MX" w:bidi="es-MX"/>
      </w:rPr>
    </w:lvl>
    <w:lvl w:ilvl="5" w:tplc="6CFEA62E">
      <w:numFmt w:val="bullet"/>
      <w:lvlText w:val="•"/>
      <w:lvlJc w:val="left"/>
      <w:pPr>
        <w:ind w:left="5062" w:hanging="260"/>
      </w:pPr>
      <w:rPr>
        <w:rFonts w:hint="default"/>
        <w:lang w:val="es-MX" w:eastAsia="es-MX" w:bidi="es-MX"/>
      </w:rPr>
    </w:lvl>
    <w:lvl w:ilvl="6" w:tplc="D81A19A0">
      <w:numFmt w:val="bullet"/>
      <w:lvlText w:val="•"/>
      <w:lvlJc w:val="left"/>
      <w:pPr>
        <w:ind w:left="6054" w:hanging="260"/>
      </w:pPr>
      <w:rPr>
        <w:rFonts w:hint="default"/>
        <w:lang w:val="es-MX" w:eastAsia="es-MX" w:bidi="es-MX"/>
      </w:rPr>
    </w:lvl>
    <w:lvl w:ilvl="7" w:tplc="821622B8">
      <w:numFmt w:val="bullet"/>
      <w:lvlText w:val="•"/>
      <w:lvlJc w:val="left"/>
      <w:pPr>
        <w:ind w:left="7046" w:hanging="260"/>
      </w:pPr>
      <w:rPr>
        <w:rFonts w:hint="default"/>
        <w:lang w:val="es-MX" w:eastAsia="es-MX" w:bidi="es-MX"/>
      </w:rPr>
    </w:lvl>
    <w:lvl w:ilvl="8" w:tplc="3A040B52">
      <w:numFmt w:val="bullet"/>
      <w:lvlText w:val="•"/>
      <w:lvlJc w:val="left"/>
      <w:pPr>
        <w:ind w:left="8039" w:hanging="260"/>
      </w:pPr>
      <w:rPr>
        <w:rFonts w:hint="default"/>
        <w:lang w:val="es-MX" w:eastAsia="es-MX" w:bidi="es-MX"/>
      </w:rPr>
    </w:lvl>
  </w:abstractNum>
  <w:abstractNum w:abstractNumId="1" w15:restartNumberingAfterBreak="0">
    <w:nsid w:val="1593656E"/>
    <w:multiLevelType w:val="hybridMultilevel"/>
    <w:tmpl w:val="D9F06B38"/>
    <w:lvl w:ilvl="0" w:tplc="BB7879A4">
      <w:start w:val="1"/>
      <w:numFmt w:val="lowerLetter"/>
      <w:lvlText w:val="%1)"/>
      <w:lvlJc w:val="left"/>
      <w:pPr>
        <w:ind w:left="106" w:hanging="216"/>
      </w:pPr>
      <w:rPr>
        <w:rFonts w:ascii="Calibri" w:eastAsia="Calibri" w:hAnsi="Calibri" w:cs="Calibri" w:hint="default"/>
        <w:b/>
        <w:bCs/>
        <w:spacing w:val="-1"/>
        <w:w w:val="100"/>
        <w:sz w:val="22"/>
        <w:szCs w:val="22"/>
        <w:lang w:val="es-MX" w:eastAsia="es-MX" w:bidi="es-MX"/>
      </w:rPr>
    </w:lvl>
    <w:lvl w:ilvl="1" w:tplc="1CB241E0">
      <w:numFmt w:val="bullet"/>
      <w:lvlText w:val="•"/>
      <w:lvlJc w:val="left"/>
      <w:pPr>
        <w:ind w:left="1092" w:hanging="216"/>
      </w:pPr>
      <w:rPr>
        <w:rFonts w:hint="default"/>
        <w:lang w:val="es-MX" w:eastAsia="es-MX" w:bidi="es-MX"/>
      </w:rPr>
    </w:lvl>
    <w:lvl w:ilvl="2" w:tplc="91620706">
      <w:numFmt w:val="bullet"/>
      <w:lvlText w:val="•"/>
      <w:lvlJc w:val="left"/>
      <w:pPr>
        <w:ind w:left="2084" w:hanging="216"/>
      </w:pPr>
      <w:rPr>
        <w:rFonts w:hint="default"/>
        <w:lang w:val="es-MX" w:eastAsia="es-MX" w:bidi="es-MX"/>
      </w:rPr>
    </w:lvl>
    <w:lvl w:ilvl="3" w:tplc="CBB800B0">
      <w:numFmt w:val="bullet"/>
      <w:lvlText w:val="•"/>
      <w:lvlJc w:val="left"/>
      <w:pPr>
        <w:ind w:left="3077" w:hanging="216"/>
      </w:pPr>
      <w:rPr>
        <w:rFonts w:hint="default"/>
        <w:lang w:val="es-MX" w:eastAsia="es-MX" w:bidi="es-MX"/>
      </w:rPr>
    </w:lvl>
    <w:lvl w:ilvl="4" w:tplc="9E0E05BA">
      <w:numFmt w:val="bullet"/>
      <w:lvlText w:val="•"/>
      <w:lvlJc w:val="left"/>
      <w:pPr>
        <w:ind w:left="4069" w:hanging="216"/>
      </w:pPr>
      <w:rPr>
        <w:rFonts w:hint="default"/>
        <w:lang w:val="es-MX" w:eastAsia="es-MX" w:bidi="es-MX"/>
      </w:rPr>
    </w:lvl>
    <w:lvl w:ilvl="5" w:tplc="2E0257CA">
      <w:numFmt w:val="bullet"/>
      <w:lvlText w:val="•"/>
      <w:lvlJc w:val="left"/>
      <w:pPr>
        <w:ind w:left="5062" w:hanging="216"/>
      </w:pPr>
      <w:rPr>
        <w:rFonts w:hint="default"/>
        <w:lang w:val="es-MX" w:eastAsia="es-MX" w:bidi="es-MX"/>
      </w:rPr>
    </w:lvl>
    <w:lvl w:ilvl="6" w:tplc="44C0F63A">
      <w:numFmt w:val="bullet"/>
      <w:lvlText w:val="•"/>
      <w:lvlJc w:val="left"/>
      <w:pPr>
        <w:ind w:left="6054" w:hanging="216"/>
      </w:pPr>
      <w:rPr>
        <w:rFonts w:hint="default"/>
        <w:lang w:val="es-MX" w:eastAsia="es-MX" w:bidi="es-MX"/>
      </w:rPr>
    </w:lvl>
    <w:lvl w:ilvl="7" w:tplc="D00E29D0">
      <w:numFmt w:val="bullet"/>
      <w:lvlText w:val="•"/>
      <w:lvlJc w:val="left"/>
      <w:pPr>
        <w:ind w:left="7046" w:hanging="216"/>
      </w:pPr>
      <w:rPr>
        <w:rFonts w:hint="default"/>
        <w:lang w:val="es-MX" w:eastAsia="es-MX" w:bidi="es-MX"/>
      </w:rPr>
    </w:lvl>
    <w:lvl w:ilvl="8" w:tplc="834C5A42">
      <w:numFmt w:val="bullet"/>
      <w:lvlText w:val="•"/>
      <w:lvlJc w:val="left"/>
      <w:pPr>
        <w:ind w:left="8039" w:hanging="216"/>
      </w:pPr>
      <w:rPr>
        <w:rFonts w:hint="default"/>
        <w:lang w:val="es-MX" w:eastAsia="es-MX" w:bidi="es-MX"/>
      </w:rPr>
    </w:lvl>
  </w:abstractNum>
  <w:abstractNum w:abstractNumId="2" w15:restartNumberingAfterBreak="0">
    <w:nsid w:val="2A4A1928"/>
    <w:multiLevelType w:val="hybridMultilevel"/>
    <w:tmpl w:val="95184D6E"/>
    <w:lvl w:ilvl="0" w:tplc="FFF28C70">
      <w:start w:val="1"/>
      <w:numFmt w:val="lowerLetter"/>
      <w:lvlText w:val="%1)"/>
      <w:lvlJc w:val="left"/>
      <w:pPr>
        <w:ind w:left="106" w:hanging="233"/>
      </w:pPr>
      <w:rPr>
        <w:rFonts w:ascii="Calibri" w:eastAsia="Calibri" w:hAnsi="Calibri" w:cs="Calibri" w:hint="default"/>
        <w:b/>
        <w:bCs/>
        <w:spacing w:val="-2"/>
        <w:w w:val="100"/>
        <w:sz w:val="22"/>
        <w:szCs w:val="22"/>
        <w:lang w:val="es-MX" w:eastAsia="es-MX" w:bidi="es-MX"/>
      </w:rPr>
    </w:lvl>
    <w:lvl w:ilvl="1" w:tplc="2128458E">
      <w:numFmt w:val="bullet"/>
      <w:lvlText w:val="•"/>
      <w:lvlJc w:val="left"/>
      <w:pPr>
        <w:ind w:left="1092" w:hanging="233"/>
      </w:pPr>
      <w:rPr>
        <w:rFonts w:hint="default"/>
        <w:lang w:val="es-MX" w:eastAsia="es-MX" w:bidi="es-MX"/>
      </w:rPr>
    </w:lvl>
    <w:lvl w:ilvl="2" w:tplc="BE9E52B8">
      <w:numFmt w:val="bullet"/>
      <w:lvlText w:val="•"/>
      <w:lvlJc w:val="left"/>
      <w:pPr>
        <w:ind w:left="2084" w:hanging="233"/>
      </w:pPr>
      <w:rPr>
        <w:rFonts w:hint="default"/>
        <w:lang w:val="es-MX" w:eastAsia="es-MX" w:bidi="es-MX"/>
      </w:rPr>
    </w:lvl>
    <w:lvl w:ilvl="3" w:tplc="BA6C3BFC">
      <w:numFmt w:val="bullet"/>
      <w:lvlText w:val="•"/>
      <w:lvlJc w:val="left"/>
      <w:pPr>
        <w:ind w:left="3077" w:hanging="233"/>
      </w:pPr>
      <w:rPr>
        <w:rFonts w:hint="default"/>
        <w:lang w:val="es-MX" w:eastAsia="es-MX" w:bidi="es-MX"/>
      </w:rPr>
    </w:lvl>
    <w:lvl w:ilvl="4" w:tplc="97C4B20C">
      <w:numFmt w:val="bullet"/>
      <w:lvlText w:val="•"/>
      <w:lvlJc w:val="left"/>
      <w:pPr>
        <w:ind w:left="4069" w:hanging="233"/>
      </w:pPr>
      <w:rPr>
        <w:rFonts w:hint="default"/>
        <w:lang w:val="es-MX" w:eastAsia="es-MX" w:bidi="es-MX"/>
      </w:rPr>
    </w:lvl>
    <w:lvl w:ilvl="5" w:tplc="1856E92A">
      <w:numFmt w:val="bullet"/>
      <w:lvlText w:val="•"/>
      <w:lvlJc w:val="left"/>
      <w:pPr>
        <w:ind w:left="5062" w:hanging="233"/>
      </w:pPr>
      <w:rPr>
        <w:rFonts w:hint="default"/>
        <w:lang w:val="es-MX" w:eastAsia="es-MX" w:bidi="es-MX"/>
      </w:rPr>
    </w:lvl>
    <w:lvl w:ilvl="6" w:tplc="75A60262">
      <w:numFmt w:val="bullet"/>
      <w:lvlText w:val="•"/>
      <w:lvlJc w:val="left"/>
      <w:pPr>
        <w:ind w:left="6054" w:hanging="233"/>
      </w:pPr>
      <w:rPr>
        <w:rFonts w:hint="default"/>
        <w:lang w:val="es-MX" w:eastAsia="es-MX" w:bidi="es-MX"/>
      </w:rPr>
    </w:lvl>
    <w:lvl w:ilvl="7" w:tplc="B908D6B6">
      <w:numFmt w:val="bullet"/>
      <w:lvlText w:val="•"/>
      <w:lvlJc w:val="left"/>
      <w:pPr>
        <w:ind w:left="7046" w:hanging="233"/>
      </w:pPr>
      <w:rPr>
        <w:rFonts w:hint="default"/>
        <w:lang w:val="es-MX" w:eastAsia="es-MX" w:bidi="es-MX"/>
      </w:rPr>
    </w:lvl>
    <w:lvl w:ilvl="8" w:tplc="89A62F8C">
      <w:numFmt w:val="bullet"/>
      <w:lvlText w:val="•"/>
      <w:lvlJc w:val="left"/>
      <w:pPr>
        <w:ind w:left="8039" w:hanging="233"/>
      </w:pPr>
      <w:rPr>
        <w:rFonts w:hint="default"/>
        <w:lang w:val="es-MX" w:eastAsia="es-MX" w:bidi="es-MX"/>
      </w:rPr>
    </w:lvl>
  </w:abstractNum>
  <w:abstractNum w:abstractNumId="3" w15:restartNumberingAfterBreak="0">
    <w:nsid w:val="3627409E"/>
    <w:multiLevelType w:val="hybridMultilevel"/>
    <w:tmpl w:val="3C48FEDC"/>
    <w:lvl w:ilvl="0" w:tplc="0598D36A">
      <w:start w:val="8"/>
      <w:numFmt w:val="upperRoman"/>
      <w:lvlText w:val="%1."/>
      <w:lvlJc w:val="left"/>
      <w:pPr>
        <w:ind w:left="106" w:hanging="432"/>
      </w:pPr>
      <w:rPr>
        <w:rFonts w:ascii="Calibri" w:eastAsia="Calibri" w:hAnsi="Calibri" w:cs="Calibri" w:hint="default"/>
        <w:b/>
        <w:bCs/>
        <w:spacing w:val="-2"/>
        <w:w w:val="100"/>
        <w:sz w:val="22"/>
        <w:szCs w:val="22"/>
        <w:lang w:val="es-MX" w:eastAsia="es-MX" w:bidi="es-MX"/>
      </w:rPr>
    </w:lvl>
    <w:lvl w:ilvl="1" w:tplc="3E6C313C">
      <w:numFmt w:val="bullet"/>
      <w:lvlText w:val="•"/>
      <w:lvlJc w:val="left"/>
      <w:pPr>
        <w:ind w:left="1092" w:hanging="432"/>
      </w:pPr>
      <w:rPr>
        <w:rFonts w:hint="default"/>
        <w:lang w:val="es-MX" w:eastAsia="es-MX" w:bidi="es-MX"/>
      </w:rPr>
    </w:lvl>
    <w:lvl w:ilvl="2" w:tplc="45E494E2">
      <w:numFmt w:val="bullet"/>
      <w:lvlText w:val="•"/>
      <w:lvlJc w:val="left"/>
      <w:pPr>
        <w:ind w:left="2084" w:hanging="432"/>
      </w:pPr>
      <w:rPr>
        <w:rFonts w:hint="default"/>
        <w:lang w:val="es-MX" w:eastAsia="es-MX" w:bidi="es-MX"/>
      </w:rPr>
    </w:lvl>
    <w:lvl w:ilvl="3" w:tplc="50064DFC">
      <w:numFmt w:val="bullet"/>
      <w:lvlText w:val="•"/>
      <w:lvlJc w:val="left"/>
      <w:pPr>
        <w:ind w:left="3077" w:hanging="432"/>
      </w:pPr>
      <w:rPr>
        <w:rFonts w:hint="default"/>
        <w:lang w:val="es-MX" w:eastAsia="es-MX" w:bidi="es-MX"/>
      </w:rPr>
    </w:lvl>
    <w:lvl w:ilvl="4" w:tplc="407AD4EA">
      <w:numFmt w:val="bullet"/>
      <w:lvlText w:val="•"/>
      <w:lvlJc w:val="left"/>
      <w:pPr>
        <w:ind w:left="4069" w:hanging="432"/>
      </w:pPr>
      <w:rPr>
        <w:rFonts w:hint="default"/>
        <w:lang w:val="es-MX" w:eastAsia="es-MX" w:bidi="es-MX"/>
      </w:rPr>
    </w:lvl>
    <w:lvl w:ilvl="5" w:tplc="AA5897AE">
      <w:numFmt w:val="bullet"/>
      <w:lvlText w:val="•"/>
      <w:lvlJc w:val="left"/>
      <w:pPr>
        <w:ind w:left="5062" w:hanging="432"/>
      </w:pPr>
      <w:rPr>
        <w:rFonts w:hint="default"/>
        <w:lang w:val="es-MX" w:eastAsia="es-MX" w:bidi="es-MX"/>
      </w:rPr>
    </w:lvl>
    <w:lvl w:ilvl="6" w:tplc="95045AAE">
      <w:numFmt w:val="bullet"/>
      <w:lvlText w:val="•"/>
      <w:lvlJc w:val="left"/>
      <w:pPr>
        <w:ind w:left="6054" w:hanging="432"/>
      </w:pPr>
      <w:rPr>
        <w:rFonts w:hint="default"/>
        <w:lang w:val="es-MX" w:eastAsia="es-MX" w:bidi="es-MX"/>
      </w:rPr>
    </w:lvl>
    <w:lvl w:ilvl="7" w:tplc="4956C97A">
      <w:numFmt w:val="bullet"/>
      <w:lvlText w:val="•"/>
      <w:lvlJc w:val="left"/>
      <w:pPr>
        <w:ind w:left="7046" w:hanging="432"/>
      </w:pPr>
      <w:rPr>
        <w:rFonts w:hint="default"/>
        <w:lang w:val="es-MX" w:eastAsia="es-MX" w:bidi="es-MX"/>
      </w:rPr>
    </w:lvl>
    <w:lvl w:ilvl="8" w:tplc="C6B81722">
      <w:numFmt w:val="bullet"/>
      <w:lvlText w:val="•"/>
      <w:lvlJc w:val="left"/>
      <w:pPr>
        <w:ind w:left="8039" w:hanging="432"/>
      </w:pPr>
      <w:rPr>
        <w:rFonts w:hint="default"/>
        <w:lang w:val="es-MX" w:eastAsia="es-MX" w:bidi="es-MX"/>
      </w:rPr>
    </w:lvl>
  </w:abstractNum>
  <w:abstractNum w:abstractNumId="4" w15:restartNumberingAfterBreak="0">
    <w:nsid w:val="36EE749C"/>
    <w:multiLevelType w:val="hybridMultilevel"/>
    <w:tmpl w:val="D1FC6DA6"/>
    <w:lvl w:ilvl="0" w:tplc="1598E0AC">
      <w:start w:val="1"/>
      <w:numFmt w:val="upperRoman"/>
      <w:lvlText w:val="%1."/>
      <w:lvlJc w:val="left"/>
      <w:pPr>
        <w:ind w:left="106" w:hanging="168"/>
      </w:pPr>
      <w:rPr>
        <w:rFonts w:ascii="Calibri" w:eastAsia="Calibri" w:hAnsi="Calibri" w:cs="Calibri" w:hint="default"/>
        <w:b/>
        <w:bCs/>
        <w:spacing w:val="0"/>
        <w:w w:val="100"/>
        <w:sz w:val="22"/>
        <w:szCs w:val="22"/>
        <w:lang w:val="es-MX" w:eastAsia="es-MX" w:bidi="es-MX"/>
      </w:rPr>
    </w:lvl>
    <w:lvl w:ilvl="1" w:tplc="CDD88EF8">
      <w:numFmt w:val="bullet"/>
      <w:lvlText w:val="•"/>
      <w:lvlJc w:val="left"/>
      <w:pPr>
        <w:ind w:left="1092" w:hanging="168"/>
      </w:pPr>
      <w:rPr>
        <w:rFonts w:hint="default"/>
        <w:lang w:val="es-MX" w:eastAsia="es-MX" w:bidi="es-MX"/>
      </w:rPr>
    </w:lvl>
    <w:lvl w:ilvl="2" w:tplc="488A609E">
      <w:numFmt w:val="bullet"/>
      <w:lvlText w:val="•"/>
      <w:lvlJc w:val="left"/>
      <w:pPr>
        <w:ind w:left="2084" w:hanging="168"/>
      </w:pPr>
      <w:rPr>
        <w:rFonts w:hint="default"/>
        <w:lang w:val="es-MX" w:eastAsia="es-MX" w:bidi="es-MX"/>
      </w:rPr>
    </w:lvl>
    <w:lvl w:ilvl="3" w:tplc="2AFC6692">
      <w:numFmt w:val="bullet"/>
      <w:lvlText w:val="•"/>
      <w:lvlJc w:val="left"/>
      <w:pPr>
        <w:ind w:left="3077" w:hanging="168"/>
      </w:pPr>
      <w:rPr>
        <w:rFonts w:hint="default"/>
        <w:lang w:val="es-MX" w:eastAsia="es-MX" w:bidi="es-MX"/>
      </w:rPr>
    </w:lvl>
    <w:lvl w:ilvl="4" w:tplc="4A9A5E0E">
      <w:numFmt w:val="bullet"/>
      <w:lvlText w:val="•"/>
      <w:lvlJc w:val="left"/>
      <w:pPr>
        <w:ind w:left="4069" w:hanging="168"/>
      </w:pPr>
      <w:rPr>
        <w:rFonts w:hint="default"/>
        <w:lang w:val="es-MX" w:eastAsia="es-MX" w:bidi="es-MX"/>
      </w:rPr>
    </w:lvl>
    <w:lvl w:ilvl="5" w:tplc="98E29624">
      <w:numFmt w:val="bullet"/>
      <w:lvlText w:val="•"/>
      <w:lvlJc w:val="left"/>
      <w:pPr>
        <w:ind w:left="5062" w:hanging="168"/>
      </w:pPr>
      <w:rPr>
        <w:rFonts w:hint="default"/>
        <w:lang w:val="es-MX" w:eastAsia="es-MX" w:bidi="es-MX"/>
      </w:rPr>
    </w:lvl>
    <w:lvl w:ilvl="6" w:tplc="52DE6AC2">
      <w:numFmt w:val="bullet"/>
      <w:lvlText w:val="•"/>
      <w:lvlJc w:val="left"/>
      <w:pPr>
        <w:ind w:left="6054" w:hanging="168"/>
      </w:pPr>
      <w:rPr>
        <w:rFonts w:hint="default"/>
        <w:lang w:val="es-MX" w:eastAsia="es-MX" w:bidi="es-MX"/>
      </w:rPr>
    </w:lvl>
    <w:lvl w:ilvl="7" w:tplc="FB2A144A">
      <w:numFmt w:val="bullet"/>
      <w:lvlText w:val="•"/>
      <w:lvlJc w:val="left"/>
      <w:pPr>
        <w:ind w:left="7046" w:hanging="168"/>
      </w:pPr>
      <w:rPr>
        <w:rFonts w:hint="default"/>
        <w:lang w:val="es-MX" w:eastAsia="es-MX" w:bidi="es-MX"/>
      </w:rPr>
    </w:lvl>
    <w:lvl w:ilvl="8" w:tplc="CC6E467C">
      <w:numFmt w:val="bullet"/>
      <w:lvlText w:val="•"/>
      <w:lvlJc w:val="left"/>
      <w:pPr>
        <w:ind w:left="8039" w:hanging="168"/>
      </w:pPr>
      <w:rPr>
        <w:rFonts w:hint="default"/>
        <w:lang w:val="es-MX" w:eastAsia="es-MX" w:bidi="es-MX"/>
      </w:rPr>
    </w:lvl>
  </w:abstractNum>
  <w:abstractNum w:abstractNumId="5" w15:restartNumberingAfterBreak="0">
    <w:nsid w:val="3B7839A8"/>
    <w:multiLevelType w:val="hybridMultilevel"/>
    <w:tmpl w:val="5088C784"/>
    <w:lvl w:ilvl="0" w:tplc="BD3C60F6">
      <w:start w:val="1"/>
      <w:numFmt w:val="lowerLetter"/>
      <w:lvlText w:val="%1)"/>
      <w:lvlJc w:val="left"/>
      <w:pPr>
        <w:ind w:left="106" w:hanging="231"/>
      </w:pPr>
      <w:rPr>
        <w:rFonts w:ascii="Calibri" w:eastAsia="Calibri" w:hAnsi="Calibri" w:cs="Calibri" w:hint="default"/>
        <w:b/>
        <w:bCs/>
        <w:spacing w:val="-1"/>
        <w:w w:val="100"/>
        <w:sz w:val="22"/>
        <w:szCs w:val="22"/>
        <w:lang w:val="es-MX" w:eastAsia="es-MX" w:bidi="es-MX"/>
      </w:rPr>
    </w:lvl>
    <w:lvl w:ilvl="1" w:tplc="22B498DE">
      <w:numFmt w:val="bullet"/>
      <w:lvlText w:val="•"/>
      <w:lvlJc w:val="left"/>
      <w:pPr>
        <w:ind w:left="1092" w:hanging="231"/>
      </w:pPr>
      <w:rPr>
        <w:rFonts w:hint="default"/>
        <w:lang w:val="es-MX" w:eastAsia="es-MX" w:bidi="es-MX"/>
      </w:rPr>
    </w:lvl>
    <w:lvl w:ilvl="2" w:tplc="F7BA6486">
      <w:numFmt w:val="bullet"/>
      <w:lvlText w:val="•"/>
      <w:lvlJc w:val="left"/>
      <w:pPr>
        <w:ind w:left="2084" w:hanging="231"/>
      </w:pPr>
      <w:rPr>
        <w:rFonts w:hint="default"/>
        <w:lang w:val="es-MX" w:eastAsia="es-MX" w:bidi="es-MX"/>
      </w:rPr>
    </w:lvl>
    <w:lvl w:ilvl="3" w:tplc="FCB08E82">
      <w:numFmt w:val="bullet"/>
      <w:lvlText w:val="•"/>
      <w:lvlJc w:val="left"/>
      <w:pPr>
        <w:ind w:left="3077" w:hanging="231"/>
      </w:pPr>
      <w:rPr>
        <w:rFonts w:hint="default"/>
        <w:lang w:val="es-MX" w:eastAsia="es-MX" w:bidi="es-MX"/>
      </w:rPr>
    </w:lvl>
    <w:lvl w:ilvl="4" w:tplc="A41410F0">
      <w:numFmt w:val="bullet"/>
      <w:lvlText w:val="•"/>
      <w:lvlJc w:val="left"/>
      <w:pPr>
        <w:ind w:left="4069" w:hanging="231"/>
      </w:pPr>
      <w:rPr>
        <w:rFonts w:hint="default"/>
        <w:lang w:val="es-MX" w:eastAsia="es-MX" w:bidi="es-MX"/>
      </w:rPr>
    </w:lvl>
    <w:lvl w:ilvl="5" w:tplc="48F67096">
      <w:numFmt w:val="bullet"/>
      <w:lvlText w:val="•"/>
      <w:lvlJc w:val="left"/>
      <w:pPr>
        <w:ind w:left="5062" w:hanging="231"/>
      </w:pPr>
      <w:rPr>
        <w:rFonts w:hint="default"/>
        <w:lang w:val="es-MX" w:eastAsia="es-MX" w:bidi="es-MX"/>
      </w:rPr>
    </w:lvl>
    <w:lvl w:ilvl="6" w:tplc="BAE8D280">
      <w:numFmt w:val="bullet"/>
      <w:lvlText w:val="•"/>
      <w:lvlJc w:val="left"/>
      <w:pPr>
        <w:ind w:left="6054" w:hanging="231"/>
      </w:pPr>
      <w:rPr>
        <w:rFonts w:hint="default"/>
        <w:lang w:val="es-MX" w:eastAsia="es-MX" w:bidi="es-MX"/>
      </w:rPr>
    </w:lvl>
    <w:lvl w:ilvl="7" w:tplc="FD96F20C">
      <w:numFmt w:val="bullet"/>
      <w:lvlText w:val="•"/>
      <w:lvlJc w:val="left"/>
      <w:pPr>
        <w:ind w:left="7046" w:hanging="231"/>
      </w:pPr>
      <w:rPr>
        <w:rFonts w:hint="default"/>
        <w:lang w:val="es-MX" w:eastAsia="es-MX" w:bidi="es-MX"/>
      </w:rPr>
    </w:lvl>
    <w:lvl w:ilvl="8" w:tplc="3DCE85F8">
      <w:numFmt w:val="bullet"/>
      <w:lvlText w:val="•"/>
      <w:lvlJc w:val="left"/>
      <w:pPr>
        <w:ind w:left="8039" w:hanging="231"/>
      </w:pPr>
      <w:rPr>
        <w:rFonts w:hint="default"/>
        <w:lang w:val="es-MX" w:eastAsia="es-MX" w:bidi="es-MX"/>
      </w:rPr>
    </w:lvl>
  </w:abstractNum>
  <w:abstractNum w:abstractNumId="6" w15:restartNumberingAfterBreak="0">
    <w:nsid w:val="41B62CC5"/>
    <w:multiLevelType w:val="hybridMultilevel"/>
    <w:tmpl w:val="5AE8C7B4"/>
    <w:lvl w:ilvl="0" w:tplc="FD8C78A0">
      <w:start w:val="1"/>
      <w:numFmt w:val="lowerLetter"/>
      <w:lvlText w:val="%1)"/>
      <w:lvlJc w:val="left"/>
      <w:pPr>
        <w:ind w:left="106" w:hanging="274"/>
      </w:pPr>
      <w:rPr>
        <w:rFonts w:ascii="Calibri" w:eastAsia="Calibri" w:hAnsi="Calibri" w:cs="Calibri" w:hint="default"/>
        <w:b/>
        <w:bCs/>
        <w:spacing w:val="-2"/>
        <w:w w:val="100"/>
        <w:sz w:val="22"/>
        <w:szCs w:val="22"/>
        <w:lang w:val="es-MX" w:eastAsia="es-MX" w:bidi="es-MX"/>
      </w:rPr>
    </w:lvl>
    <w:lvl w:ilvl="1" w:tplc="348AE830">
      <w:numFmt w:val="bullet"/>
      <w:lvlText w:val="•"/>
      <w:lvlJc w:val="left"/>
      <w:pPr>
        <w:ind w:left="1092" w:hanging="274"/>
      </w:pPr>
      <w:rPr>
        <w:rFonts w:hint="default"/>
        <w:lang w:val="es-MX" w:eastAsia="es-MX" w:bidi="es-MX"/>
      </w:rPr>
    </w:lvl>
    <w:lvl w:ilvl="2" w:tplc="3190E384">
      <w:numFmt w:val="bullet"/>
      <w:lvlText w:val="•"/>
      <w:lvlJc w:val="left"/>
      <w:pPr>
        <w:ind w:left="2084" w:hanging="274"/>
      </w:pPr>
      <w:rPr>
        <w:rFonts w:hint="default"/>
        <w:lang w:val="es-MX" w:eastAsia="es-MX" w:bidi="es-MX"/>
      </w:rPr>
    </w:lvl>
    <w:lvl w:ilvl="3" w:tplc="BAF27520">
      <w:numFmt w:val="bullet"/>
      <w:lvlText w:val="•"/>
      <w:lvlJc w:val="left"/>
      <w:pPr>
        <w:ind w:left="3077" w:hanging="274"/>
      </w:pPr>
      <w:rPr>
        <w:rFonts w:hint="default"/>
        <w:lang w:val="es-MX" w:eastAsia="es-MX" w:bidi="es-MX"/>
      </w:rPr>
    </w:lvl>
    <w:lvl w:ilvl="4" w:tplc="EBC22AB0">
      <w:numFmt w:val="bullet"/>
      <w:lvlText w:val="•"/>
      <w:lvlJc w:val="left"/>
      <w:pPr>
        <w:ind w:left="4069" w:hanging="274"/>
      </w:pPr>
      <w:rPr>
        <w:rFonts w:hint="default"/>
        <w:lang w:val="es-MX" w:eastAsia="es-MX" w:bidi="es-MX"/>
      </w:rPr>
    </w:lvl>
    <w:lvl w:ilvl="5" w:tplc="25523B66">
      <w:numFmt w:val="bullet"/>
      <w:lvlText w:val="•"/>
      <w:lvlJc w:val="left"/>
      <w:pPr>
        <w:ind w:left="5062" w:hanging="274"/>
      </w:pPr>
      <w:rPr>
        <w:rFonts w:hint="default"/>
        <w:lang w:val="es-MX" w:eastAsia="es-MX" w:bidi="es-MX"/>
      </w:rPr>
    </w:lvl>
    <w:lvl w:ilvl="6" w:tplc="1F56879E">
      <w:numFmt w:val="bullet"/>
      <w:lvlText w:val="•"/>
      <w:lvlJc w:val="left"/>
      <w:pPr>
        <w:ind w:left="6054" w:hanging="274"/>
      </w:pPr>
      <w:rPr>
        <w:rFonts w:hint="default"/>
        <w:lang w:val="es-MX" w:eastAsia="es-MX" w:bidi="es-MX"/>
      </w:rPr>
    </w:lvl>
    <w:lvl w:ilvl="7" w:tplc="617A2402">
      <w:numFmt w:val="bullet"/>
      <w:lvlText w:val="•"/>
      <w:lvlJc w:val="left"/>
      <w:pPr>
        <w:ind w:left="7046" w:hanging="274"/>
      </w:pPr>
      <w:rPr>
        <w:rFonts w:hint="default"/>
        <w:lang w:val="es-MX" w:eastAsia="es-MX" w:bidi="es-MX"/>
      </w:rPr>
    </w:lvl>
    <w:lvl w:ilvl="8" w:tplc="C0063568">
      <w:numFmt w:val="bullet"/>
      <w:lvlText w:val="•"/>
      <w:lvlJc w:val="left"/>
      <w:pPr>
        <w:ind w:left="8039" w:hanging="274"/>
      </w:pPr>
      <w:rPr>
        <w:rFonts w:hint="default"/>
        <w:lang w:val="es-MX" w:eastAsia="es-MX" w:bidi="es-MX"/>
      </w:rPr>
    </w:lvl>
  </w:abstractNum>
  <w:abstractNum w:abstractNumId="7" w15:restartNumberingAfterBreak="0">
    <w:nsid w:val="5D5F42E0"/>
    <w:multiLevelType w:val="hybridMultilevel"/>
    <w:tmpl w:val="81E4964A"/>
    <w:lvl w:ilvl="0" w:tplc="0BA650F2">
      <w:start w:val="1"/>
      <w:numFmt w:val="upperRoman"/>
      <w:lvlText w:val="%1."/>
      <w:lvlJc w:val="left"/>
      <w:pPr>
        <w:ind w:left="106" w:hanging="161"/>
      </w:pPr>
      <w:rPr>
        <w:rFonts w:ascii="Calibri" w:eastAsia="Calibri" w:hAnsi="Calibri" w:cs="Calibri" w:hint="default"/>
        <w:b/>
        <w:bCs/>
        <w:w w:val="100"/>
        <w:sz w:val="22"/>
        <w:szCs w:val="22"/>
        <w:lang w:val="es-MX" w:eastAsia="es-MX" w:bidi="es-MX"/>
      </w:rPr>
    </w:lvl>
    <w:lvl w:ilvl="1" w:tplc="D3AC183C">
      <w:numFmt w:val="bullet"/>
      <w:lvlText w:val="•"/>
      <w:lvlJc w:val="left"/>
      <w:pPr>
        <w:ind w:left="1092" w:hanging="161"/>
      </w:pPr>
      <w:rPr>
        <w:rFonts w:hint="default"/>
        <w:lang w:val="es-MX" w:eastAsia="es-MX" w:bidi="es-MX"/>
      </w:rPr>
    </w:lvl>
    <w:lvl w:ilvl="2" w:tplc="29A622BC">
      <w:numFmt w:val="bullet"/>
      <w:lvlText w:val="•"/>
      <w:lvlJc w:val="left"/>
      <w:pPr>
        <w:ind w:left="2084" w:hanging="161"/>
      </w:pPr>
      <w:rPr>
        <w:rFonts w:hint="default"/>
        <w:lang w:val="es-MX" w:eastAsia="es-MX" w:bidi="es-MX"/>
      </w:rPr>
    </w:lvl>
    <w:lvl w:ilvl="3" w:tplc="F2F2DEC8">
      <w:numFmt w:val="bullet"/>
      <w:lvlText w:val="•"/>
      <w:lvlJc w:val="left"/>
      <w:pPr>
        <w:ind w:left="3077" w:hanging="161"/>
      </w:pPr>
      <w:rPr>
        <w:rFonts w:hint="default"/>
        <w:lang w:val="es-MX" w:eastAsia="es-MX" w:bidi="es-MX"/>
      </w:rPr>
    </w:lvl>
    <w:lvl w:ilvl="4" w:tplc="1DC8CF2C">
      <w:numFmt w:val="bullet"/>
      <w:lvlText w:val="•"/>
      <w:lvlJc w:val="left"/>
      <w:pPr>
        <w:ind w:left="4069" w:hanging="161"/>
      </w:pPr>
      <w:rPr>
        <w:rFonts w:hint="default"/>
        <w:lang w:val="es-MX" w:eastAsia="es-MX" w:bidi="es-MX"/>
      </w:rPr>
    </w:lvl>
    <w:lvl w:ilvl="5" w:tplc="8420377A">
      <w:numFmt w:val="bullet"/>
      <w:lvlText w:val="•"/>
      <w:lvlJc w:val="left"/>
      <w:pPr>
        <w:ind w:left="5062" w:hanging="161"/>
      </w:pPr>
      <w:rPr>
        <w:rFonts w:hint="default"/>
        <w:lang w:val="es-MX" w:eastAsia="es-MX" w:bidi="es-MX"/>
      </w:rPr>
    </w:lvl>
    <w:lvl w:ilvl="6" w:tplc="AA760966">
      <w:numFmt w:val="bullet"/>
      <w:lvlText w:val="•"/>
      <w:lvlJc w:val="left"/>
      <w:pPr>
        <w:ind w:left="6054" w:hanging="161"/>
      </w:pPr>
      <w:rPr>
        <w:rFonts w:hint="default"/>
        <w:lang w:val="es-MX" w:eastAsia="es-MX" w:bidi="es-MX"/>
      </w:rPr>
    </w:lvl>
    <w:lvl w:ilvl="7" w:tplc="F9EEA90A">
      <w:numFmt w:val="bullet"/>
      <w:lvlText w:val="•"/>
      <w:lvlJc w:val="left"/>
      <w:pPr>
        <w:ind w:left="7046" w:hanging="161"/>
      </w:pPr>
      <w:rPr>
        <w:rFonts w:hint="default"/>
        <w:lang w:val="es-MX" w:eastAsia="es-MX" w:bidi="es-MX"/>
      </w:rPr>
    </w:lvl>
    <w:lvl w:ilvl="8" w:tplc="5ABA20F0">
      <w:numFmt w:val="bullet"/>
      <w:lvlText w:val="•"/>
      <w:lvlJc w:val="left"/>
      <w:pPr>
        <w:ind w:left="8039" w:hanging="161"/>
      </w:pPr>
      <w:rPr>
        <w:rFonts w:hint="default"/>
        <w:lang w:val="es-MX" w:eastAsia="es-MX" w:bidi="es-MX"/>
      </w:rPr>
    </w:lvl>
  </w:abstractNum>
  <w:abstractNum w:abstractNumId="8" w15:restartNumberingAfterBreak="0">
    <w:nsid w:val="60D93CF1"/>
    <w:multiLevelType w:val="hybridMultilevel"/>
    <w:tmpl w:val="551EC5BC"/>
    <w:lvl w:ilvl="0" w:tplc="6024BB40">
      <w:start w:val="1"/>
      <w:numFmt w:val="upperRoman"/>
      <w:lvlText w:val="%1."/>
      <w:lvlJc w:val="left"/>
      <w:pPr>
        <w:ind w:left="106" w:hanging="176"/>
      </w:pPr>
      <w:rPr>
        <w:rFonts w:ascii="Calibri" w:eastAsia="Calibri" w:hAnsi="Calibri" w:cs="Calibri" w:hint="default"/>
        <w:b/>
        <w:bCs/>
        <w:spacing w:val="0"/>
        <w:w w:val="100"/>
        <w:sz w:val="22"/>
        <w:szCs w:val="22"/>
        <w:lang w:val="es-MX" w:eastAsia="es-MX" w:bidi="es-MX"/>
      </w:rPr>
    </w:lvl>
    <w:lvl w:ilvl="1" w:tplc="15EECB36">
      <w:numFmt w:val="bullet"/>
      <w:lvlText w:val="•"/>
      <w:lvlJc w:val="left"/>
      <w:pPr>
        <w:ind w:left="1092" w:hanging="176"/>
      </w:pPr>
      <w:rPr>
        <w:rFonts w:hint="default"/>
        <w:lang w:val="es-MX" w:eastAsia="es-MX" w:bidi="es-MX"/>
      </w:rPr>
    </w:lvl>
    <w:lvl w:ilvl="2" w:tplc="851035A0">
      <w:numFmt w:val="bullet"/>
      <w:lvlText w:val="•"/>
      <w:lvlJc w:val="left"/>
      <w:pPr>
        <w:ind w:left="2084" w:hanging="176"/>
      </w:pPr>
      <w:rPr>
        <w:rFonts w:hint="default"/>
        <w:lang w:val="es-MX" w:eastAsia="es-MX" w:bidi="es-MX"/>
      </w:rPr>
    </w:lvl>
    <w:lvl w:ilvl="3" w:tplc="8DA2F9DE">
      <w:numFmt w:val="bullet"/>
      <w:lvlText w:val="•"/>
      <w:lvlJc w:val="left"/>
      <w:pPr>
        <w:ind w:left="3077" w:hanging="176"/>
      </w:pPr>
      <w:rPr>
        <w:rFonts w:hint="default"/>
        <w:lang w:val="es-MX" w:eastAsia="es-MX" w:bidi="es-MX"/>
      </w:rPr>
    </w:lvl>
    <w:lvl w:ilvl="4" w:tplc="75500342">
      <w:numFmt w:val="bullet"/>
      <w:lvlText w:val="•"/>
      <w:lvlJc w:val="left"/>
      <w:pPr>
        <w:ind w:left="4069" w:hanging="176"/>
      </w:pPr>
      <w:rPr>
        <w:rFonts w:hint="default"/>
        <w:lang w:val="es-MX" w:eastAsia="es-MX" w:bidi="es-MX"/>
      </w:rPr>
    </w:lvl>
    <w:lvl w:ilvl="5" w:tplc="4B685AF8">
      <w:numFmt w:val="bullet"/>
      <w:lvlText w:val="•"/>
      <w:lvlJc w:val="left"/>
      <w:pPr>
        <w:ind w:left="5062" w:hanging="176"/>
      </w:pPr>
      <w:rPr>
        <w:rFonts w:hint="default"/>
        <w:lang w:val="es-MX" w:eastAsia="es-MX" w:bidi="es-MX"/>
      </w:rPr>
    </w:lvl>
    <w:lvl w:ilvl="6" w:tplc="52062330">
      <w:numFmt w:val="bullet"/>
      <w:lvlText w:val="•"/>
      <w:lvlJc w:val="left"/>
      <w:pPr>
        <w:ind w:left="6054" w:hanging="176"/>
      </w:pPr>
      <w:rPr>
        <w:rFonts w:hint="default"/>
        <w:lang w:val="es-MX" w:eastAsia="es-MX" w:bidi="es-MX"/>
      </w:rPr>
    </w:lvl>
    <w:lvl w:ilvl="7" w:tplc="489E27D4">
      <w:numFmt w:val="bullet"/>
      <w:lvlText w:val="•"/>
      <w:lvlJc w:val="left"/>
      <w:pPr>
        <w:ind w:left="7046" w:hanging="176"/>
      </w:pPr>
      <w:rPr>
        <w:rFonts w:hint="default"/>
        <w:lang w:val="es-MX" w:eastAsia="es-MX" w:bidi="es-MX"/>
      </w:rPr>
    </w:lvl>
    <w:lvl w:ilvl="8" w:tplc="5BFE8F3E">
      <w:numFmt w:val="bullet"/>
      <w:lvlText w:val="•"/>
      <w:lvlJc w:val="left"/>
      <w:pPr>
        <w:ind w:left="8039" w:hanging="176"/>
      </w:pPr>
      <w:rPr>
        <w:rFonts w:hint="default"/>
        <w:lang w:val="es-MX" w:eastAsia="es-MX" w:bidi="es-MX"/>
      </w:rPr>
    </w:lvl>
  </w:abstractNum>
  <w:abstractNum w:abstractNumId="9" w15:restartNumberingAfterBreak="0">
    <w:nsid w:val="6181643B"/>
    <w:multiLevelType w:val="hybridMultilevel"/>
    <w:tmpl w:val="11264A34"/>
    <w:lvl w:ilvl="0" w:tplc="F9F0ED96">
      <w:start w:val="1"/>
      <w:numFmt w:val="upperRoman"/>
      <w:lvlText w:val="%1."/>
      <w:lvlJc w:val="left"/>
      <w:pPr>
        <w:ind w:left="274" w:hanging="168"/>
      </w:pPr>
      <w:rPr>
        <w:rFonts w:ascii="Calibri" w:eastAsia="Calibri" w:hAnsi="Calibri" w:cs="Calibri" w:hint="default"/>
        <w:b/>
        <w:bCs/>
        <w:spacing w:val="0"/>
        <w:w w:val="100"/>
        <w:sz w:val="22"/>
        <w:szCs w:val="22"/>
        <w:lang w:val="es-MX" w:eastAsia="es-MX" w:bidi="es-MX"/>
      </w:rPr>
    </w:lvl>
    <w:lvl w:ilvl="1" w:tplc="36966CC0">
      <w:numFmt w:val="bullet"/>
      <w:lvlText w:val="•"/>
      <w:lvlJc w:val="left"/>
      <w:pPr>
        <w:ind w:left="1254" w:hanging="168"/>
      </w:pPr>
      <w:rPr>
        <w:rFonts w:hint="default"/>
        <w:lang w:val="es-MX" w:eastAsia="es-MX" w:bidi="es-MX"/>
      </w:rPr>
    </w:lvl>
    <w:lvl w:ilvl="2" w:tplc="8A3E0F5E">
      <w:numFmt w:val="bullet"/>
      <w:lvlText w:val="•"/>
      <w:lvlJc w:val="left"/>
      <w:pPr>
        <w:ind w:left="2228" w:hanging="168"/>
      </w:pPr>
      <w:rPr>
        <w:rFonts w:hint="default"/>
        <w:lang w:val="es-MX" w:eastAsia="es-MX" w:bidi="es-MX"/>
      </w:rPr>
    </w:lvl>
    <w:lvl w:ilvl="3" w:tplc="E162132E">
      <w:numFmt w:val="bullet"/>
      <w:lvlText w:val="•"/>
      <w:lvlJc w:val="left"/>
      <w:pPr>
        <w:ind w:left="3203" w:hanging="168"/>
      </w:pPr>
      <w:rPr>
        <w:rFonts w:hint="default"/>
        <w:lang w:val="es-MX" w:eastAsia="es-MX" w:bidi="es-MX"/>
      </w:rPr>
    </w:lvl>
    <w:lvl w:ilvl="4" w:tplc="2E9EE26C">
      <w:numFmt w:val="bullet"/>
      <w:lvlText w:val="•"/>
      <w:lvlJc w:val="left"/>
      <w:pPr>
        <w:ind w:left="4177" w:hanging="168"/>
      </w:pPr>
      <w:rPr>
        <w:rFonts w:hint="default"/>
        <w:lang w:val="es-MX" w:eastAsia="es-MX" w:bidi="es-MX"/>
      </w:rPr>
    </w:lvl>
    <w:lvl w:ilvl="5" w:tplc="E9E80ACC">
      <w:numFmt w:val="bullet"/>
      <w:lvlText w:val="•"/>
      <w:lvlJc w:val="left"/>
      <w:pPr>
        <w:ind w:left="5152" w:hanging="168"/>
      </w:pPr>
      <w:rPr>
        <w:rFonts w:hint="default"/>
        <w:lang w:val="es-MX" w:eastAsia="es-MX" w:bidi="es-MX"/>
      </w:rPr>
    </w:lvl>
    <w:lvl w:ilvl="6" w:tplc="9BAA4EB8">
      <w:numFmt w:val="bullet"/>
      <w:lvlText w:val="•"/>
      <w:lvlJc w:val="left"/>
      <w:pPr>
        <w:ind w:left="6126" w:hanging="168"/>
      </w:pPr>
      <w:rPr>
        <w:rFonts w:hint="default"/>
        <w:lang w:val="es-MX" w:eastAsia="es-MX" w:bidi="es-MX"/>
      </w:rPr>
    </w:lvl>
    <w:lvl w:ilvl="7" w:tplc="6CE2A564">
      <w:numFmt w:val="bullet"/>
      <w:lvlText w:val="•"/>
      <w:lvlJc w:val="left"/>
      <w:pPr>
        <w:ind w:left="7100" w:hanging="168"/>
      </w:pPr>
      <w:rPr>
        <w:rFonts w:hint="default"/>
        <w:lang w:val="es-MX" w:eastAsia="es-MX" w:bidi="es-MX"/>
      </w:rPr>
    </w:lvl>
    <w:lvl w:ilvl="8" w:tplc="569C3B14">
      <w:numFmt w:val="bullet"/>
      <w:lvlText w:val="•"/>
      <w:lvlJc w:val="left"/>
      <w:pPr>
        <w:ind w:left="8075" w:hanging="168"/>
      </w:pPr>
      <w:rPr>
        <w:rFonts w:hint="default"/>
        <w:lang w:val="es-MX" w:eastAsia="es-MX" w:bidi="es-MX"/>
      </w:rPr>
    </w:lvl>
  </w:abstractNum>
  <w:abstractNum w:abstractNumId="10" w15:restartNumberingAfterBreak="0">
    <w:nsid w:val="67E514B4"/>
    <w:multiLevelType w:val="hybridMultilevel"/>
    <w:tmpl w:val="EB9E975C"/>
    <w:lvl w:ilvl="0" w:tplc="478AEAA2">
      <w:start w:val="1"/>
      <w:numFmt w:val="upperRoman"/>
      <w:lvlText w:val="%1."/>
      <w:lvlJc w:val="left"/>
      <w:pPr>
        <w:ind w:left="3428" w:hanging="168"/>
      </w:pPr>
      <w:rPr>
        <w:rFonts w:ascii="Calibri" w:eastAsia="Calibri" w:hAnsi="Calibri" w:cs="Calibri" w:hint="default"/>
        <w:b/>
        <w:bCs/>
        <w:spacing w:val="0"/>
        <w:w w:val="100"/>
        <w:sz w:val="22"/>
        <w:szCs w:val="22"/>
        <w:lang w:val="es-MX" w:eastAsia="es-MX" w:bidi="es-MX"/>
      </w:rPr>
    </w:lvl>
    <w:lvl w:ilvl="1" w:tplc="DDEA1EBE">
      <w:numFmt w:val="bullet"/>
      <w:lvlText w:val="•"/>
      <w:lvlJc w:val="left"/>
      <w:pPr>
        <w:ind w:left="1254" w:hanging="168"/>
      </w:pPr>
      <w:rPr>
        <w:rFonts w:hint="default"/>
        <w:lang w:val="es-MX" w:eastAsia="es-MX" w:bidi="es-MX"/>
      </w:rPr>
    </w:lvl>
    <w:lvl w:ilvl="2" w:tplc="A30A63EA">
      <w:numFmt w:val="bullet"/>
      <w:lvlText w:val="•"/>
      <w:lvlJc w:val="left"/>
      <w:pPr>
        <w:ind w:left="2228" w:hanging="168"/>
      </w:pPr>
      <w:rPr>
        <w:rFonts w:hint="default"/>
        <w:lang w:val="es-MX" w:eastAsia="es-MX" w:bidi="es-MX"/>
      </w:rPr>
    </w:lvl>
    <w:lvl w:ilvl="3" w:tplc="98F21C54">
      <w:numFmt w:val="bullet"/>
      <w:lvlText w:val="•"/>
      <w:lvlJc w:val="left"/>
      <w:pPr>
        <w:ind w:left="3203" w:hanging="168"/>
      </w:pPr>
      <w:rPr>
        <w:rFonts w:hint="default"/>
        <w:lang w:val="es-MX" w:eastAsia="es-MX" w:bidi="es-MX"/>
      </w:rPr>
    </w:lvl>
    <w:lvl w:ilvl="4" w:tplc="4AFC2B7C">
      <w:numFmt w:val="bullet"/>
      <w:lvlText w:val="•"/>
      <w:lvlJc w:val="left"/>
      <w:pPr>
        <w:ind w:left="4177" w:hanging="168"/>
      </w:pPr>
      <w:rPr>
        <w:rFonts w:hint="default"/>
        <w:lang w:val="es-MX" w:eastAsia="es-MX" w:bidi="es-MX"/>
      </w:rPr>
    </w:lvl>
    <w:lvl w:ilvl="5" w:tplc="88B2B2AC">
      <w:numFmt w:val="bullet"/>
      <w:lvlText w:val="•"/>
      <w:lvlJc w:val="left"/>
      <w:pPr>
        <w:ind w:left="5152" w:hanging="168"/>
      </w:pPr>
      <w:rPr>
        <w:rFonts w:hint="default"/>
        <w:lang w:val="es-MX" w:eastAsia="es-MX" w:bidi="es-MX"/>
      </w:rPr>
    </w:lvl>
    <w:lvl w:ilvl="6" w:tplc="FD8EB6C0">
      <w:numFmt w:val="bullet"/>
      <w:lvlText w:val="•"/>
      <w:lvlJc w:val="left"/>
      <w:pPr>
        <w:ind w:left="6126" w:hanging="168"/>
      </w:pPr>
      <w:rPr>
        <w:rFonts w:hint="default"/>
        <w:lang w:val="es-MX" w:eastAsia="es-MX" w:bidi="es-MX"/>
      </w:rPr>
    </w:lvl>
    <w:lvl w:ilvl="7" w:tplc="7C30D566">
      <w:numFmt w:val="bullet"/>
      <w:lvlText w:val="•"/>
      <w:lvlJc w:val="left"/>
      <w:pPr>
        <w:ind w:left="7100" w:hanging="168"/>
      </w:pPr>
      <w:rPr>
        <w:rFonts w:hint="default"/>
        <w:lang w:val="es-MX" w:eastAsia="es-MX" w:bidi="es-MX"/>
      </w:rPr>
    </w:lvl>
    <w:lvl w:ilvl="8" w:tplc="448657FA">
      <w:numFmt w:val="bullet"/>
      <w:lvlText w:val="•"/>
      <w:lvlJc w:val="left"/>
      <w:pPr>
        <w:ind w:left="8075" w:hanging="168"/>
      </w:pPr>
      <w:rPr>
        <w:rFonts w:hint="default"/>
        <w:lang w:val="es-MX" w:eastAsia="es-MX" w:bidi="es-MX"/>
      </w:rPr>
    </w:lvl>
  </w:abstractNum>
  <w:abstractNum w:abstractNumId="11" w15:restartNumberingAfterBreak="0">
    <w:nsid w:val="7C3F5E36"/>
    <w:multiLevelType w:val="hybridMultilevel"/>
    <w:tmpl w:val="09042694"/>
    <w:lvl w:ilvl="0" w:tplc="872AE83E">
      <w:start w:val="1"/>
      <w:numFmt w:val="lowerLetter"/>
      <w:lvlText w:val="%1)"/>
      <w:lvlJc w:val="left"/>
      <w:pPr>
        <w:ind w:left="106" w:hanging="231"/>
      </w:pPr>
      <w:rPr>
        <w:rFonts w:ascii="Calibri" w:eastAsia="Calibri" w:hAnsi="Calibri" w:cs="Calibri" w:hint="default"/>
        <w:b/>
        <w:bCs/>
        <w:spacing w:val="-1"/>
        <w:w w:val="100"/>
        <w:sz w:val="22"/>
        <w:szCs w:val="22"/>
        <w:lang w:val="es-MX" w:eastAsia="es-MX" w:bidi="es-MX"/>
      </w:rPr>
    </w:lvl>
    <w:lvl w:ilvl="1" w:tplc="45983458">
      <w:numFmt w:val="bullet"/>
      <w:lvlText w:val="•"/>
      <w:lvlJc w:val="left"/>
      <w:pPr>
        <w:ind w:left="1092" w:hanging="231"/>
      </w:pPr>
      <w:rPr>
        <w:rFonts w:hint="default"/>
        <w:lang w:val="es-MX" w:eastAsia="es-MX" w:bidi="es-MX"/>
      </w:rPr>
    </w:lvl>
    <w:lvl w:ilvl="2" w:tplc="95C2C8C6">
      <w:numFmt w:val="bullet"/>
      <w:lvlText w:val="•"/>
      <w:lvlJc w:val="left"/>
      <w:pPr>
        <w:ind w:left="2084" w:hanging="231"/>
      </w:pPr>
      <w:rPr>
        <w:rFonts w:hint="default"/>
        <w:lang w:val="es-MX" w:eastAsia="es-MX" w:bidi="es-MX"/>
      </w:rPr>
    </w:lvl>
    <w:lvl w:ilvl="3" w:tplc="F5B6EB7E">
      <w:numFmt w:val="bullet"/>
      <w:lvlText w:val="•"/>
      <w:lvlJc w:val="left"/>
      <w:pPr>
        <w:ind w:left="3077" w:hanging="231"/>
      </w:pPr>
      <w:rPr>
        <w:rFonts w:hint="default"/>
        <w:lang w:val="es-MX" w:eastAsia="es-MX" w:bidi="es-MX"/>
      </w:rPr>
    </w:lvl>
    <w:lvl w:ilvl="4" w:tplc="05DAC364">
      <w:numFmt w:val="bullet"/>
      <w:lvlText w:val="•"/>
      <w:lvlJc w:val="left"/>
      <w:pPr>
        <w:ind w:left="4069" w:hanging="231"/>
      </w:pPr>
      <w:rPr>
        <w:rFonts w:hint="default"/>
        <w:lang w:val="es-MX" w:eastAsia="es-MX" w:bidi="es-MX"/>
      </w:rPr>
    </w:lvl>
    <w:lvl w:ilvl="5" w:tplc="7F7059D2">
      <w:numFmt w:val="bullet"/>
      <w:lvlText w:val="•"/>
      <w:lvlJc w:val="left"/>
      <w:pPr>
        <w:ind w:left="5062" w:hanging="231"/>
      </w:pPr>
      <w:rPr>
        <w:rFonts w:hint="default"/>
        <w:lang w:val="es-MX" w:eastAsia="es-MX" w:bidi="es-MX"/>
      </w:rPr>
    </w:lvl>
    <w:lvl w:ilvl="6" w:tplc="5C3A71EE">
      <w:numFmt w:val="bullet"/>
      <w:lvlText w:val="•"/>
      <w:lvlJc w:val="left"/>
      <w:pPr>
        <w:ind w:left="6054" w:hanging="231"/>
      </w:pPr>
      <w:rPr>
        <w:rFonts w:hint="default"/>
        <w:lang w:val="es-MX" w:eastAsia="es-MX" w:bidi="es-MX"/>
      </w:rPr>
    </w:lvl>
    <w:lvl w:ilvl="7" w:tplc="574A040E">
      <w:numFmt w:val="bullet"/>
      <w:lvlText w:val="•"/>
      <w:lvlJc w:val="left"/>
      <w:pPr>
        <w:ind w:left="7046" w:hanging="231"/>
      </w:pPr>
      <w:rPr>
        <w:rFonts w:hint="default"/>
        <w:lang w:val="es-MX" w:eastAsia="es-MX" w:bidi="es-MX"/>
      </w:rPr>
    </w:lvl>
    <w:lvl w:ilvl="8" w:tplc="F032422E">
      <w:numFmt w:val="bullet"/>
      <w:lvlText w:val="•"/>
      <w:lvlJc w:val="left"/>
      <w:pPr>
        <w:ind w:left="8039" w:hanging="231"/>
      </w:pPr>
      <w:rPr>
        <w:rFonts w:hint="default"/>
        <w:lang w:val="es-MX" w:eastAsia="es-MX" w:bidi="es-MX"/>
      </w:rPr>
    </w:lvl>
  </w:abstractNum>
  <w:num w:numId="1">
    <w:abstractNumId w:val="8"/>
  </w:num>
  <w:num w:numId="2">
    <w:abstractNumId w:val="9"/>
  </w:num>
  <w:num w:numId="3">
    <w:abstractNumId w:val="10"/>
  </w:num>
  <w:num w:numId="4">
    <w:abstractNumId w:val="4"/>
  </w:num>
  <w:num w:numId="5">
    <w:abstractNumId w:val="5"/>
  </w:num>
  <w:num w:numId="6">
    <w:abstractNumId w:val="11"/>
  </w:num>
  <w:num w:numId="7">
    <w:abstractNumId w:val="1"/>
  </w:num>
  <w:num w:numId="8">
    <w:abstractNumId w:val="0"/>
  </w:num>
  <w:num w:numId="9">
    <w:abstractNumId w:val="6"/>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7066"/>
    <w:rsid w:val="00017568"/>
    <w:rsid w:val="0007511E"/>
    <w:rsid w:val="00135D57"/>
    <w:rsid w:val="0017605A"/>
    <w:rsid w:val="001B737B"/>
    <w:rsid w:val="001E1DAA"/>
    <w:rsid w:val="002023E6"/>
    <w:rsid w:val="00213EF5"/>
    <w:rsid w:val="002549F3"/>
    <w:rsid w:val="002553D7"/>
    <w:rsid w:val="003052BE"/>
    <w:rsid w:val="003906E1"/>
    <w:rsid w:val="00403FEA"/>
    <w:rsid w:val="00423EC8"/>
    <w:rsid w:val="0045603A"/>
    <w:rsid w:val="00460862"/>
    <w:rsid w:val="00495344"/>
    <w:rsid w:val="004C22D8"/>
    <w:rsid w:val="006D2BFA"/>
    <w:rsid w:val="00796BC7"/>
    <w:rsid w:val="007C3F0F"/>
    <w:rsid w:val="0082428F"/>
    <w:rsid w:val="00866464"/>
    <w:rsid w:val="00882D30"/>
    <w:rsid w:val="00897066"/>
    <w:rsid w:val="008C386F"/>
    <w:rsid w:val="008F2B41"/>
    <w:rsid w:val="008F3C4A"/>
    <w:rsid w:val="008F745D"/>
    <w:rsid w:val="00970E94"/>
    <w:rsid w:val="009A637C"/>
    <w:rsid w:val="00A915A2"/>
    <w:rsid w:val="00AA12A1"/>
    <w:rsid w:val="00AC55EF"/>
    <w:rsid w:val="00B04655"/>
    <w:rsid w:val="00B05AED"/>
    <w:rsid w:val="00B14C8F"/>
    <w:rsid w:val="00B66EEB"/>
    <w:rsid w:val="00C045D5"/>
    <w:rsid w:val="00C11FDB"/>
    <w:rsid w:val="00C257C3"/>
    <w:rsid w:val="00C35E62"/>
    <w:rsid w:val="00CA499C"/>
    <w:rsid w:val="00CC5A91"/>
    <w:rsid w:val="00CE61E5"/>
    <w:rsid w:val="00D51781"/>
    <w:rsid w:val="00D65EE0"/>
    <w:rsid w:val="00D905C0"/>
    <w:rsid w:val="00DD755A"/>
    <w:rsid w:val="00E414E4"/>
    <w:rsid w:val="00E62DE6"/>
    <w:rsid w:val="00F91A16"/>
    <w:rsid w:val="00FA3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AB9E"/>
  <w15:docId w15:val="{92D1A501-CB7B-42DA-8FAF-6C187CD1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6"/>
    </w:pPr>
  </w:style>
  <w:style w:type="paragraph" w:styleId="NormalWeb">
    <w:name w:val="Normal (Web)"/>
    <w:basedOn w:val="Normal"/>
    <w:uiPriority w:val="99"/>
    <w:semiHidden/>
    <w:unhideWhenUsed/>
    <w:rsid w:val="00017568"/>
    <w:rPr>
      <w:rFonts w:ascii="Times New Roman" w:hAnsi="Times New Roman" w:cs="Times New Roman"/>
      <w:sz w:val="24"/>
      <w:szCs w:val="24"/>
    </w:rPr>
  </w:style>
  <w:style w:type="character" w:styleId="Hipervnculo">
    <w:name w:val="Hyperlink"/>
    <w:basedOn w:val="Fuentedeprrafopredeter"/>
    <w:uiPriority w:val="99"/>
    <w:unhideWhenUsed/>
    <w:rsid w:val="00135D57"/>
    <w:rPr>
      <w:color w:val="0000FF" w:themeColor="hyperlink"/>
      <w:u w:val="single"/>
    </w:rPr>
  </w:style>
  <w:style w:type="character" w:styleId="Mencinsinresolver">
    <w:name w:val="Unresolved Mention"/>
    <w:basedOn w:val="Fuentedeprrafopredeter"/>
    <w:uiPriority w:val="99"/>
    <w:semiHidden/>
    <w:unhideWhenUsed/>
    <w:rsid w:val="00135D57"/>
    <w:rPr>
      <w:color w:val="605E5C"/>
      <w:shd w:val="clear" w:color="auto" w:fill="E1DFDD"/>
    </w:rPr>
  </w:style>
  <w:style w:type="character" w:styleId="Hipervnculovisitado">
    <w:name w:val="FollowedHyperlink"/>
    <w:basedOn w:val="Fuentedeprrafopredeter"/>
    <w:uiPriority w:val="99"/>
    <w:semiHidden/>
    <w:unhideWhenUsed/>
    <w:rsid w:val="00882D30"/>
    <w:rPr>
      <w:color w:val="800080" w:themeColor="followedHyperlink"/>
      <w:u w:val="single"/>
    </w:rPr>
  </w:style>
  <w:style w:type="paragraph" w:styleId="Encabezado">
    <w:name w:val="header"/>
    <w:basedOn w:val="Normal"/>
    <w:link w:val="EncabezadoCar"/>
    <w:uiPriority w:val="99"/>
    <w:unhideWhenUsed/>
    <w:rsid w:val="00E414E4"/>
    <w:pPr>
      <w:tabs>
        <w:tab w:val="center" w:pos="4419"/>
        <w:tab w:val="right" w:pos="8838"/>
      </w:tabs>
    </w:pPr>
  </w:style>
  <w:style w:type="character" w:customStyle="1" w:styleId="EncabezadoCar">
    <w:name w:val="Encabezado Car"/>
    <w:basedOn w:val="Fuentedeprrafopredeter"/>
    <w:link w:val="Encabezado"/>
    <w:uiPriority w:val="99"/>
    <w:rsid w:val="00E414E4"/>
    <w:rPr>
      <w:rFonts w:ascii="Calibri" w:eastAsia="Calibri" w:hAnsi="Calibri" w:cs="Calibri"/>
      <w:lang w:val="es-MX" w:eastAsia="es-MX" w:bidi="es-MX"/>
    </w:rPr>
  </w:style>
  <w:style w:type="paragraph" w:styleId="Piedepgina">
    <w:name w:val="footer"/>
    <w:basedOn w:val="Normal"/>
    <w:link w:val="PiedepginaCar"/>
    <w:uiPriority w:val="99"/>
    <w:unhideWhenUsed/>
    <w:rsid w:val="00E414E4"/>
    <w:pPr>
      <w:tabs>
        <w:tab w:val="center" w:pos="4419"/>
        <w:tab w:val="right" w:pos="8838"/>
      </w:tabs>
    </w:pPr>
  </w:style>
  <w:style w:type="character" w:customStyle="1" w:styleId="PiedepginaCar">
    <w:name w:val="Pie de página Car"/>
    <w:basedOn w:val="Fuentedeprrafopredeter"/>
    <w:link w:val="Piedepgina"/>
    <w:uiPriority w:val="99"/>
    <w:rsid w:val="00E414E4"/>
    <w:rPr>
      <w:rFonts w:ascii="Calibri" w:eastAsia="Calibri" w:hAnsi="Calibri" w:cs="Calibri"/>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
      <w:bodyDiv w:val="1"/>
      <w:marLeft w:val="0"/>
      <w:marRight w:val="0"/>
      <w:marTop w:val="0"/>
      <w:marBottom w:val="0"/>
      <w:divBdr>
        <w:top w:val="none" w:sz="0" w:space="0" w:color="auto"/>
        <w:left w:val="none" w:sz="0" w:space="0" w:color="auto"/>
        <w:bottom w:val="none" w:sz="0" w:space="0" w:color="auto"/>
        <w:right w:val="none" w:sz="0" w:space="0" w:color="auto"/>
      </w:divBdr>
    </w:div>
    <w:div w:id="437990276">
      <w:bodyDiv w:val="1"/>
      <w:marLeft w:val="0"/>
      <w:marRight w:val="0"/>
      <w:marTop w:val="0"/>
      <w:marBottom w:val="0"/>
      <w:divBdr>
        <w:top w:val="none" w:sz="0" w:space="0" w:color="auto"/>
        <w:left w:val="none" w:sz="0" w:space="0" w:color="auto"/>
        <w:bottom w:val="none" w:sz="0" w:space="0" w:color="auto"/>
        <w:right w:val="none" w:sz="0" w:space="0" w:color="auto"/>
      </w:divBdr>
    </w:div>
    <w:div w:id="1404569087">
      <w:bodyDiv w:val="1"/>
      <w:marLeft w:val="0"/>
      <w:marRight w:val="0"/>
      <w:marTop w:val="0"/>
      <w:marBottom w:val="0"/>
      <w:divBdr>
        <w:top w:val="none" w:sz="0" w:space="0" w:color="auto"/>
        <w:left w:val="none" w:sz="0" w:space="0" w:color="auto"/>
        <w:bottom w:val="none" w:sz="0" w:space="0" w:color="auto"/>
        <w:right w:val="none" w:sz="0" w:space="0" w:color="auto"/>
      </w:divBdr>
    </w:div>
    <w:div w:id="1691105877">
      <w:bodyDiv w:val="1"/>
      <w:marLeft w:val="0"/>
      <w:marRight w:val="0"/>
      <w:marTop w:val="0"/>
      <w:marBottom w:val="0"/>
      <w:divBdr>
        <w:top w:val="none" w:sz="0" w:space="0" w:color="auto"/>
        <w:left w:val="none" w:sz="0" w:space="0" w:color="auto"/>
        <w:bottom w:val="none" w:sz="0" w:space="0" w:color="auto"/>
        <w:right w:val="none" w:sz="0" w:space="0" w:color="auto"/>
      </w:divBdr>
    </w:div>
    <w:div w:id="1919905373">
      <w:bodyDiv w:val="1"/>
      <w:marLeft w:val="0"/>
      <w:marRight w:val="0"/>
      <w:marTop w:val="0"/>
      <w:marBottom w:val="0"/>
      <w:divBdr>
        <w:top w:val="none" w:sz="0" w:space="0" w:color="auto"/>
        <w:left w:val="none" w:sz="0" w:space="0" w:color="auto"/>
        <w:bottom w:val="none" w:sz="0" w:space="0" w:color="auto"/>
        <w:right w:val="none" w:sz="0" w:space="0" w:color="auto"/>
      </w:divBdr>
    </w:div>
    <w:div w:id="193327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cion.congresocam.gob.mx/index.php/leyes-focalizadas/anticorrupcion/289-ley-de-instituciones-y-procedimientos-electorales-del-estado-de-campec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cion.congresocam.gob.mx/index.php/leyes-focalizadas/anticorrupcion/175-constitucion-politica-del-estado-de-c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eec.org.mx/transparencia/doctos/art74/i/reglamentos/Reglamento_de_Fiscalizacion_de_las_Agrupaciones_Politicas_y_Organizaciones_Loca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3424</Words>
  <Characters>18835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Isay Martínez Flores</dc:creator>
  <cp:lastModifiedBy>Luis Enrique González Ortega</cp:lastModifiedBy>
  <cp:revision>118</cp:revision>
  <dcterms:created xsi:type="dcterms:W3CDTF">2021-11-01T19:12:00Z</dcterms:created>
  <dcterms:modified xsi:type="dcterms:W3CDTF">2021-11-09T22:49:00Z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2021-11-01T00:00:00Z</vt:filetime>
  </property>
</Properties>
</file>