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306" w:type="dxa"/>
        <w:tblInd w:w="-17" w:type="dxa"/>
        <w:tblLayout w:type="fixed"/>
        <w:tblCellMar>
          <w:top w:w="6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746"/>
        <w:gridCol w:w="1251"/>
        <w:gridCol w:w="3118"/>
        <w:gridCol w:w="12191"/>
      </w:tblGrid>
      <w:tr w:rsidR="00223F0B" w14:paraId="0C110E23" w14:textId="77777777" w:rsidTr="00223F0B">
        <w:trPr>
          <w:trHeight w:val="408"/>
          <w:tblHeader/>
        </w:trPr>
        <w:tc>
          <w:tcPr>
            <w:tcW w:w="7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6923C"/>
          </w:tcPr>
          <w:p w14:paraId="2A8DE648" w14:textId="77777777" w:rsidR="00223F0B" w:rsidRDefault="00223F0B">
            <w:pPr>
              <w:ind w:left="19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6923C"/>
          </w:tcPr>
          <w:p w14:paraId="20C8306D" w14:textId="77777777" w:rsidR="00223F0B" w:rsidRDefault="00223F0B">
            <w:pPr>
              <w:ind w:right="6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ESTADO 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6923C"/>
          </w:tcPr>
          <w:p w14:paraId="3AF67806" w14:textId="77777777" w:rsidR="00223F0B" w:rsidRDefault="00223F0B">
            <w:pPr>
              <w:ind w:right="5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LEY </w:t>
            </w:r>
          </w:p>
        </w:tc>
        <w:tc>
          <w:tcPr>
            <w:tcW w:w="12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6923C"/>
          </w:tcPr>
          <w:p w14:paraId="450FD953" w14:textId="26624319" w:rsidR="00223F0B" w:rsidRDefault="00223F0B">
            <w:pPr>
              <w:ind w:right="58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</w:pPr>
            <w:r w:rsidRPr="00E77FBA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ARTÍCULO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</w:t>
            </w:r>
            <w:r w:rsidRPr="00E77FBA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(TRANSCRIPCIÓN)</w:t>
            </w:r>
          </w:p>
        </w:tc>
      </w:tr>
      <w:tr w:rsidR="00223F0B" w14:paraId="481CCFB3" w14:textId="77777777" w:rsidTr="00223F0B">
        <w:trPr>
          <w:trHeight w:val="1246"/>
        </w:trPr>
        <w:tc>
          <w:tcPr>
            <w:tcW w:w="7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558050C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CC656E8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0000C8F1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3929840B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08BB6036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17669A16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63206BF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839B589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38F6350B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85DAC87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1CB0A677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3FEEDA87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494248D4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0EF0DA6A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48F7CF7A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65DF5349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438AFACD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45C457CC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18691856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12D74BF3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68895F4C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7919E563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7181EDB0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20887A57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2ECA29C2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1CB0BC43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43332670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1C567733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3C279135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4FA6223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2493C849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4775DC1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025488AA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000B832E" w14:textId="77777777" w:rsidR="00223F0B" w:rsidRDefault="00223F0B">
            <w:pPr>
              <w:ind w:right="4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4B42FA3" w14:textId="77777777" w:rsidR="00223F0B" w:rsidRDefault="00223F0B">
            <w:pPr>
              <w:ind w:right="41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F946C55" w14:textId="77777777" w:rsidR="00223F0B" w:rsidRDefault="00223F0B">
            <w:pPr>
              <w:ind w:right="60"/>
              <w:jc w:val="center"/>
              <w:rPr>
                <w:b/>
              </w:rPr>
            </w:pPr>
            <w:r>
              <w:rPr>
                <w:b/>
              </w:rPr>
              <w:t>MORELOS</w:t>
            </w:r>
          </w:p>
          <w:p w14:paraId="1C0CC5E8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311124A2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79B71C09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00BB8686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352482E5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54BE5838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254B3732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51914909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4DABD03C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53607233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3609F7A7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376E9570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2867C660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30321ECD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0DD474B8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2A8E6CF2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34F638EF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64F30B6E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5B0A564C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369D8B8F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54FFC0A5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728E4FA8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5892D871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14863CFF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7CDEC339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08F45194" w14:textId="77777777" w:rsidR="00223F0B" w:rsidRDefault="00223F0B">
            <w:pPr>
              <w:ind w:right="60"/>
              <w:jc w:val="center"/>
              <w:rPr>
                <w:b/>
              </w:rPr>
            </w:pPr>
          </w:p>
          <w:p w14:paraId="1FEA5596" w14:textId="77777777" w:rsidR="00223F0B" w:rsidRPr="0010728E" w:rsidRDefault="00223F0B">
            <w:pPr>
              <w:ind w:right="60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BE22585" w14:textId="77777777" w:rsidR="00223F0B" w:rsidRPr="00223F0B" w:rsidRDefault="00223F0B" w:rsidP="00F96E08">
            <w:pPr>
              <w:ind w:left="65"/>
              <w:jc w:val="center"/>
              <w:rPr>
                <w:b/>
                <w:bCs/>
                <w:color w:val="auto"/>
              </w:rPr>
            </w:pPr>
            <w:hyperlink r:id="rId7" w:history="1">
              <w:r w:rsidRPr="00223F0B">
                <w:rPr>
                  <w:rStyle w:val="Hipervnculo"/>
                  <w:b/>
                  <w:bCs/>
                  <w:color w:val="auto"/>
                  <w:u w:val="none"/>
                </w:rPr>
                <w:t>Código de Instituciones y Procedimientos Electorales para el estado de Morelos</w:t>
              </w:r>
            </w:hyperlink>
          </w:p>
          <w:p w14:paraId="2DC64AD7" w14:textId="77777777" w:rsidR="00223F0B" w:rsidRPr="00223F0B" w:rsidRDefault="00223F0B" w:rsidP="00F96E08">
            <w:pPr>
              <w:ind w:left="65"/>
              <w:jc w:val="center"/>
              <w:rPr>
                <w:b/>
                <w:bCs/>
                <w:color w:val="auto"/>
              </w:rPr>
            </w:pPr>
          </w:p>
          <w:p w14:paraId="2B31E6C2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346E7359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0C4BF321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58BAEBA3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15EEC454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03EE8484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705E5FB1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6F89FBCA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1B8D6334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1A238E3F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6114BDE2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73C56D60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7801F9C0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7ED740F1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22E36A0B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0967F1A7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73AE5C58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0319A385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09A2C910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45081094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6170DD37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41E36145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4B17692F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5C2B1719" w14:textId="77777777" w:rsidR="00223F0B" w:rsidRDefault="00223F0B" w:rsidP="00F96E08">
            <w:pPr>
              <w:ind w:left="65"/>
              <w:jc w:val="center"/>
              <w:rPr>
                <w:b/>
                <w:bCs/>
              </w:rPr>
            </w:pPr>
          </w:p>
          <w:p w14:paraId="7C2210EA" w14:textId="77777777" w:rsidR="00223F0B" w:rsidRPr="00F96E08" w:rsidRDefault="00223F0B" w:rsidP="00F96E08">
            <w:pPr>
              <w:ind w:left="65"/>
              <w:jc w:val="center"/>
              <w:rPr>
                <w:b/>
                <w:bCs/>
              </w:rPr>
            </w:pPr>
          </w:p>
        </w:tc>
        <w:tc>
          <w:tcPr>
            <w:tcW w:w="12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22ABFE8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b/>
                <w:bCs/>
                <w:sz w:val="20"/>
                <w:szCs w:val="20"/>
              </w:rPr>
              <w:t>Artículo 35.</w:t>
            </w: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La fiscalización de los recursos de los partidos políticos se realizará en los términos que dispongan las leyes e instrumentos de la materia. </w:t>
            </w:r>
          </w:p>
          <w:p w14:paraId="7D10FFB1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102E3665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b/>
                <w:bCs/>
                <w:sz w:val="20"/>
                <w:szCs w:val="20"/>
              </w:rPr>
              <w:t>Artículo 36.</w:t>
            </w: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Cuando el Instituto Nacional delegue al Instituto Morelense la fiscalización de los ingresos y egresos de los partidos políticos y candidatos, se realizará en los términos de los procedimientos previstos por la Ley General de Instituciones y Procedimientos Electorales y de conformidad con las obligaciones establecidas en la Ley General de Partidos Políticos, los lineamientos, acuerdos generales, normas técnicas y demás disposiciones que emita el Consejo General del Instituto Nacional y lo que determine la normatividad. </w:t>
            </w:r>
          </w:p>
          <w:p w14:paraId="57E9755D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3248653A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En el ejercicio de las facultades de fiscalización por delegación, el Instituto Morelense, se deberá coordinar con la Unidad Técnica de Fiscalización de la Comisión de Fiscalización del Instituto Nacional.</w:t>
            </w:r>
          </w:p>
          <w:p w14:paraId="1E601FE3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68B41BAF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En el cumplimiento de sus atribuciones por delegación, el Consejo Estatal, podrá solicitar información bancaria, fiduciaria o fiscal, a través de la Unidad Técnica de Fiscalización de la Comisión de Fiscalización del Instituto Nacional, sin que se limite por cuestiones de secrecía; la autoridad mencionada será el conducto para superar la limitación referida. </w:t>
            </w:r>
          </w:p>
          <w:p w14:paraId="6096E8B5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186A4352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[…] </w:t>
            </w:r>
          </w:p>
          <w:p w14:paraId="3FA552EB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446AC8B4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b/>
                <w:bCs/>
                <w:sz w:val="20"/>
                <w:szCs w:val="20"/>
              </w:rPr>
              <w:t>Artículo 92.</w:t>
            </w: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La Comisión de Fiscalización, cuando el Instituto Nacional delegue la fiscalización de los ingresos y egresos de los partidos políticos y candidatos al Instituto Morelense, tendrá a su cargo la revisión de los informes anuales de precampaña y campaña de los partidos políticos, así como la vigilancia del origen y destino de los recursos públicos y privados que les son entregados durante los períodos ordinarios y electorales y se deberá sujetar a lo previsto por la Ley General de Instituciones y Procedimientos Electorales, la Ley General de Partidos Políticos, los lineamientos, los acuerdos generales, las normas técnicas y demás disposiciones que emita el Consejo General del Instituto Nacional.</w:t>
            </w:r>
          </w:p>
          <w:p w14:paraId="4FA2783B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26EB5D48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Contará con una Unidad Técnica de Fiscalización que le auxiliará en el ejercicio de sus atribuciones. </w:t>
            </w:r>
          </w:p>
          <w:p w14:paraId="2E665193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265433A5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b/>
                <w:bCs/>
                <w:sz w:val="20"/>
                <w:szCs w:val="20"/>
              </w:rPr>
              <w:t>Artículo 93.</w:t>
            </w: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La Comisión de Fiscalización tendrá las siguientes atribuciones:</w:t>
            </w:r>
          </w:p>
          <w:p w14:paraId="074E001C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5666EA5E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I. Revisar los proyectos de lineamientos en materia de fiscalización que elabore la Unidad Técnica de Fiscalización y someterlos a la aprobación del Consejo Estatal; </w:t>
            </w:r>
          </w:p>
          <w:p w14:paraId="4539FAD4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5C587952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[…]</w:t>
            </w:r>
          </w:p>
          <w:p w14:paraId="4A109578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lastRenderedPageBreak/>
              <w:t xml:space="preserve">X. Resolver las consultas que realicen los partidos políticos; </w:t>
            </w:r>
          </w:p>
          <w:p w14:paraId="7942EEC9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17CF9F31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XI. Aprobar las solicitudes de información que realice la Unidad Técnica de Fiscalización; </w:t>
            </w:r>
          </w:p>
          <w:p w14:paraId="131ACC2E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0617CF17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XII. Recibir, a través de la Secretaría Técnica de la Comisión de Fiscalización, los informes que deben presentar los partidos políticos para la fiscalización de sus ingresos y egresos; </w:t>
            </w:r>
          </w:p>
          <w:p w14:paraId="5A7058AE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2306F550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XIII. Con el apoyo de la Unidad Técnica de Fiscalización, llevar a cabo la liquidación de los partidos políticos que pierdan su registro e informar al Consejo Estatal los parámetros, acciones y resultados de los trabajos realizados con tal fin, y </w:t>
            </w:r>
          </w:p>
          <w:p w14:paraId="5CFDB954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XIV. Remitir a la Comisión de Fiscalización del Instituto Nacional, la información relativa a los topes aplicables a los gastos de precampaña y campaña determinados por el Consejo Estatal, que estarán vigentes en las elecciones locales. </w:t>
            </w:r>
          </w:p>
          <w:p w14:paraId="0CBBBF5C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19A8D8DB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[…] </w:t>
            </w:r>
          </w:p>
          <w:p w14:paraId="7D941861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357844BD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b/>
                <w:bCs/>
                <w:sz w:val="20"/>
                <w:szCs w:val="20"/>
              </w:rPr>
              <w:t>Artículo 309.</w:t>
            </w: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Cuando el Instituto Nacional delegare al Instituto Morelense la fiscalización de los ingresos y egresos de los partidos políticos y candidatos, atenderá además de lo establecido por la Ley General de Instituciones y Procedimientos Electorales, los lineamientos, acuerdos generales, normas técnicas y demás disposiciones que emita el Consejo General del Instituto Nacional.</w:t>
            </w:r>
          </w:p>
          <w:p w14:paraId="61F1D81B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15FC6EA9" w14:textId="77777777" w:rsidR="00223F0B" w:rsidRPr="00223F0B" w:rsidRDefault="00223F0B" w:rsidP="005865C5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La revisión de los informes que los aspirantes presenten sobre el origen y destino de sus recursos y de actos para el apoyo ciudadano según corresponda, así como la práctica de auditorías sobre el manejo de sus recursos y su situación contable y financiera estará a cargo de la Unidad Técnica de Fiscalización de la Comisión de Fiscalización del Instituto Morelense. </w:t>
            </w:r>
          </w:p>
          <w:p w14:paraId="102DFD9F" w14:textId="77777777" w:rsidR="00223F0B" w:rsidRPr="00223F0B" w:rsidRDefault="00223F0B" w:rsidP="005865C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678764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(REFORMADO PRIMER PÁRRAFO, P.O. 8 DE JUNIO DE 2020)</w:t>
            </w:r>
          </w:p>
          <w:p w14:paraId="51C1DDDF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b/>
                <w:bCs/>
                <w:sz w:val="20"/>
                <w:szCs w:val="20"/>
              </w:rPr>
              <w:t>Artículo 310.</w:t>
            </w: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La Unidad Técnica de Fiscalización de la Comisión de Fiscalización tendrá a su cargo la recepción y revisión integral de los informes de ingresos y egresos que presenten las y los candidatos independientes respecto del origen y monto de los recursos por cualquier modalidad de financiamiento, así como sobre su destino y aplicación.</w:t>
            </w:r>
          </w:p>
          <w:p w14:paraId="156985FC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0C45E373" w14:textId="77777777" w:rsidR="00223F0B" w:rsidRPr="00223F0B" w:rsidRDefault="00223F0B" w:rsidP="005865C5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El Instituto Morelense podrá solicitar a la unidad técnica de fiscalización del Instituto Nacional, requiera a las autoridades competentes información respecto a las materias bancaria, fiduciaria y fiscal, para cumplir con sus obligaciones de fiscalización. </w:t>
            </w:r>
          </w:p>
          <w:p w14:paraId="70337084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00706B92" w14:textId="77777777" w:rsidR="00223F0B" w:rsidRPr="00223F0B" w:rsidRDefault="00223F0B" w:rsidP="005865C5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b/>
                <w:bCs/>
                <w:sz w:val="20"/>
                <w:szCs w:val="20"/>
              </w:rPr>
              <w:lastRenderedPageBreak/>
              <w:t>Artículo 311.</w:t>
            </w:r>
            <w:r w:rsidRPr="00223F0B">
              <w:rPr>
                <w:sz w:val="20"/>
                <w:szCs w:val="20"/>
              </w:rPr>
              <w:t xml:space="preserve"> La Comisión de Fiscalización del Instituto Morelense, tendrá como facultades, además de las disposiciones legales y lineamientos aplicables, las siguientes: </w:t>
            </w:r>
          </w:p>
          <w:p w14:paraId="73DB7E00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467DCE85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(REFORMADO, P.O. 8 DE JUNIO DE 2020)</w:t>
            </w:r>
          </w:p>
          <w:p w14:paraId="6368A7BF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a) Revisar y someter a la aprobación del Consejo Estatal los informes de resultados y proyectos de resolución sobre las auditorías y verificaciones practicadas a las y los aspirantes y </w:t>
            </w:r>
            <w:proofErr w:type="gramStart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candidatas y candidatos</w:t>
            </w:r>
            <w:proofErr w:type="gramEnd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independientes. Los informes especificarán las irregularidades en que hubiesen incurrido en el manejo de sus recursos; el incumplimiento de su obligación de informar sobre la aplicación de </w:t>
            </w:r>
            <w:proofErr w:type="gramStart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los mismos</w:t>
            </w:r>
            <w:proofErr w:type="gramEnd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y, en su caso, propondrán las sanciones que procedan conforme a la normatividad aplicable;</w:t>
            </w:r>
          </w:p>
          <w:p w14:paraId="40F825A6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0AC9344A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(REFORMADO, P.O. 8 DE JUNIO DE 2020)</w:t>
            </w:r>
          </w:p>
          <w:p w14:paraId="63E7AC55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b) Ordenar la práctica de auditorías, directamente o a través de terceros, a las finanzas de las y los aspirantes y </w:t>
            </w:r>
            <w:proofErr w:type="gramStart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candidatas y candidatos</w:t>
            </w:r>
            <w:proofErr w:type="gramEnd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independientes;</w:t>
            </w:r>
          </w:p>
          <w:p w14:paraId="49CB3496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13AD3410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(REFORMADO, P.O. 8 DE JUNIO DE 2020)</w:t>
            </w:r>
          </w:p>
          <w:p w14:paraId="76B30DEB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c) Ordenar visitas de verificación a las y los aspirantes y </w:t>
            </w:r>
            <w:proofErr w:type="gramStart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candidatas y candidatos</w:t>
            </w:r>
            <w:proofErr w:type="gramEnd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independientes con el fin de corroborar el cumplimiento de sus obligaciones y la veracidad de sus informes, y</w:t>
            </w:r>
          </w:p>
          <w:p w14:paraId="4E29F4D8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3AA2E1B4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d) Las demás que le confiera la normativa y los lineamientos aprobados por el Instituto Nacional. </w:t>
            </w:r>
          </w:p>
          <w:p w14:paraId="15B98B10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0A18A208" w14:textId="77777777" w:rsidR="00223F0B" w:rsidRPr="00223F0B" w:rsidRDefault="00223F0B" w:rsidP="005865C5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b/>
                <w:bCs/>
                <w:sz w:val="20"/>
                <w:szCs w:val="20"/>
              </w:rPr>
              <w:t>Artículo 312.</w:t>
            </w:r>
            <w:r w:rsidRPr="00223F0B">
              <w:rPr>
                <w:sz w:val="20"/>
                <w:szCs w:val="20"/>
              </w:rPr>
              <w:t xml:space="preserve"> La Unidad Técnica de Fiscalización del Instituto Morelense tendrá como facultades, además de las disposiciones legales y lineamientos aplicables, las siguientes: </w:t>
            </w:r>
          </w:p>
          <w:p w14:paraId="6E0CCFBD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7C8A86C2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(REFORMADO, P.O. 8 DE JUNIO DE 2020)</w:t>
            </w:r>
          </w:p>
          <w:p w14:paraId="6960BF7A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a) Verificar conforme a los lineamientos aplicables lo relativo al registro contable de los ingresos y egresos de las y los aspirantes y a independientes, las características de la documentación comprobatoria sobre el manejo de sus recursos y los requisitos que deberán satisfacer los informes de ingresos y egresos que le presenten, de conformidad a lo establecido por la normativa;</w:t>
            </w:r>
          </w:p>
          <w:p w14:paraId="3F9EA707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447A8D1C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(REFORMADO, P.O. 8 DE JUNIO DE 2020)</w:t>
            </w:r>
          </w:p>
          <w:p w14:paraId="2C8455A6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b) Vigilar que los recursos de las y los aspirantes y </w:t>
            </w:r>
            <w:proofErr w:type="gramStart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candidatas y candidatos</w:t>
            </w:r>
            <w:proofErr w:type="gramEnd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independientes tengan origen lícito y se apliquen estricta e invariablemente a las actividades señaladas en este Código;</w:t>
            </w:r>
          </w:p>
          <w:p w14:paraId="6BD6790D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1DEEC6F5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lastRenderedPageBreak/>
              <w:t>(REFORMADO, P.O. 8 DE JUNIO DE 2020)</w:t>
            </w:r>
          </w:p>
          <w:p w14:paraId="6C5379BF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c) Recibir y revisar los informes de ingresos y egresos, así como de gastos de los actos tendentes a recabar el apoyo ciudadano de los aspirantes y de campaña de </w:t>
            </w:r>
            <w:proofErr w:type="gramStart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las candidatas y candidatos</w:t>
            </w:r>
            <w:proofErr w:type="gramEnd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independientes, así como los demás informes de ingresos y gastos establecidos por la normativa aplicable;</w:t>
            </w:r>
          </w:p>
          <w:p w14:paraId="59727EEF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187C7C0E" w14:textId="77777777" w:rsidR="00223F0B" w:rsidRPr="00223F0B" w:rsidRDefault="00223F0B" w:rsidP="005865C5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d) Requerir información complementaria respecto de los diversos apartados de los informes de ingresos y egresos o documentación comprobatoria de cualquier otro aspecto vinculado a los mismos; </w:t>
            </w:r>
          </w:p>
          <w:p w14:paraId="7AAFE7C5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495B63BB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(REFORMADO, P.O. 8 DE JUNIO DE 2020)</w:t>
            </w:r>
          </w:p>
          <w:p w14:paraId="520DDDD1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e) Proporcionar a las y los aspirantes, </w:t>
            </w:r>
            <w:proofErr w:type="gramStart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candidatas y candidatos</w:t>
            </w:r>
            <w:proofErr w:type="gramEnd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independientes la orientación, asesoría y capacitación necesarias para el cumplimiento de las obligaciones conferidas;</w:t>
            </w:r>
          </w:p>
          <w:p w14:paraId="79036F71" w14:textId="77777777" w:rsidR="00223F0B" w:rsidRPr="00223F0B" w:rsidRDefault="00223F0B" w:rsidP="005865C5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f) Instruir los procedimientos administrativos a que haya lugar respecto de las quejas que se presenten y proponer a la consideración de la Comisión de Fiscalización la imposición de las sanciones que procedan; </w:t>
            </w:r>
          </w:p>
          <w:p w14:paraId="13D73E0F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4374909A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(REFORMADO, P.O. 8 DE JUNIO DE 2020)</w:t>
            </w:r>
          </w:p>
          <w:p w14:paraId="69DC44E6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g) Requerir a las personas físicas o morales, públicas o privadas, que tengan relación con las operaciones que realicen las y los aspirantes, </w:t>
            </w:r>
            <w:proofErr w:type="gramStart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candidatas y candidatos</w:t>
            </w:r>
            <w:proofErr w:type="gramEnd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independientes, la información necesaria para el cumplimiento de sus tareas respetando en todo momento las garantías del requerido. Quienes se nieguen a proporcionar la información que les sea requerida, o no la proporcionen, sin causa justificada, dentro de los plazos que se señalen, se harán acreedores a las sanciones correspondientes, y</w:t>
            </w:r>
          </w:p>
          <w:p w14:paraId="424C2D68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7F76C04D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h) Las demás conferidas por las disposiciones legales aplicables.</w:t>
            </w:r>
          </w:p>
          <w:p w14:paraId="09BC3BCB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154E8AEE" w14:textId="77777777" w:rsidR="00223F0B" w:rsidRPr="00223F0B" w:rsidRDefault="00223F0B" w:rsidP="005865C5">
            <w:pPr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(REFORMADO, P.O. 8 DE JUNIO DE 2020)</w:t>
            </w:r>
          </w:p>
          <w:p w14:paraId="01347813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b/>
                <w:bCs/>
                <w:sz w:val="20"/>
                <w:szCs w:val="20"/>
              </w:rPr>
              <w:t>Artículo 313.</w:t>
            </w: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En el ejercicio de sus facultades, la Unidad Técnica de Fiscalización del Instituto Morelense deberá garantizar el derecho de audiencia de las y los aspirantes, </w:t>
            </w:r>
            <w:proofErr w:type="gramStart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candidatas y candidatos</w:t>
            </w:r>
            <w:proofErr w:type="gramEnd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independientes con motivo de los procesos de fiscalización a que se refiere el presente Título.</w:t>
            </w:r>
          </w:p>
          <w:p w14:paraId="54EF1970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73AFC1CA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Las y los aspirantes, </w:t>
            </w:r>
            <w:proofErr w:type="gramStart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candidatas y candidatos</w:t>
            </w:r>
            <w:proofErr w:type="gramEnd"/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independientes tendrán derecho a la confronta de los documentos comprobatorios de sus ingresos y egresos, o de sus estados contables, contra los obtenidos o elaborados por la Unidad Técnica de Fiscalización del Instituto Morelense sobre las mismas operaciones, a fin de aclarar las discrepancias entre unos y otros.</w:t>
            </w:r>
          </w:p>
          <w:p w14:paraId="38AA6176" w14:textId="77777777" w:rsidR="00223F0B" w:rsidRPr="00223F0B" w:rsidRDefault="00223F0B" w:rsidP="005865C5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242E7E4A" w14:textId="77777777" w:rsidR="00223F0B" w:rsidRPr="00223F0B" w:rsidRDefault="00223F0B" w:rsidP="001F57E6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lastRenderedPageBreak/>
              <w:t>(REFORMADO PRIMER PÁRRAFO, P.O. 8 DE JUNIO DE 2020)</w:t>
            </w:r>
          </w:p>
          <w:p w14:paraId="26AFA5A4" w14:textId="77777777" w:rsidR="00223F0B" w:rsidRPr="00223F0B" w:rsidRDefault="00223F0B" w:rsidP="001F57E6">
            <w:pPr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b/>
                <w:bCs/>
                <w:sz w:val="20"/>
                <w:szCs w:val="20"/>
              </w:rPr>
              <w:t>Artículo 314.</w:t>
            </w: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Las y los aspirantes deberán presentar ante la Unidad Técnica de Fiscalización del Instituto Morelense los informes del origen y monto de los ingresos y egresos de los gastos de los actos tendentes a obtener el apoyo ciudadano del financiamiento privado, así como su empleo y aplicación, atendiendo a las siguientes reglas: </w:t>
            </w:r>
          </w:p>
          <w:p w14:paraId="3B72465E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2A024A0F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a) Origen y monto de los ingresos, así como los egresos realizados de la cuenta bancaria </w:t>
            </w:r>
            <w:proofErr w:type="spellStart"/>
            <w:r w:rsidRPr="00223F0B">
              <w:rPr>
                <w:sz w:val="20"/>
                <w:szCs w:val="20"/>
              </w:rPr>
              <w:t>aperturada</w:t>
            </w:r>
            <w:proofErr w:type="spellEnd"/>
            <w:r w:rsidRPr="00223F0B">
              <w:rPr>
                <w:sz w:val="20"/>
                <w:szCs w:val="20"/>
              </w:rPr>
              <w:t xml:space="preserve">; </w:t>
            </w:r>
          </w:p>
          <w:p w14:paraId="34DFE6FC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CAD1A9B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>b) Acompañar los estados de cuenta bancarios, y</w:t>
            </w:r>
          </w:p>
          <w:p w14:paraId="67E2639B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 </w:t>
            </w:r>
          </w:p>
          <w:p w14:paraId="73140D18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c) Entregarlos junto con la solicitud de registro a que se refiere este Código. </w:t>
            </w:r>
          </w:p>
          <w:p w14:paraId="63473F1D" w14:textId="77777777" w:rsidR="00223F0B" w:rsidRPr="00223F0B" w:rsidRDefault="00223F0B" w:rsidP="005865C5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3F4D1CDE" w14:textId="77777777" w:rsidR="00223F0B" w:rsidRPr="00223F0B" w:rsidRDefault="00223F0B" w:rsidP="001F57E6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>(REFORMADO PRIMER PÁRRAFO, P.O. 8 DE JUNIO DE 2020)</w:t>
            </w:r>
          </w:p>
          <w:p w14:paraId="0C59489E" w14:textId="77777777" w:rsidR="00223F0B" w:rsidRPr="00223F0B" w:rsidRDefault="00223F0B" w:rsidP="001F57E6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b/>
                <w:bCs/>
                <w:sz w:val="20"/>
                <w:szCs w:val="20"/>
              </w:rPr>
              <w:t>Artículo 315.</w:t>
            </w: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t xml:space="preserve"> Las y los candidatos deberán presentar ante la Unidad Técnica de Fiscalización del Instituto Morelense los informes de campaña, respecto al origen y monto de los ingresos y egresos por cualquier modalidad de financiamiento, así como su empleo y aplicación, atendiendo a las reglas establecidas en la Ley General de Partidos Políticos.</w:t>
            </w:r>
          </w:p>
          <w:p w14:paraId="58439250" w14:textId="77777777" w:rsidR="00223F0B" w:rsidRPr="00223F0B" w:rsidRDefault="00223F0B" w:rsidP="001F57E6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3350FAC1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>En cada informe será reportado el origen de los recursos que se hayan utilizado para financiar los gastos correspondientes a los rubros señalados en este Código y demás disposiciones aplicables, así como el monto y destino de dichas erogaciones.</w:t>
            </w:r>
          </w:p>
          <w:p w14:paraId="44B082F9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 </w:t>
            </w:r>
          </w:p>
          <w:p w14:paraId="429D6186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El procedimiento para la presentación y revisión de los informes se sujetará a las reglas establecidas en la Ley General de Partidos Políticos. </w:t>
            </w:r>
          </w:p>
          <w:p w14:paraId="2AB32E11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6FB1A98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[…] </w:t>
            </w:r>
          </w:p>
          <w:p w14:paraId="5A37F995" w14:textId="77777777" w:rsidR="00223F0B" w:rsidRPr="00223F0B" w:rsidRDefault="00223F0B" w:rsidP="001F57E6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</w:p>
          <w:p w14:paraId="306EA418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b/>
                <w:bCs/>
                <w:sz w:val="20"/>
                <w:szCs w:val="20"/>
              </w:rPr>
              <w:t>Artículo 395</w:t>
            </w:r>
            <w:r w:rsidRPr="00223F0B">
              <w:rPr>
                <w:sz w:val="20"/>
                <w:szCs w:val="20"/>
              </w:rPr>
              <w:t xml:space="preserve">. Las infracciones señaladas en los artículos anteriores serán sancionadas conforme a lo siguiente: </w:t>
            </w:r>
          </w:p>
          <w:p w14:paraId="1F99F3D4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02BCDF3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III. Respecto de los candidatos independientes: </w:t>
            </w:r>
          </w:p>
          <w:p w14:paraId="5B88DD7C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CA5C1C7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[…] </w:t>
            </w:r>
          </w:p>
          <w:p w14:paraId="6E07C010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A601EAC" w14:textId="77777777" w:rsidR="00223F0B" w:rsidRPr="00223F0B" w:rsidRDefault="00223F0B" w:rsidP="001F57E6">
            <w:pPr>
              <w:pStyle w:val="Default"/>
              <w:jc w:val="both"/>
              <w:rPr>
                <w:sz w:val="20"/>
                <w:szCs w:val="20"/>
              </w:rPr>
            </w:pPr>
            <w:r w:rsidRPr="00223F0B">
              <w:rPr>
                <w:sz w:val="20"/>
                <w:szCs w:val="20"/>
              </w:rPr>
              <w:t xml:space="preserve">d) En caso de que el aspirante omita informar y comprobar a la unidad de fiscalización del Instituto Morelense los gastos tendentes a recabar el apoyo ciudadano, no podrá ser registrado en las dos elecciones subsecuentes, independientemente de las responsabilidades que, en su caso, le resulten en términos de la legislación aplicable, y </w:t>
            </w:r>
          </w:p>
          <w:p w14:paraId="616DB099" w14:textId="77777777" w:rsidR="00223F0B" w:rsidRPr="00223F0B" w:rsidRDefault="00223F0B" w:rsidP="001F57E6">
            <w:pPr>
              <w:ind w:right="61"/>
              <w:jc w:val="both"/>
              <w:rPr>
                <w:rFonts w:ascii="Century Gothic" w:eastAsiaTheme="minorEastAsia" w:hAnsi="Century Gothic" w:cs="Century Gothic"/>
                <w:sz w:val="20"/>
                <w:szCs w:val="20"/>
              </w:rPr>
            </w:pPr>
            <w:r w:rsidRPr="00223F0B">
              <w:rPr>
                <w:rFonts w:ascii="Century Gothic" w:eastAsiaTheme="minorEastAsia" w:hAnsi="Century Gothic" w:cs="Century Gothic"/>
                <w:sz w:val="20"/>
                <w:szCs w:val="20"/>
              </w:rPr>
              <w:lastRenderedPageBreak/>
              <w:t>e) Cuando sea delegada la fiscalización de los ingresos y egresos de los partidos políticos, al Instituto Morelense, y el candidato independiente omita informar y comprobar al área correspondiente de fiscalización, los gastos de campaña y no los reembolse, no podrá ser registrado como candidato en las dos elecciones subsecuentes, independientemente de las responsabilidades que, en su caso, le resulten en términos de la legislación aplicable.</w:t>
            </w:r>
          </w:p>
        </w:tc>
      </w:tr>
    </w:tbl>
    <w:p w14:paraId="30FEF5B7" w14:textId="452B1A47" w:rsidR="004F35DF" w:rsidRDefault="00FA18E9">
      <w:pPr>
        <w:spacing w:after="0"/>
        <w:ind w:left="-24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lastRenderedPageBreak/>
        <w:t xml:space="preserve"> </w:t>
      </w:r>
    </w:p>
    <w:p w14:paraId="219BE1E3" w14:textId="74357337" w:rsidR="00223F0B" w:rsidRDefault="00223F0B">
      <w:pPr>
        <w:spacing w:after="0"/>
        <w:ind w:left="-24"/>
        <w:rPr>
          <w:rFonts w:ascii="Century Gothic" w:eastAsia="Century Gothic" w:hAnsi="Century Gothic" w:cs="Century Gothic"/>
          <w:b/>
          <w:sz w:val="20"/>
        </w:rPr>
      </w:pPr>
    </w:p>
    <w:p w14:paraId="63A48178" w14:textId="3907D799" w:rsidR="00223F0B" w:rsidRDefault="00223F0B">
      <w:pPr>
        <w:spacing w:after="0"/>
        <w:ind w:left="-24"/>
        <w:rPr>
          <w:rFonts w:ascii="Century Gothic" w:eastAsia="Century Gothic" w:hAnsi="Century Gothic" w:cs="Century Gothic"/>
          <w:b/>
          <w:sz w:val="20"/>
        </w:rPr>
      </w:pPr>
    </w:p>
    <w:tbl>
      <w:tblPr>
        <w:tblStyle w:val="TableGrid"/>
        <w:tblW w:w="17164" w:type="dxa"/>
        <w:tblInd w:w="-17" w:type="dxa"/>
        <w:tblCellMar>
          <w:top w:w="6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464"/>
        <w:gridCol w:w="2774"/>
        <w:gridCol w:w="12926"/>
      </w:tblGrid>
      <w:tr w:rsidR="00223F0B" w14:paraId="46FE56A6" w14:textId="77777777" w:rsidTr="001D2E4A">
        <w:trPr>
          <w:trHeight w:val="406"/>
        </w:trPr>
        <w:tc>
          <w:tcPr>
            <w:tcW w:w="1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6923C"/>
          </w:tcPr>
          <w:p w14:paraId="0AB5C3D3" w14:textId="77777777" w:rsidR="00223F0B" w:rsidRDefault="00223F0B" w:rsidP="001D2E4A">
            <w:pPr>
              <w:ind w:left="197"/>
              <w:jc w:val="center"/>
            </w:pPr>
          </w:p>
        </w:tc>
        <w:tc>
          <w:tcPr>
            <w:tcW w:w="2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6923C"/>
          </w:tcPr>
          <w:p w14:paraId="7A261B90" w14:textId="77777777" w:rsidR="00223F0B" w:rsidRDefault="00223F0B" w:rsidP="001D2E4A">
            <w:pPr>
              <w:ind w:right="54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ESTADO </w:t>
            </w:r>
          </w:p>
        </w:tc>
        <w:tc>
          <w:tcPr>
            <w:tcW w:w="129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6923C"/>
          </w:tcPr>
          <w:p w14:paraId="22FC6012" w14:textId="77777777" w:rsidR="00223F0B" w:rsidRDefault="00223F0B" w:rsidP="001D2E4A">
            <w:pPr>
              <w:ind w:right="52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223F0B" w:rsidRPr="00C74C47" w14:paraId="53A5F5E9" w14:textId="77777777" w:rsidTr="001D2E4A">
        <w:trPr>
          <w:trHeight w:val="1018"/>
        </w:trPr>
        <w:tc>
          <w:tcPr>
            <w:tcW w:w="1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4EFC6B" w14:textId="7C4D2238" w:rsidR="00223F0B" w:rsidRDefault="00223F0B" w:rsidP="00223F0B">
            <w:pPr>
              <w:ind w:right="413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2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15146B2" w14:textId="685786A3" w:rsidR="00223F0B" w:rsidRPr="00223F0B" w:rsidRDefault="00223F0B" w:rsidP="001D2E4A">
            <w:pPr>
              <w:ind w:right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MORELOS </w:t>
            </w:r>
          </w:p>
        </w:tc>
        <w:tc>
          <w:tcPr>
            <w:tcW w:w="129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049ADA3" w14:textId="77777777" w:rsidR="00223F0B" w:rsidRPr="00223F0B" w:rsidRDefault="00223F0B" w:rsidP="00223F0B">
            <w:pPr>
              <w:jc w:val="center"/>
              <w:rPr>
                <w:b/>
                <w:color w:val="auto"/>
              </w:rPr>
            </w:pPr>
            <w:hyperlink r:id="rId8" w:history="1">
              <w:r w:rsidRPr="00223F0B">
                <w:rPr>
                  <w:rStyle w:val="Hipervnculo"/>
                  <w:b/>
                  <w:color w:val="auto"/>
                  <w:u w:val="none"/>
                </w:rPr>
                <w:t>Reglamento de Fiscalización</w:t>
              </w:r>
            </w:hyperlink>
            <w:r w:rsidRPr="00223F0B">
              <w:rPr>
                <w:b/>
                <w:color w:val="auto"/>
              </w:rPr>
              <w:t xml:space="preserve"> </w:t>
            </w:r>
          </w:p>
          <w:p w14:paraId="659723E0" w14:textId="77777777" w:rsidR="00223F0B" w:rsidRPr="00223F0B" w:rsidRDefault="00223F0B" w:rsidP="00223F0B">
            <w:pPr>
              <w:jc w:val="center"/>
              <w:rPr>
                <w:b/>
                <w:color w:val="auto"/>
              </w:rPr>
            </w:pPr>
          </w:p>
          <w:p w14:paraId="72482429" w14:textId="77777777" w:rsidR="00223F0B" w:rsidRPr="00223F0B" w:rsidRDefault="00223F0B" w:rsidP="00223F0B">
            <w:pPr>
              <w:jc w:val="center"/>
              <w:rPr>
                <w:b/>
                <w:color w:val="auto"/>
              </w:rPr>
            </w:pPr>
            <w:hyperlink r:id="rId9" w:history="1">
              <w:r w:rsidRPr="00223F0B">
                <w:rPr>
                  <w:rStyle w:val="Hipervnculo"/>
                  <w:b/>
                  <w:color w:val="auto"/>
                  <w:u w:val="none"/>
                </w:rPr>
                <w:t>Reglamento de Fiscalización para las organizaciones ciudadanas que pretenden constituirse como partido político local</w:t>
              </w:r>
            </w:hyperlink>
          </w:p>
          <w:p w14:paraId="12FB7436" w14:textId="54A0264A" w:rsidR="00223F0B" w:rsidRPr="00C74C47" w:rsidRDefault="00223F0B" w:rsidP="001D2E4A">
            <w:pPr>
              <w:jc w:val="center"/>
            </w:pPr>
            <w:r w:rsidRPr="00223F0B">
              <w:rPr>
                <w:color w:val="auto"/>
              </w:rPr>
              <w:t xml:space="preserve"> </w:t>
            </w:r>
          </w:p>
        </w:tc>
      </w:tr>
    </w:tbl>
    <w:p w14:paraId="7CE6DDD9" w14:textId="370D4DE2" w:rsidR="00223F0B" w:rsidRDefault="00223F0B">
      <w:pPr>
        <w:spacing w:after="0"/>
        <w:ind w:left="-24"/>
      </w:pPr>
      <w:r>
        <w:t xml:space="preserve"> </w:t>
      </w:r>
    </w:p>
    <w:sectPr w:rsidR="00223F0B">
      <w:headerReference w:type="even" r:id="rId10"/>
      <w:headerReference w:type="default" r:id="rId11"/>
      <w:headerReference w:type="first" r:id="rId12"/>
      <w:pgSz w:w="20160" w:h="12240" w:orient="landscape"/>
      <w:pgMar w:top="1440" w:right="1440" w:bottom="646" w:left="144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24B8" w14:textId="77777777" w:rsidR="00330D26" w:rsidRDefault="00330D26">
      <w:pPr>
        <w:spacing w:after="0" w:line="240" w:lineRule="auto"/>
      </w:pPr>
      <w:r>
        <w:separator/>
      </w:r>
    </w:p>
  </w:endnote>
  <w:endnote w:type="continuationSeparator" w:id="0">
    <w:p w14:paraId="7A19D090" w14:textId="77777777" w:rsidR="00330D26" w:rsidRDefault="0033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3856" w14:textId="77777777" w:rsidR="00330D26" w:rsidRDefault="00330D26">
      <w:pPr>
        <w:spacing w:after="0" w:line="240" w:lineRule="auto"/>
      </w:pPr>
      <w:r>
        <w:separator/>
      </w:r>
    </w:p>
  </w:footnote>
  <w:footnote w:type="continuationSeparator" w:id="0">
    <w:p w14:paraId="61EC5C1F" w14:textId="77777777" w:rsidR="00330D26" w:rsidRDefault="0033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8A69" w14:textId="77777777" w:rsidR="004F35DF" w:rsidRDefault="00FA18E9">
    <w:pPr>
      <w:spacing w:after="95"/>
      <w:ind w:right="80"/>
      <w:jc w:val="right"/>
    </w:pPr>
    <w:r>
      <w:rPr>
        <w:rFonts w:ascii="Malgun Gothic" w:eastAsia="Malgun Gothic" w:hAnsi="Malgun Gothic" w:cs="Malgun Gothic"/>
        <w:b/>
        <w:sz w:val="10"/>
      </w:rPr>
      <w:t xml:space="preserve"> </w:t>
    </w:r>
  </w:p>
  <w:p w14:paraId="6A10B8A8" w14:textId="77777777" w:rsidR="004F35DF" w:rsidRDefault="00FA18E9">
    <w:pPr>
      <w:spacing w:after="0"/>
      <w:ind w:right="115"/>
      <w:jc w:val="right"/>
    </w:pPr>
    <w:r>
      <w:rPr>
        <w:rFonts w:ascii="Arial" w:eastAsia="Arial" w:hAnsi="Arial" w:cs="Arial"/>
        <w:b/>
        <w:i/>
      </w:rPr>
      <w:t>C</w:t>
    </w:r>
    <w:r>
      <w:rPr>
        <w:rFonts w:ascii="Arial" w:eastAsia="Arial" w:hAnsi="Arial" w:cs="Arial"/>
        <w:b/>
        <w:i/>
        <w:sz w:val="18"/>
      </w:rPr>
      <w:t xml:space="preserve">OORDINACIÓN DE </w:t>
    </w:r>
    <w:r>
      <w:rPr>
        <w:rFonts w:ascii="Arial" w:eastAsia="Arial" w:hAnsi="Arial" w:cs="Arial"/>
        <w:b/>
        <w:i/>
      </w:rPr>
      <w:t>J</w:t>
    </w:r>
    <w:r>
      <w:rPr>
        <w:rFonts w:ascii="Arial" w:eastAsia="Arial" w:hAnsi="Arial" w:cs="Arial"/>
        <w:b/>
        <w:i/>
        <w:sz w:val="18"/>
      </w:rPr>
      <w:t>URISPRUDENCIA</w:t>
    </w:r>
    <w:r>
      <w:rPr>
        <w:rFonts w:ascii="Arial" w:eastAsia="Arial" w:hAnsi="Arial" w:cs="Arial"/>
        <w:b/>
        <w:i/>
      </w:rPr>
      <w:t>,</w:t>
    </w:r>
    <w:r>
      <w:rPr>
        <w:rFonts w:ascii="Arial" w:eastAsia="Arial" w:hAnsi="Arial" w:cs="Arial"/>
        <w:b/>
        <w:i/>
        <w:sz w:val="18"/>
      </w:rPr>
      <w:t xml:space="preserve"> SEGUIMIENTO Y CONSULTA</w:t>
    </w:r>
    <w:r>
      <w:rPr>
        <w:rFonts w:ascii="Arial" w:eastAsia="Arial" w:hAnsi="Arial" w:cs="Arial"/>
        <w:b/>
        <w:i/>
      </w:rPr>
      <w:t xml:space="preserve"> </w:t>
    </w:r>
  </w:p>
  <w:p w14:paraId="1E88EF0F" w14:textId="77777777" w:rsidR="004F35DF" w:rsidRDefault="00FA18E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21889D8" wp14:editId="226CDB71">
              <wp:simplePos x="0" y="0"/>
              <wp:positionH relativeFrom="page">
                <wp:posOffset>987552</wp:posOffset>
              </wp:positionH>
              <wp:positionV relativeFrom="page">
                <wp:posOffset>449580</wp:posOffset>
              </wp:positionV>
              <wp:extent cx="1162812" cy="1178052"/>
              <wp:effectExtent l="0" t="0" r="0" b="0"/>
              <wp:wrapNone/>
              <wp:docPr id="5341" name="Group 5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812" cy="1178052"/>
                        <a:chOff x="0" y="0"/>
                        <a:chExt cx="1162812" cy="1178052"/>
                      </a:xfrm>
                    </wpg:grpSpPr>
                    <pic:pic xmlns:pic="http://schemas.openxmlformats.org/drawingml/2006/picture">
                      <pic:nvPicPr>
                        <pic:cNvPr id="5342" name="Picture 53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12" cy="117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41" style="width:91.56pt;height:92.76pt;position:absolute;z-index:-2147483648;mso-position-horizontal-relative:page;mso-position-horizontal:absolute;margin-left:77.76pt;mso-position-vertical-relative:page;margin-top:35.4pt;" coordsize="11628,11780">
              <v:shape id="Picture 5342" style="position:absolute;width:11628;height:11780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855A" w14:textId="77777777" w:rsidR="004F35DF" w:rsidRDefault="00FA18E9">
    <w:pPr>
      <w:spacing w:after="95"/>
      <w:ind w:right="80"/>
      <w:jc w:val="right"/>
    </w:pPr>
    <w:r>
      <w:rPr>
        <w:rFonts w:ascii="Malgun Gothic" w:eastAsia="Malgun Gothic" w:hAnsi="Malgun Gothic" w:cs="Malgun Gothic"/>
        <w:b/>
        <w:sz w:val="10"/>
      </w:rPr>
      <w:t xml:space="preserve"> </w:t>
    </w:r>
  </w:p>
  <w:p w14:paraId="4B2879C1" w14:textId="77777777" w:rsidR="00E77FBA" w:rsidRDefault="00E77FBA">
    <w:pPr>
      <w:spacing w:after="0"/>
      <w:ind w:right="115"/>
      <w:jc w:val="right"/>
      <w:rPr>
        <w:rFonts w:ascii="Arial" w:eastAsia="Arial" w:hAnsi="Arial" w:cs="Arial"/>
        <w:b/>
        <w:i/>
        <w:sz w:val="18"/>
      </w:rPr>
    </w:pPr>
    <w:r>
      <w:rPr>
        <w:rFonts w:ascii="Arial" w:eastAsia="Arial" w:hAnsi="Arial" w:cs="Arial"/>
        <w:b/>
        <w:i/>
      </w:rPr>
      <w:t>D</w:t>
    </w:r>
    <w:r w:rsidRPr="00E77FBA">
      <w:rPr>
        <w:rFonts w:ascii="Arial" w:eastAsia="Arial" w:hAnsi="Arial" w:cs="Arial"/>
        <w:b/>
        <w:i/>
        <w:sz w:val="18"/>
        <w:szCs w:val="18"/>
      </w:rPr>
      <w:t>IRECCIÓN</w:t>
    </w:r>
    <w:r>
      <w:rPr>
        <w:rFonts w:ascii="Arial" w:eastAsia="Arial" w:hAnsi="Arial" w:cs="Arial"/>
        <w:b/>
        <w:i/>
      </w:rPr>
      <w:t xml:space="preserve"> G</w:t>
    </w:r>
    <w:r w:rsidRPr="00E77FBA">
      <w:rPr>
        <w:rFonts w:ascii="Arial" w:eastAsia="Arial" w:hAnsi="Arial" w:cs="Arial"/>
        <w:b/>
        <w:i/>
        <w:sz w:val="18"/>
        <w:szCs w:val="18"/>
      </w:rPr>
      <w:t>ENERAL</w:t>
    </w:r>
    <w:r>
      <w:rPr>
        <w:rFonts w:ascii="Arial" w:eastAsia="Arial" w:hAnsi="Arial" w:cs="Arial"/>
        <w:b/>
        <w:i/>
      </w:rPr>
      <w:t xml:space="preserve"> </w:t>
    </w:r>
    <w:r w:rsidR="00FA18E9">
      <w:rPr>
        <w:rFonts w:ascii="Arial" w:eastAsia="Arial" w:hAnsi="Arial" w:cs="Arial"/>
        <w:b/>
        <w:i/>
        <w:sz w:val="18"/>
      </w:rPr>
      <w:t xml:space="preserve">DE </w:t>
    </w:r>
    <w:r w:rsidR="00FA18E9">
      <w:rPr>
        <w:rFonts w:ascii="Arial" w:eastAsia="Arial" w:hAnsi="Arial" w:cs="Arial"/>
        <w:b/>
        <w:i/>
      </w:rPr>
      <w:t>J</w:t>
    </w:r>
    <w:r w:rsidR="00FA18E9">
      <w:rPr>
        <w:rFonts w:ascii="Arial" w:eastAsia="Arial" w:hAnsi="Arial" w:cs="Arial"/>
        <w:b/>
        <w:i/>
        <w:sz w:val="18"/>
      </w:rPr>
      <w:t>URISPRUDENCIA</w:t>
    </w:r>
    <w:r w:rsidR="00FA18E9">
      <w:rPr>
        <w:rFonts w:ascii="Arial" w:eastAsia="Arial" w:hAnsi="Arial" w:cs="Arial"/>
        <w:b/>
        <w:i/>
      </w:rPr>
      <w:t>,</w:t>
    </w:r>
    <w:r w:rsidR="00FA18E9">
      <w:rPr>
        <w:rFonts w:ascii="Arial" w:eastAsia="Arial" w:hAnsi="Arial" w:cs="Arial"/>
        <w:b/>
        <w:i/>
        <w:sz w:val="18"/>
      </w:rPr>
      <w:t xml:space="preserve"> SEGUIMIENTO Y CONSULTA</w:t>
    </w:r>
  </w:p>
  <w:p w14:paraId="6AD3B375" w14:textId="77777777" w:rsidR="00E77FBA" w:rsidRDefault="00E77FBA">
    <w:pPr>
      <w:spacing w:after="0"/>
      <w:ind w:right="115"/>
      <w:jc w:val="right"/>
      <w:rPr>
        <w:rFonts w:ascii="Arial" w:eastAsia="Arial" w:hAnsi="Arial" w:cs="Arial"/>
        <w:b/>
        <w:i/>
        <w:sz w:val="18"/>
      </w:rPr>
    </w:pPr>
  </w:p>
  <w:p w14:paraId="5698813E" w14:textId="77777777" w:rsidR="004F35DF" w:rsidRDefault="00E77FBA">
    <w:pPr>
      <w:spacing w:after="0"/>
      <w:ind w:right="115"/>
      <w:jc w:val="right"/>
      <w:rPr>
        <w:rFonts w:ascii="Arial" w:eastAsia="Arial" w:hAnsi="Arial" w:cs="Arial"/>
        <w:b/>
        <w:i/>
      </w:rPr>
    </w:pPr>
    <w:r w:rsidRPr="00E77FBA">
      <w:rPr>
        <w:rFonts w:ascii="Arial" w:eastAsia="Arial" w:hAnsi="Arial" w:cs="Arial"/>
        <w:b/>
        <w:i/>
      </w:rPr>
      <w:t>D</w:t>
    </w:r>
    <w:r>
      <w:rPr>
        <w:rFonts w:ascii="Arial" w:eastAsia="Arial" w:hAnsi="Arial" w:cs="Arial"/>
        <w:b/>
        <w:i/>
        <w:sz w:val="18"/>
      </w:rPr>
      <w:t xml:space="preserve">IRECCIÓN DE </w:t>
    </w:r>
    <w:r w:rsidRPr="00E77FBA">
      <w:rPr>
        <w:rFonts w:ascii="Arial" w:eastAsia="Arial" w:hAnsi="Arial" w:cs="Arial"/>
        <w:b/>
        <w:i/>
      </w:rPr>
      <w:t>C</w:t>
    </w:r>
    <w:r>
      <w:rPr>
        <w:rFonts w:ascii="Arial" w:eastAsia="Arial" w:hAnsi="Arial" w:cs="Arial"/>
        <w:b/>
        <w:i/>
        <w:sz w:val="18"/>
      </w:rPr>
      <w:t xml:space="preserve">ONSULTA Y </w:t>
    </w:r>
    <w:r w:rsidRPr="00E77FBA">
      <w:rPr>
        <w:rFonts w:ascii="Arial" w:eastAsia="Arial" w:hAnsi="Arial" w:cs="Arial"/>
        <w:b/>
        <w:i/>
      </w:rPr>
      <w:t>D</w:t>
    </w:r>
    <w:r>
      <w:rPr>
        <w:rFonts w:ascii="Arial" w:eastAsia="Arial" w:hAnsi="Arial" w:cs="Arial"/>
        <w:b/>
        <w:i/>
        <w:sz w:val="18"/>
      </w:rPr>
      <w:t xml:space="preserve">IFUSIÓN </w:t>
    </w:r>
    <w:r w:rsidR="00FA18E9">
      <w:rPr>
        <w:rFonts w:ascii="Arial" w:eastAsia="Arial" w:hAnsi="Arial" w:cs="Arial"/>
        <w:b/>
        <w:i/>
      </w:rPr>
      <w:t xml:space="preserve"> </w:t>
    </w:r>
  </w:p>
  <w:p w14:paraId="33A31D89" w14:textId="77777777" w:rsidR="00501DEE" w:rsidRDefault="00501DEE">
    <w:pPr>
      <w:spacing w:after="0"/>
      <w:ind w:right="115"/>
      <w:jc w:val="right"/>
      <w:rPr>
        <w:rFonts w:ascii="Arial" w:eastAsia="Arial" w:hAnsi="Arial" w:cs="Arial"/>
        <w:b/>
        <w:i/>
      </w:rPr>
    </w:pPr>
  </w:p>
  <w:p w14:paraId="13B0EDD5" w14:textId="77777777" w:rsidR="00501DEE" w:rsidRDefault="00501DEE">
    <w:pPr>
      <w:spacing w:after="0"/>
      <w:ind w:right="115"/>
      <w:jc w:val="right"/>
      <w:rPr>
        <w:rFonts w:ascii="Arial" w:eastAsia="Arial" w:hAnsi="Arial" w:cs="Arial"/>
        <w:b/>
        <w:i/>
      </w:rPr>
    </w:pPr>
  </w:p>
  <w:p w14:paraId="05A0CEC9" w14:textId="77777777" w:rsidR="004F35DF" w:rsidRDefault="00FA18E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2B4BD4" wp14:editId="2908CC53">
              <wp:simplePos x="0" y="0"/>
              <wp:positionH relativeFrom="page">
                <wp:posOffset>987552</wp:posOffset>
              </wp:positionH>
              <wp:positionV relativeFrom="page">
                <wp:posOffset>449580</wp:posOffset>
              </wp:positionV>
              <wp:extent cx="1162812" cy="1178052"/>
              <wp:effectExtent l="0" t="0" r="0" b="0"/>
              <wp:wrapNone/>
              <wp:docPr id="5322" name="Group 5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812" cy="1178052"/>
                        <a:chOff x="0" y="0"/>
                        <a:chExt cx="1162812" cy="1178052"/>
                      </a:xfrm>
                    </wpg:grpSpPr>
                    <pic:pic xmlns:pic="http://schemas.openxmlformats.org/drawingml/2006/picture">
                      <pic:nvPicPr>
                        <pic:cNvPr id="5323" name="Picture 53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12" cy="117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22" style="width:91.56pt;height:92.76pt;position:absolute;z-index:-2147483648;mso-position-horizontal-relative:page;mso-position-horizontal:absolute;margin-left:77.76pt;mso-position-vertical-relative:page;margin-top:35.4pt;" coordsize="11628,11780">
              <v:shape id="Picture 5323" style="position:absolute;width:11628;height:11780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295E" w14:textId="77777777" w:rsidR="004F35DF" w:rsidRDefault="00FA18E9">
    <w:pPr>
      <w:spacing w:after="95"/>
      <w:ind w:right="80"/>
      <w:jc w:val="right"/>
    </w:pPr>
    <w:r>
      <w:rPr>
        <w:rFonts w:ascii="Malgun Gothic" w:eastAsia="Malgun Gothic" w:hAnsi="Malgun Gothic" w:cs="Malgun Gothic"/>
        <w:b/>
        <w:sz w:val="10"/>
      </w:rPr>
      <w:t xml:space="preserve"> </w:t>
    </w:r>
  </w:p>
  <w:p w14:paraId="40ACC8ED" w14:textId="77777777" w:rsidR="004F35DF" w:rsidRDefault="00FA18E9">
    <w:pPr>
      <w:spacing w:after="0"/>
      <w:ind w:right="115"/>
      <w:jc w:val="right"/>
    </w:pPr>
    <w:r>
      <w:rPr>
        <w:rFonts w:ascii="Arial" w:eastAsia="Arial" w:hAnsi="Arial" w:cs="Arial"/>
        <w:b/>
        <w:i/>
      </w:rPr>
      <w:t>C</w:t>
    </w:r>
    <w:r>
      <w:rPr>
        <w:rFonts w:ascii="Arial" w:eastAsia="Arial" w:hAnsi="Arial" w:cs="Arial"/>
        <w:b/>
        <w:i/>
        <w:sz w:val="18"/>
      </w:rPr>
      <w:t xml:space="preserve">OORDINACIÓN DE </w:t>
    </w:r>
    <w:r>
      <w:rPr>
        <w:rFonts w:ascii="Arial" w:eastAsia="Arial" w:hAnsi="Arial" w:cs="Arial"/>
        <w:b/>
        <w:i/>
      </w:rPr>
      <w:t>J</w:t>
    </w:r>
    <w:r>
      <w:rPr>
        <w:rFonts w:ascii="Arial" w:eastAsia="Arial" w:hAnsi="Arial" w:cs="Arial"/>
        <w:b/>
        <w:i/>
        <w:sz w:val="18"/>
      </w:rPr>
      <w:t>URISPRUDENCIA</w:t>
    </w:r>
    <w:r>
      <w:rPr>
        <w:rFonts w:ascii="Arial" w:eastAsia="Arial" w:hAnsi="Arial" w:cs="Arial"/>
        <w:b/>
        <w:i/>
      </w:rPr>
      <w:t>,</w:t>
    </w:r>
    <w:r>
      <w:rPr>
        <w:rFonts w:ascii="Arial" w:eastAsia="Arial" w:hAnsi="Arial" w:cs="Arial"/>
        <w:b/>
        <w:i/>
        <w:sz w:val="18"/>
      </w:rPr>
      <w:t xml:space="preserve"> SEGUIMIENTO Y CONSULTA</w:t>
    </w:r>
    <w:r>
      <w:rPr>
        <w:rFonts w:ascii="Arial" w:eastAsia="Arial" w:hAnsi="Arial" w:cs="Arial"/>
        <w:b/>
        <w:i/>
      </w:rPr>
      <w:t xml:space="preserve"> </w:t>
    </w:r>
  </w:p>
  <w:p w14:paraId="3FA4F467" w14:textId="77777777" w:rsidR="004F35DF" w:rsidRDefault="00FA18E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1934A7E" wp14:editId="1A9DA269">
              <wp:simplePos x="0" y="0"/>
              <wp:positionH relativeFrom="page">
                <wp:posOffset>987552</wp:posOffset>
              </wp:positionH>
              <wp:positionV relativeFrom="page">
                <wp:posOffset>449580</wp:posOffset>
              </wp:positionV>
              <wp:extent cx="1162812" cy="1178052"/>
              <wp:effectExtent l="0" t="0" r="0" b="0"/>
              <wp:wrapNone/>
              <wp:docPr id="5303" name="Group 5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812" cy="1178052"/>
                        <a:chOff x="0" y="0"/>
                        <a:chExt cx="1162812" cy="1178052"/>
                      </a:xfrm>
                    </wpg:grpSpPr>
                    <pic:pic xmlns:pic="http://schemas.openxmlformats.org/drawingml/2006/picture">
                      <pic:nvPicPr>
                        <pic:cNvPr id="5304" name="Picture 53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12" cy="117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03" style="width:91.56pt;height:92.76pt;position:absolute;z-index:-2147483648;mso-position-horizontal-relative:page;mso-position-horizontal:absolute;margin-left:77.76pt;mso-position-vertical-relative:page;margin-top:35.4pt;" coordsize="11628,11780">
              <v:shape id="Picture 5304" style="position:absolute;width:11628;height:11780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85B"/>
    <w:multiLevelType w:val="hybridMultilevel"/>
    <w:tmpl w:val="15BC2004"/>
    <w:lvl w:ilvl="0" w:tplc="8508EE76">
      <w:start w:val="3"/>
      <w:numFmt w:val="upperRoman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62B00">
      <w:start w:val="1"/>
      <w:numFmt w:val="lowerLetter"/>
      <w:lvlText w:val="%2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B26">
      <w:start w:val="1"/>
      <w:numFmt w:val="lowerRoman"/>
      <w:lvlText w:val="%3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87364">
      <w:start w:val="1"/>
      <w:numFmt w:val="decimal"/>
      <w:lvlText w:val="%4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A83EA">
      <w:start w:val="1"/>
      <w:numFmt w:val="lowerLetter"/>
      <w:lvlText w:val="%5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225AD6">
      <w:start w:val="1"/>
      <w:numFmt w:val="lowerRoman"/>
      <w:lvlText w:val="%6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3A8EDA">
      <w:start w:val="1"/>
      <w:numFmt w:val="decimal"/>
      <w:lvlText w:val="%7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646FEE">
      <w:start w:val="1"/>
      <w:numFmt w:val="lowerLetter"/>
      <w:lvlText w:val="%8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1FBA">
      <w:start w:val="1"/>
      <w:numFmt w:val="lowerRoman"/>
      <w:lvlText w:val="%9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56658"/>
    <w:multiLevelType w:val="hybridMultilevel"/>
    <w:tmpl w:val="2D22F3CA"/>
    <w:lvl w:ilvl="0" w:tplc="17E637EC">
      <w:start w:val="1"/>
      <w:numFmt w:val="decimal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04A1DE">
      <w:start w:val="1"/>
      <w:numFmt w:val="lowerLetter"/>
      <w:lvlText w:val="%2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9A8004">
      <w:start w:val="1"/>
      <w:numFmt w:val="lowerRoman"/>
      <w:lvlText w:val="%3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67ED2">
      <w:start w:val="1"/>
      <w:numFmt w:val="decimal"/>
      <w:lvlText w:val="%4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27F7C">
      <w:start w:val="1"/>
      <w:numFmt w:val="lowerLetter"/>
      <w:lvlText w:val="%5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13B2">
      <w:start w:val="1"/>
      <w:numFmt w:val="lowerRoman"/>
      <w:lvlText w:val="%6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A7E60">
      <w:start w:val="1"/>
      <w:numFmt w:val="decimal"/>
      <w:lvlText w:val="%7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875EA">
      <w:start w:val="1"/>
      <w:numFmt w:val="lowerLetter"/>
      <w:lvlText w:val="%8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C8BD4A">
      <w:start w:val="1"/>
      <w:numFmt w:val="lowerRoman"/>
      <w:lvlText w:val="%9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8D1298"/>
    <w:multiLevelType w:val="hybridMultilevel"/>
    <w:tmpl w:val="2F9CFD2A"/>
    <w:lvl w:ilvl="0" w:tplc="CBB6B01E">
      <w:start w:val="1"/>
      <w:numFmt w:val="decimal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6F656">
      <w:start w:val="1"/>
      <w:numFmt w:val="lowerLetter"/>
      <w:lvlText w:val="%2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C650A">
      <w:start w:val="1"/>
      <w:numFmt w:val="lowerRoman"/>
      <w:lvlText w:val="%3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B6EF66">
      <w:start w:val="1"/>
      <w:numFmt w:val="decimal"/>
      <w:lvlText w:val="%4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881838">
      <w:start w:val="1"/>
      <w:numFmt w:val="lowerLetter"/>
      <w:lvlText w:val="%5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0286EE">
      <w:start w:val="1"/>
      <w:numFmt w:val="lowerRoman"/>
      <w:lvlText w:val="%6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8E80A">
      <w:start w:val="1"/>
      <w:numFmt w:val="decimal"/>
      <w:lvlText w:val="%7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CB84C">
      <w:start w:val="1"/>
      <w:numFmt w:val="lowerLetter"/>
      <w:lvlText w:val="%8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C25470">
      <w:start w:val="1"/>
      <w:numFmt w:val="lowerRoman"/>
      <w:lvlText w:val="%9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418937">
    <w:abstractNumId w:val="1"/>
  </w:num>
  <w:num w:numId="2" w16cid:durableId="560286372">
    <w:abstractNumId w:val="0"/>
  </w:num>
  <w:num w:numId="3" w16cid:durableId="89334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DF"/>
    <w:rsid w:val="00041B21"/>
    <w:rsid w:val="00052C0F"/>
    <w:rsid w:val="00063301"/>
    <w:rsid w:val="00103009"/>
    <w:rsid w:val="00106911"/>
    <w:rsid w:val="0010728E"/>
    <w:rsid w:val="00155697"/>
    <w:rsid w:val="001F57E6"/>
    <w:rsid w:val="00223F0B"/>
    <w:rsid w:val="00296B76"/>
    <w:rsid w:val="002B1D3E"/>
    <w:rsid w:val="002D649F"/>
    <w:rsid w:val="00321DF8"/>
    <w:rsid w:val="00330D26"/>
    <w:rsid w:val="004100F5"/>
    <w:rsid w:val="004479D3"/>
    <w:rsid w:val="00483B40"/>
    <w:rsid w:val="004A6A73"/>
    <w:rsid w:val="004F35DF"/>
    <w:rsid w:val="00501DEE"/>
    <w:rsid w:val="00511E81"/>
    <w:rsid w:val="00530597"/>
    <w:rsid w:val="005865C5"/>
    <w:rsid w:val="0059575A"/>
    <w:rsid w:val="005B664E"/>
    <w:rsid w:val="00654522"/>
    <w:rsid w:val="00655837"/>
    <w:rsid w:val="006A4007"/>
    <w:rsid w:val="006B3317"/>
    <w:rsid w:val="0075406E"/>
    <w:rsid w:val="007833E6"/>
    <w:rsid w:val="007D1938"/>
    <w:rsid w:val="007D629B"/>
    <w:rsid w:val="00896685"/>
    <w:rsid w:val="008B47FB"/>
    <w:rsid w:val="00926D01"/>
    <w:rsid w:val="00954131"/>
    <w:rsid w:val="009C5309"/>
    <w:rsid w:val="009D3F24"/>
    <w:rsid w:val="00A37F48"/>
    <w:rsid w:val="00AB2A4E"/>
    <w:rsid w:val="00AB629E"/>
    <w:rsid w:val="00AD3DDC"/>
    <w:rsid w:val="00B1020A"/>
    <w:rsid w:val="00B87487"/>
    <w:rsid w:val="00B90E1F"/>
    <w:rsid w:val="00BE09F8"/>
    <w:rsid w:val="00BE182D"/>
    <w:rsid w:val="00C14E2C"/>
    <w:rsid w:val="00C45D5E"/>
    <w:rsid w:val="00C675E6"/>
    <w:rsid w:val="00C70BE5"/>
    <w:rsid w:val="00C72B55"/>
    <w:rsid w:val="00CD1722"/>
    <w:rsid w:val="00CF490B"/>
    <w:rsid w:val="00D049C6"/>
    <w:rsid w:val="00E52EE0"/>
    <w:rsid w:val="00E77FBA"/>
    <w:rsid w:val="00E878D4"/>
    <w:rsid w:val="00F07BBB"/>
    <w:rsid w:val="00F20F0A"/>
    <w:rsid w:val="00F56F76"/>
    <w:rsid w:val="00F869E4"/>
    <w:rsid w:val="00F96E08"/>
    <w:rsid w:val="00FA18E9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AF25"/>
  <w15:docId w15:val="{FE05B40C-7C4B-4514-8C01-0A239BE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5C5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45D5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5D5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9668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01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DEE"/>
    <w:rPr>
      <w:rFonts w:ascii="Calibri" w:eastAsia="Calibri" w:hAnsi="Calibri" w:cs="Calibri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BE09F8"/>
    <w:rPr>
      <w:color w:val="605E5C"/>
      <w:shd w:val="clear" w:color="auto" w:fill="E1DFDD"/>
    </w:rPr>
  </w:style>
  <w:style w:type="paragraph" w:customStyle="1" w:styleId="Default">
    <w:name w:val="Default"/>
    <w:rsid w:val="00F96E0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epac.mx/wp-content/uploads/2014/11/legislacion/Reglamentosinst/REGLAMENTO%20DE%20FISCALIZACI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vmsilap.scjn.pjf.gob.mx/Buscador/Paginas/AbrirDocArticulo.aspx?q=u+uol4XmeVVQSBV20oBZU/dPNiUf2pgimbR4iD5NdTguyUdNmQOzGzbWp9Q06OroawnTcNCngQ6+NoUCrvqpsQ==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mpepac.mx/wp-content/uploads/2014/11/legislacion/Reglamentosinst/2020update/REGLAMENTO%20DE%20FISCALIZACI%C3%93N%20PARA%20LAS%20ORGANIZACIONES%20CIUDADANAS%20QUE%20PRETENDAN%20CONSTITUIRSE%20COMO%20PARTIDO%20POL%C3%8DTICO%20LOCAL%20DEL%20IMPEPAC%20%281%2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1894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Isay Martínez Flores</dc:creator>
  <cp:keywords/>
  <cp:lastModifiedBy>Herman Hernández Sánchez</cp:lastModifiedBy>
  <cp:revision>497</cp:revision>
  <dcterms:created xsi:type="dcterms:W3CDTF">2018-08-09T17:31:00Z</dcterms:created>
  <dcterms:modified xsi:type="dcterms:W3CDTF">2023-06-13T20:02:00Z</dcterms:modified>
</cp:coreProperties>
</file>