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Normal"/>
        <w:tblW w:w="16746" w:type="dxa"/>
        <w:tblInd w:w="11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272"/>
        <w:gridCol w:w="2405"/>
        <w:gridCol w:w="4138"/>
        <w:gridCol w:w="8931"/>
      </w:tblGrid>
      <w:tr w:rsidR="001511EE" w:rsidRPr="00846D6B" w14:paraId="36E81A82" w14:textId="77777777" w:rsidTr="00F23F75">
        <w:trPr>
          <w:trHeight w:val="484"/>
          <w:tblHeader/>
        </w:trPr>
        <w:tc>
          <w:tcPr>
            <w:tcW w:w="1272" w:type="dxa"/>
            <w:shd w:val="clear" w:color="auto" w:fill="76923B"/>
          </w:tcPr>
          <w:p w14:paraId="5E1901A0" w14:textId="77777777" w:rsidR="001511EE" w:rsidRPr="00846D6B" w:rsidRDefault="001511EE">
            <w:pPr>
              <w:pStyle w:val="TableParagraph"/>
              <w:rPr>
                <w:rFonts w:ascii="Arial" w:hAnsi="Arial" w:cs="Arial"/>
                <w:sz w:val="24"/>
                <w:szCs w:val="24"/>
              </w:rPr>
            </w:pPr>
          </w:p>
        </w:tc>
        <w:tc>
          <w:tcPr>
            <w:tcW w:w="2405" w:type="dxa"/>
            <w:shd w:val="clear" w:color="auto" w:fill="76923B"/>
          </w:tcPr>
          <w:p w14:paraId="00604413" w14:textId="77777777" w:rsidR="001511EE" w:rsidRPr="00846D6B" w:rsidRDefault="008D023F">
            <w:pPr>
              <w:pStyle w:val="TableParagraph"/>
              <w:spacing w:before="122"/>
              <w:ind w:left="663" w:right="662"/>
              <w:jc w:val="center"/>
              <w:rPr>
                <w:rFonts w:ascii="Arial" w:hAnsi="Arial" w:cs="Arial"/>
                <w:b/>
                <w:sz w:val="24"/>
                <w:szCs w:val="24"/>
              </w:rPr>
            </w:pPr>
            <w:r w:rsidRPr="00846D6B">
              <w:rPr>
                <w:rFonts w:ascii="Arial" w:hAnsi="Arial" w:cs="Arial"/>
                <w:b/>
                <w:color w:val="FFFFFF"/>
                <w:sz w:val="24"/>
                <w:szCs w:val="24"/>
              </w:rPr>
              <w:t>ESTADO</w:t>
            </w:r>
          </w:p>
        </w:tc>
        <w:tc>
          <w:tcPr>
            <w:tcW w:w="4138" w:type="dxa"/>
            <w:shd w:val="clear" w:color="auto" w:fill="76923B"/>
          </w:tcPr>
          <w:p w14:paraId="0820446E" w14:textId="77777777" w:rsidR="001511EE" w:rsidRPr="00846D6B" w:rsidRDefault="008D023F">
            <w:pPr>
              <w:pStyle w:val="TableParagraph"/>
              <w:spacing w:before="122"/>
              <w:ind w:left="1732" w:right="1730"/>
              <w:jc w:val="center"/>
              <w:rPr>
                <w:rFonts w:ascii="Arial" w:hAnsi="Arial" w:cs="Arial"/>
                <w:b/>
                <w:sz w:val="24"/>
                <w:szCs w:val="24"/>
              </w:rPr>
            </w:pPr>
            <w:r w:rsidRPr="00846D6B">
              <w:rPr>
                <w:rFonts w:ascii="Arial" w:hAnsi="Arial" w:cs="Arial"/>
                <w:b/>
                <w:color w:val="FFFFFF"/>
                <w:sz w:val="24"/>
                <w:szCs w:val="24"/>
              </w:rPr>
              <w:t>LEY</w:t>
            </w:r>
          </w:p>
        </w:tc>
        <w:tc>
          <w:tcPr>
            <w:tcW w:w="8931" w:type="dxa"/>
            <w:shd w:val="clear" w:color="auto" w:fill="76923B"/>
          </w:tcPr>
          <w:p w14:paraId="58EDD3ED" w14:textId="77777777" w:rsidR="001511EE" w:rsidRPr="00846D6B" w:rsidRDefault="008D023F">
            <w:pPr>
              <w:pStyle w:val="TableParagraph"/>
              <w:spacing w:before="122"/>
              <w:ind w:left="2371" w:right="2371"/>
              <w:jc w:val="center"/>
              <w:rPr>
                <w:rFonts w:ascii="Arial" w:hAnsi="Arial" w:cs="Arial"/>
                <w:b/>
                <w:sz w:val="24"/>
                <w:szCs w:val="24"/>
              </w:rPr>
            </w:pPr>
            <w:r w:rsidRPr="00846D6B">
              <w:rPr>
                <w:rFonts w:ascii="Arial" w:hAnsi="Arial" w:cs="Arial"/>
                <w:b/>
                <w:color w:val="FFFFFF"/>
                <w:sz w:val="24"/>
                <w:szCs w:val="24"/>
              </w:rPr>
              <w:t>ARTÍCULO (TRANSCRIPCIÓN)</w:t>
            </w:r>
          </w:p>
        </w:tc>
      </w:tr>
      <w:tr w:rsidR="003C22B0" w:rsidRPr="00846D6B" w14:paraId="682EBD59" w14:textId="77777777" w:rsidTr="00F23F75">
        <w:trPr>
          <w:trHeight w:val="640"/>
        </w:trPr>
        <w:tc>
          <w:tcPr>
            <w:tcW w:w="1272" w:type="dxa"/>
            <w:shd w:val="clear" w:color="auto" w:fill="auto"/>
          </w:tcPr>
          <w:p w14:paraId="6D8E7CA8" w14:textId="77777777" w:rsidR="003C22B0" w:rsidRPr="00846D6B" w:rsidRDefault="003C22B0" w:rsidP="003C22B0">
            <w:pPr>
              <w:pStyle w:val="TableParagraph"/>
              <w:spacing w:before="21"/>
              <w:ind w:left="435" w:right="618"/>
              <w:jc w:val="center"/>
              <w:rPr>
                <w:rFonts w:ascii="Arial" w:hAnsi="Arial" w:cs="Arial"/>
                <w:b/>
                <w:sz w:val="24"/>
                <w:szCs w:val="24"/>
              </w:rPr>
            </w:pPr>
            <w:r w:rsidRPr="00846D6B">
              <w:rPr>
                <w:rFonts w:ascii="Arial" w:hAnsi="Arial" w:cs="Arial"/>
                <w:b/>
                <w:sz w:val="24"/>
                <w:szCs w:val="24"/>
              </w:rPr>
              <w:t>1.</w:t>
            </w:r>
          </w:p>
        </w:tc>
        <w:tc>
          <w:tcPr>
            <w:tcW w:w="2405" w:type="dxa"/>
            <w:shd w:val="clear" w:color="auto" w:fill="auto"/>
          </w:tcPr>
          <w:p w14:paraId="0E513929" w14:textId="77777777" w:rsidR="003C22B0" w:rsidRPr="00846D6B" w:rsidRDefault="003C22B0" w:rsidP="00E16D8A">
            <w:pPr>
              <w:pStyle w:val="TableParagraph"/>
              <w:spacing w:before="143"/>
              <w:ind w:left="664" w:right="257"/>
              <w:jc w:val="center"/>
              <w:rPr>
                <w:rFonts w:ascii="Arial" w:hAnsi="Arial" w:cs="Arial"/>
                <w:b/>
                <w:sz w:val="24"/>
                <w:szCs w:val="24"/>
              </w:rPr>
            </w:pPr>
            <w:r w:rsidRPr="00846D6B">
              <w:rPr>
                <w:rFonts w:ascii="Arial" w:hAnsi="Arial" w:cs="Arial"/>
                <w:b/>
                <w:sz w:val="24"/>
                <w:szCs w:val="24"/>
              </w:rPr>
              <w:t>COAHUILA</w:t>
            </w:r>
          </w:p>
        </w:tc>
        <w:tc>
          <w:tcPr>
            <w:tcW w:w="4138" w:type="dxa"/>
            <w:shd w:val="clear" w:color="auto" w:fill="auto"/>
          </w:tcPr>
          <w:p w14:paraId="5D0AA4BF" w14:textId="35D9D0A9" w:rsidR="003C22B0" w:rsidRPr="00846D6B" w:rsidRDefault="00480DEE" w:rsidP="00F23F75">
            <w:pPr>
              <w:pStyle w:val="TableParagraph"/>
              <w:spacing w:before="21"/>
              <w:ind w:left="310" w:right="89" w:hanging="70"/>
              <w:rPr>
                <w:rFonts w:ascii="Arial" w:hAnsi="Arial" w:cs="Arial"/>
                <w:b/>
                <w:sz w:val="24"/>
                <w:szCs w:val="24"/>
              </w:rPr>
            </w:pPr>
            <w:hyperlink r:id="rId7" w:history="1">
              <w:r w:rsidR="000505DF" w:rsidRPr="00846D6B">
                <w:rPr>
                  <w:rStyle w:val="Hipervnculo"/>
                  <w:rFonts w:ascii="Arial" w:hAnsi="Arial" w:cs="Arial"/>
                  <w:sz w:val="24"/>
                  <w:szCs w:val="24"/>
                </w:rPr>
                <w:t>CONSTITUCION POLITICA DEL</w:t>
              </w:r>
              <w:r w:rsidR="00F23F75">
                <w:rPr>
                  <w:rStyle w:val="Hipervnculo"/>
                  <w:rFonts w:ascii="Arial" w:hAnsi="Arial" w:cs="Arial"/>
                  <w:sz w:val="24"/>
                  <w:szCs w:val="24"/>
                </w:rPr>
                <w:t xml:space="preserve"> </w:t>
              </w:r>
              <w:r w:rsidR="000505DF" w:rsidRPr="00846D6B">
                <w:rPr>
                  <w:rStyle w:val="Hipervnculo"/>
                  <w:rFonts w:ascii="Arial" w:hAnsi="Arial" w:cs="Arial"/>
                  <w:sz w:val="24"/>
                  <w:szCs w:val="24"/>
                </w:rPr>
                <w:t>ESTADO DE COAHUILA DE ZARAGOZA</w:t>
              </w:r>
            </w:hyperlink>
          </w:p>
        </w:tc>
        <w:tc>
          <w:tcPr>
            <w:tcW w:w="8931" w:type="dxa"/>
            <w:shd w:val="clear" w:color="auto" w:fill="auto"/>
          </w:tcPr>
          <w:p w14:paraId="5389D3F3" w14:textId="77777777" w:rsidR="000505DF" w:rsidRPr="00846D6B" w:rsidRDefault="000505DF" w:rsidP="000505DF">
            <w:pPr>
              <w:pStyle w:val="TableParagraph"/>
              <w:ind w:left="106"/>
              <w:rPr>
                <w:rFonts w:ascii="Arial" w:hAnsi="Arial" w:cs="Arial"/>
                <w:sz w:val="24"/>
                <w:szCs w:val="24"/>
              </w:rPr>
            </w:pPr>
            <w:r w:rsidRPr="00846D6B">
              <w:rPr>
                <w:rFonts w:ascii="Arial" w:hAnsi="Arial" w:cs="Arial"/>
                <w:sz w:val="24"/>
                <w:szCs w:val="24"/>
              </w:rPr>
              <w:t>Artículo 27. La renovación de los poderes Ejecutivo y Legislativo del Estado, así como de los ayuntamientos, se realizará mediante</w:t>
            </w:r>
          </w:p>
          <w:p w14:paraId="5BCD0B12" w14:textId="77777777" w:rsidR="003C22B0" w:rsidRPr="00846D6B" w:rsidRDefault="000505DF" w:rsidP="000505DF">
            <w:pPr>
              <w:pStyle w:val="TableParagraph"/>
              <w:ind w:left="106"/>
              <w:rPr>
                <w:rFonts w:ascii="Arial" w:hAnsi="Arial" w:cs="Arial"/>
                <w:sz w:val="24"/>
                <w:szCs w:val="24"/>
              </w:rPr>
            </w:pPr>
            <w:r w:rsidRPr="00846D6B">
              <w:rPr>
                <w:rFonts w:ascii="Arial" w:hAnsi="Arial" w:cs="Arial"/>
                <w:sz w:val="24"/>
                <w:szCs w:val="24"/>
              </w:rPr>
              <w:t>elecciones libres, auténticas y periódicas, conforme a las siguientes bases:</w:t>
            </w:r>
            <w:r w:rsidRPr="00846D6B">
              <w:rPr>
                <w:rFonts w:ascii="Arial" w:hAnsi="Arial" w:cs="Arial"/>
                <w:sz w:val="24"/>
                <w:szCs w:val="24"/>
              </w:rPr>
              <w:cr/>
            </w:r>
          </w:p>
          <w:p w14:paraId="6D4064E2" w14:textId="6FC17DBF" w:rsidR="000505DF" w:rsidRPr="00846D6B" w:rsidRDefault="000505DF" w:rsidP="000505DF">
            <w:pPr>
              <w:pStyle w:val="TableParagraph"/>
              <w:ind w:left="106"/>
              <w:rPr>
                <w:rFonts w:ascii="Arial" w:hAnsi="Arial" w:cs="Arial"/>
                <w:sz w:val="24"/>
                <w:szCs w:val="24"/>
              </w:rPr>
            </w:pPr>
            <w:r w:rsidRPr="00846D6B">
              <w:rPr>
                <w:rFonts w:ascii="Arial" w:hAnsi="Arial" w:cs="Arial"/>
                <w:sz w:val="24"/>
                <w:szCs w:val="24"/>
              </w:rPr>
              <w:t>…</w:t>
            </w:r>
          </w:p>
          <w:p w14:paraId="6D020298" w14:textId="77777777" w:rsidR="000505DF" w:rsidRPr="00846D6B" w:rsidRDefault="000505DF" w:rsidP="000505DF">
            <w:pPr>
              <w:pStyle w:val="TableParagraph"/>
              <w:ind w:left="106"/>
              <w:rPr>
                <w:rFonts w:ascii="Arial" w:hAnsi="Arial" w:cs="Arial"/>
                <w:sz w:val="24"/>
                <w:szCs w:val="24"/>
              </w:rPr>
            </w:pPr>
          </w:p>
          <w:p w14:paraId="09C9CB57" w14:textId="66C05980" w:rsidR="000505DF" w:rsidRPr="00846D6B" w:rsidRDefault="000505DF" w:rsidP="000505DF">
            <w:pPr>
              <w:pStyle w:val="TableParagraph"/>
              <w:ind w:left="106"/>
              <w:rPr>
                <w:rFonts w:ascii="Arial" w:hAnsi="Arial" w:cs="Arial"/>
                <w:sz w:val="24"/>
                <w:szCs w:val="24"/>
              </w:rPr>
            </w:pPr>
            <w:r w:rsidRPr="00846D6B">
              <w:rPr>
                <w:rFonts w:ascii="Arial" w:hAnsi="Arial" w:cs="Arial"/>
                <w:sz w:val="24"/>
                <w:szCs w:val="24"/>
              </w:rPr>
              <w:t xml:space="preserve">5. La organización de las elecciones, plebiscitos y referendos, es una función estatal encomendada a un Organismo público Local Electoral denominado Instituto Electoral de Coahuila dotado de personalidad jurídica y patrimonio propios, en cuya integración participan los partidos políticos y los ciudadanos. El Instituto se regirá por las siguientes normas y lo que establezca la ley; </w:t>
            </w:r>
          </w:p>
          <w:p w14:paraId="66033513" w14:textId="77777777" w:rsidR="000505DF" w:rsidRPr="00846D6B" w:rsidRDefault="000505DF" w:rsidP="000505DF">
            <w:pPr>
              <w:pStyle w:val="TableParagraph"/>
              <w:ind w:left="106"/>
              <w:rPr>
                <w:rFonts w:ascii="Arial" w:hAnsi="Arial" w:cs="Arial"/>
                <w:sz w:val="24"/>
                <w:szCs w:val="24"/>
              </w:rPr>
            </w:pPr>
          </w:p>
          <w:p w14:paraId="46EB8651" w14:textId="03A68E17" w:rsidR="000505DF" w:rsidRPr="00846D6B" w:rsidRDefault="000505DF" w:rsidP="000505DF">
            <w:pPr>
              <w:pStyle w:val="TableParagraph"/>
              <w:ind w:left="106"/>
              <w:rPr>
                <w:rFonts w:ascii="Arial" w:hAnsi="Arial" w:cs="Arial"/>
                <w:sz w:val="24"/>
                <w:szCs w:val="24"/>
              </w:rPr>
            </w:pPr>
            <w:r w:rsidRPr="00846D6B">
              <w:rPr>
                <w:rFonts w:ascii="Arial" w:hAnsi="Arial" w:cs="Arial"/>
                <w:sz w:val="24"/>
                <w:szCs w:val="24"/>
              </w:rPr>
              <w:t>…</w:t>
            </w:r>
          </w:p>
          <w:p w14:paraId="27A5B923" w14:textId="2339ED1C" w:rsidR="000505DF" w:rsidRPr="00846D6B" w:rsidRDefault="000505DF" w:rsidP="000505DF">
            <w:pPr>
              <w:pStyle w:val="TableParagraph"/>
              <w:ind w:left="106"/>
              <w:rPr>
                <w:rFonts w:ascii="Arial" w:hAnsi="Arial" w:cs="Arial"/>
                <w:sz w:val="24"/>
                <w:szCs w:val="24"/>
              </w:rPr>
            </w:pPr>
            <w:r w:rsidRPr="00846D6B">
              <w:rPr>
                <w:rFonts w:ascii="Arial" w:hAnsi="Arial" w:cs="Arial"/>
                <w:sz w:val="24"/>
                <w:szCs w:val="24"/>
              </w:rPr>
              <w:t>f) La vigilancia y fiscalización de los recursos de los partidos políticos estará a cargo del Instituto, a través de una unidad técnica cuyo titular será nombrado por el Consejo General, a propuesta de su presidente, por dos terceras partes de los consejeros con derecho a voto. La unidad contará con autonomía de gestión y desarrollará sus actividades conforme a la ley, y</w:t>
            </w:r>
            <w:r w:rsidRPr="00846D6B">
              <w:rPr>
                <w:rFonts w:ascii="Arial" w:hAnsi="Arial" w:cs="Arial"/>
                <w:sz w:val="24"/>
                <w:szCs w:val="24"/>
              </w:rPr>
              <w:cr/>
              <w:t>…</w:t>
            </w:r>
          </w:p>
          <w:p w14:paraId="7C5F1ED5" w14:textId="548C996E" w:rsidR="000505DF" w:rsidRPr="00846D6B" w:rsidRDefault="000505DF" w:rsidP="000505DF">
            <w:pPr>
              <w:pStyle w:val="TableParagraph"/>
              <w:ind w:left="106"/>
              <w:rPr>
                <w:rFonts w:ascii="Arial" w:hAnsi="Arial" w:cs="Arial"/>
                <w:sz w:val="24"/>
                <w:szCs w:val="24"/>
              </w:rPr>
            </w:pPr>
          </w:p>
        </w:tc>
      </w:tr>
    </w:tbl>
    <w:p w14:paraId="0E4A1C77" w14:textId="77777777" w:rsidR="001511EE" w:rsidRDefault="001511EE">
      <w:pPr>
        <w:spacing w:line="221" w:lineRule="exact"/>
        <w:rPr>
          <w:sz w:val="20"/>
        </w:rPr>
        <w:sectPr w:rsidR="001511EE" w:rsidSect="00F23F75">
          <w:headerReference w:type="even" r:id="rId8"/>
          <w:headerReference w:type="default" r:id="rId9"/>
          <w:footerReference w:type="even" r:id="rId10"/>
          <w:footerReference w:type="default" r:id="rId11"/>
          <w:headerReference w:type="first" r:id="rId12"/>
          <w:footerReference w:type="first" r:id="rId13"/>
          <w:type w:val="continuous"/>
          <w:pgSz w:w="20160" w:h="12240" w:orient="landscape"/>
          <w:pgMar w:top="1120" w:right="2440" w:bottom="280" w:left="2460" w:header="1172" w:footer="720" w:gutter="0"/>
          <w:cols w:space="720"/>
        </w:sectPr>
      </w:pPr>
    </w:p>
    <w:p w14:paraId="7D251991" w14:textId="77777777" w:rsidR="001511EE" w:rsidRDefault="001511EE">
      <w:pPr>
        <w:pStyle w:val="Textoindependiente"/>
        <w:spacing w:before="10"/>
        <w:rPr>
          <w:rFonts w:ascii="Times New Roman"/>
          <w:b w:val="0"/>
          <w:i w:val="0"/>
          <w:sz w:val="27"/>
        </w:rPr>
      </w:pPr>
    </w:p>
    <w:tbl>
      <w:tblPr>
        <w:tblStyle w:val="TableNormal"/>
        <w:tblW w:w="16746" w:type="dxa"/>
        <w:tblInd w:w="11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272"/>
        <w:gridCol w:w="2405"/>
        <w:gridCol w:w="3828"/>
        <w:gridCol w:w="9241"/>
      </w:tblGrid>
      <w:tr w:rsidR="001511EE" w14:paraId="50FFFC81" w14:textId="77777777" w:rsidTr="00804530">
        <w:trPr>
          <w:trHeight w:val="484"/>
          <w:tblHeader/>
        </w:trPr>
        <w:tc>
          <w:tcPr>
            <w:tcW w:w="1272" w:type="dxa"/>
            <w:shd w:val="clear" w:color="auto" w:fill="76923B"/>
          </w:tcPr>
          <w:p w14:paraId="1352C47E" w14:textId="77777777" w:rsidR="001511EE" w:rsidRDefault="001511EE">
            <w:pPr>
              <w:pStyle w:val="TableParagraph"/>
              <w:rPr>
                <w:rFonts w:ascii="Times New Roman"/>
                <w:sz w:val="20"/>
              </w:rPr>
            </w:pPr>
          </w:p>
        </w:tc>
        <w:tc>
          <w:tcPr>
            <w:tcW w:w="2405" w:type="dxa"/>
            <w:shd w:val="clear" w:color="auto" w:fill="76923B"/>
          </w:tcPr>
          <w:p w14:paraId="6948D024" w14:textId="77777777" w:rsidR="001511EE" w:rsidRDefault="008D023F">
            <w:pPr>
              <w:pStyle w:val="TableParagraph"/>
              <w:spacing w:before="122"/>
              <w:ind w:left="663" w:right="662"/>
              <w:jc w:val="center"/>
              <w:rPr>
                <w:b/>
                <w:sz w:val="20"/>
              </w:rPr>
            </w:pPr>
            <w:r>
              <w:rPr>
                <w:b/>
                <w:color w:val="FFFFFF"/>
                <w:sz w:val="20"/>
              </w:rPr>
              <w:t>ESTADO</w:t>
            </w:r>
          </w:p>
        </w:tc>
        <w:tc>
          <w:tcPr>
            <w:tcW w:w="3828" w:type="dxa"/>
            <w:shd w:val="clear" w:color="auto" w:fill="76923B"/>
          </w:tcPr>
          <w:p w14:paraId="2965E207" w14:textId="77777777" w:rsidR="001511EE" w:rsidRDefault="008D023F">
            <w:pPr>
              <w:pStyle w:val="TableParagraph"/>
              <w:spacing w:before="122"/>
              <w:ind w:left="1732" w:right="1730"/>
              <w:jc w:val="center"/>
              <w:rPr>
                <w:b/>
                <w:sz w:val="20"/>
              </w:rPr>
            </w:pPr>
            <w:r>
              <w:rPr>
                <w:b/>
                <w:color w:val="FFFFFF"/>
                <w:sz w:val="20"/>
              </w:rPr>
              <w:t>LEY</w:t>
            </w:r>
          </w:p>
        </w:tc>
        <w:tc>
          <w:tcPr>
            <w:tcW w:w="9241" w:type="dxa"/>
            <w:shd w:val="clear" w:color="auto" w:fill="76923B"/>
          </w:tcPr>
          <w:p w14:paraId="449CDE11" w14:textId="77777777" w:rsidR="001511EE" w:rsidRDefault="008D023F">
            <w:pPr>
              <w:pStyle w:val="TableParagraph"/>
              <w:spacing w:before="122"/>
              <w:ind w:left="2371" w:right="2371"/>
              <w:jc w:val="center"/>
              <w:rPr>
                <w:b/>
                <w:sz w:val="20"/>
              </w:rPr>
            </w:pPr>
            <w:r>
              <w:rPr>
                <w:b/>
                <w:color w:val="FFFFFF"/>
                <w:sz w:val="20"/>
              </w:rPr>
              <w:t>ARTÍCULO (TRANSCRIPCIÓN)</w:t>
            </w:r>
          </w:p>
        </w:tc>
      </w:tr>
      <w:tr w:rsidR="002953DC" w14:paraId="07495261" w14:textId="77777777" w:rsidTr="00AC4A3E">
        <w:trPr>
          <w:trHeight w:val="3034"/>
        </w:trPr>
        <w:tc>
          <w:tcPr>
            <w:tcW w:w="1272" w:type="dxa"/>
            <w:vMerge w:val="restart"/>
            <w:tcBorders>
              <w:bottom w:val="single" w:sz="4" w:space="0" w:color="BEBEBE"/>
            </w:tcBorders>
          </w:tcPr>
          <w:p w14:paraId="6B848904" w14:textId="77777777" w:rsidR="002953DC" w:rsidRDefault="002953DC">
            <w:pPr>
              <w:pStyle w:val="TableParagraph"/>
              <w:rPr>
                <w:rFonts w:ascii="Times New Roman"/>
                <w:sz w:val="24"/>
              </w:rPr>
            </w:pPr>
          </w:p>
          <w:p w14:paraId="5689428E" w14:textId="77777777" w:rsidR="002953DC" w:rsidRDefault="002953DC">
            <w:pPr>
              <w:pStyle w:val="TableParagraph"/>
              <w:rPr>
                <w:rFonts w:ascii="Times New Roman"/>
                <w:sz w:val="24"/>
              </w:rPr>
            </w:pPr>
          </w:p>
          <w:p w14:paraId="6ACB3533" w14:textId="77777777" w:rsidR="002953DC" w:rsidRDefault="002953DC">
            <w:pPr>
              <w:pStyle w:val="TableParagraph"/>
              <w:rPr>
                <w:rFonts w:ascii="Times New Roman"/>
                <w:sz w:val="30"/>
              </w:rPr>
            </w:pPr>
          </w:p>
          <w:p w14:paraId="066269E7" w14:textId="6B86F90E" w:rsidR="002953DC" w:rsidRDefault="002953DC" w:rsidP="003A7809">
            <w:pPr>
              <w:pStyle w:val="TableParagraph"/>
              <w:ind w:left="435" w:right="618"/>
              <w:jc w:val="center"/>
              <w:rPr>
                <w:rFonts w:ascii="Times New Roman"/>
                <w:sz w:val="20"/>
              </w:rPr>
            </w:pPr>
            <w:r>
              <w:rPr>
                <w:b/>
                <w:sz w:val="20"/>
              </w:rPr>
              <w:t>2.</w:t>
            </w:r>
          </w:p>
        </w:tc>
        <w:tc>
          <w:tcPr>
            <w:tcW w:w="2405" w:type="dxa"/>
            <w:vMerge w:val="restart"/>
            <w:tcBorders>
              <w:bottom w:val="single" w:sz="4" w:space="0" w:color="BEBEBE"/>
            </w:tcBorders>
          </w:tcPr>
          <w:p w14:paraId="50E17B82" w14:textId="77777777" w:rsidR="002953DC" w:rsidRDefault="002953DC">
            <w:pPr>
              <w:pStyle w:val="TableParagraph"/>
              <w:rPr>
                <w:rFonts w:ascii="Times New Roman"/>
                <w:sz w:val="24"/>
              </w:rPr>
            </w:pPr>
          </w:p>
          <w:p w14:paraId="754C14C6" w14:textId="77777777" w:rsidR="002953DC" w:rsidRDefault="002953DC">
            <w:pPr>
              <w:pStyle w:val="TableParagraph"/>
              <w:rPr>
                <w:rFonts w:ascii="Times New Roman"/>
                <w:sz w:val="24"/>
              </w:rPr>
            </w:pPr>
          </w:p>
          <w:p w14:paraId="02C5D503" w14:textId="77777777" w:rsidR="002953DC" w:rsidRDefault="002953DC">
            <w:pPr>
              <w:pStyle w:val="TableParagraph"/>
              <w:rPr>
                <w:rFonts w:ascii="Times New Roman"/>
                <w:sz w:val="30"/>
              </w:rPr>
            </w:pPr>
          </w:p>
          <w:p w14:paraId="08857BDE" w14:textId="7A8988E9" w:rsidR="002953DC" w:rsidRDefault="002953DC" w:rsidP="007D7CDE">
            <w:pPr>
              <w:pStyle w:val="TableParagraph"/>
              <w:ind w:left="664" w:right="399"/>
              <w:jc w:val="center"/>
              <w:rPr>
                <w:rFonts w:ascii="Times New Roman"/>
                <w:sz w:val="20"/>
              </w:rPr>
            </w:pPr>
            <w:r w:rsidRPr="007D7CDE">
              <w:rPr>
                <w:rFonts w:ascii="Arial" w:hAnsi="Arial" w:cs="Arial"/>
                <w:b/>
                <w:sz w:val="24"/>
                <w:szCs w:val="24"/>
              </w:rPr>
              <w:t>COAHUILA</w:t>
            </w:r>
          </w:p>
        </w:tc>
        <w:tc>
          <w:tcPr>
            <w:tcW w:w="3828" w:type="dxa"/>
            <w:tcBorders>
              <w:bottom w:val="nil"/>
            </w:tcBorders>
          </w:tcPr>
          <w:p w14:paraId="3E6124AA" w14:textId="77777777" w:rsidR="002953DC" w:rsidRDefault="00480DEE">
            <w:pPr>
              <w:pStyle w:val="TableParagraph"/>
              <w:rPr>
                <w:rFonts w:ascii="Times New Roman"/>
                <w:sz w:val="28"/>
              </w:rPr>
            </w:pPr>
            <w:hyperlink r:id="rId14" w:history="1">
              <w:r w:rsidR="002953DC" w:rsidRPr="00751B59">
                <w:rPr>
                  <w:rStyle w:val="Hipervnculo"/>
                  <w:rFonts w:ascii="Times New Roman"/>
                  <w:sz w:val="28"/>
                </w:rPr>
                <w:t>C</w:t>
              </w:r>
              <w:r w:rsidR="002953DC" w:rsidRPr="00751B59">
                <w:rPr>
                  <w:rStyle w:val="Hipervnculo"/>
                  <w:rFonts w:ascii="Times New Roman"/>
                  <w:sz w:val="28"/>
                </w:rPr>
                <w:t>Ó</w:t>
              </w:r>
              <w:r w:rsidR="002953DC" w:rsidRPr="00751B59">
                <w:rPr>
                  <w:rStyle w:val="Hipervnculo"/>
                  <w:rFonts w:ascii="Times New Roman"/>
                  <w:sz w:val="28"/>
                </w:rPr>
                <w:t>DIGO ELECTORAL DEL ESTADO DE COAHUILA DE ZARAGOZA</w:t>
              </w:r>
            </w:hyperlink>
          </w:p>
          <w:p w14:paraId="2FC8735D" w14:textId="77777777" w:rsidR="002953DC" w:rsidRDefault="002953DC">
            <w:pPr>
              <w:pStyle w:val="TableParagraph"/>
              <w:rPr>
                <w:rFonts w:ascii="Times New Roman"/>
                <w:sz w:val="28"/>
              </w:rPr>
            </w:pPr>
          </w:p>
          <w:p w14:paraId="03EDA8ED" w14:textId="77777777" w:rsidR="002953DC" w:rsidRDefault="002953DC" w:rsidP="00CC52CB">
            <w:pPr>
              <w:pStyle w:val="TableParagraph"/>
              <w:spacing w:before="221"/>
              <w:ind w:left="609" w:right="89" w:hanging="500"/>
              <w:rPr>
                <w:rFonts w:ascii="Times New Roman"/>
                <w:sz w:val="20"/>
              </w:rPr>
            </w:pPr>
          </w:p>
        </w:tc>
        <w:tc>
          <w:tcPr>
            <w:tcW w:w="9241" w:type="dxa"/>
            <w:vMerge w:val="restart"/>
            <w:tcBorders>
              <w:bottom w:val="single" w:sz="4" w:space="0" w:color="BEBEBE"/>
            </w:tcBorders>
          </w:tcPr>
          <w:p w14:paraId="751F6362" w14:textId="77777777" w:rsidR="002953DC" w:rsidRPr="003C22B0" w:rsidRDefault="002953DC" w:rsidP="003C22B0">
            <w:pPr>
              <w:pStyle w:val="TableParagraph"/>
              <w:spacing w:before="122"/>
              <w:ind w:left="106"/>
              <w:rPr>
                <w:b/>
                <w:sz w:val="20"/>
              </w:rPr>
            </w:pPr>
            <w:r w:rsidRPr="003C22B0">
              <w:rPr>
                <w:b/>
                <w:sz w:val="20"/>
              </w:rPr>
              <w:t>Artículo 2.</w:t>
            </w:r>
          </w:p>
          <w:p w14:paraId="66844F31" w14:textId="77777777" w:rsidR="002953DC" w:rsidRDefault="002953DC" w:rsidP="003C22B0">
            <w:pPr>
              <w:pStyle w:val="TableParagraph"/>
              <w:spacing w:before="122"/>
              <w:ind w:left="106"/>
              <w:rPr>
                <w:b/>
                <w:sz w:val="20"/>
              </w:rPr>
            </w:pPr>
            <w:r w:rsidRPr="003C22B0">
              <w:rPr>
                <w:b/>
                <w:sz w:val="20"/>
              </w:rPr>
              <w:t xml:space="preserve"> 1. Para los efectos de este Código se entenderá por:</w:t>
            </w:r>
          </w:p>
          <w:p w14:paraId="7CDF017C" w14:textId="77777777" w:rsidR="002953DC" w:rsidRDefault="002953DC" w:rsidP="003C22B0">
            <w:pPr>
              <w:pStyle w:val="TableParagraph"/>
              <w:spacing w:before="59"/>
              <w:ind w:left="106"/>
              <w:rPr>
                <w:sz w:val="20"/>
              </w:rPr>
            </w:pPr>
            <w:r>
              <w:rPr>
                <w:sz w:val="20"/>
              </w:rPr>
              <w:t>…</w:t>
            </w:r>
          </w:p>
          <w:p w14:paraId="1710F73E" w14:textId="77777777" w:rsidR="002953DC" w:rsidRDefault="002953DC" w:rsidP="003C22B0">
            <w:pPr>
              <w:pStyle w:val="TableParagraph"/>
              <w:spacing w:before="59"/>
              <w:ind w:left="106"/>
              <w:rPr>
                <w:b/>
                <w:sz w:val="20"/>
              </w:rPr>
            </w:pPr>
            <w:r w:rsidRPr="003C22B0">
              <w:rPr>
                <w:sz w:val="20"/>
              </w:rPr>
              <w:t>s) Unidad de Fiscalización: La Unidad de Fiscalización de los Recursos de los partidos Políticos del Instituto.</w:t>
            </w:r>
          </w:p>
          <w:p w14:paraId="00E9D673" w14:textId="77777777" w:rsidR="002953DC" w:rsidRDefault="002953DC">
            <w:pPr>
              <w:pStyle w:val="TableParagraph"/>
              <w:spacing w:before="59"/>
              <w:ind w:left="106" w:right="99"/>
              <w:jc w:val="both"/>
              <w:rPr>
                <w:sz w:val="20"/>
              </w:rPr>
            </w:pPr>
            <w:r>
              <w:rPr>
                <w:sz w:val="20"/>
              </w:rPr>
              <w:t>…</w:t>
            </w:r>
          </w:p>
          <w:p w14:paraId="25D4B3D9" w14:textId="77777777" w:rsidR="002953DC" w:rsidRPr="003C22B0" w:rsidRDefault="002953DC" w:rsidP="003C22B0">
            <w:pPr>
              <w:pStyle w:val="TableParagraph"/>
              <w:spacing w:before="59"/>
              <w:ind w:left="106" w:right="99"/>
              <w:jc w:val="both"/>
              <w:rPr>
                <w:sz w:val="20"/>
              </w:rPr>
            </w:pPr>
          </w:p>
          <w:p w14:paraId="6C045CE7" w14:textId="77777777" w:rsidR="002953DC" w:rsidRPr="003C22B0" w:rsidRDefault="002953DC" w:rsidP="003C22B0">
            <w:pPr>
              <w:pStyle w:val="TableParagraph"/>
              <w:spacing w:before="59"/>
              <w:ind w:left="106" w:right="99"/>
              <w:jc w:val="both"/>
              <w:rPr>
                <w:sz w:val="20"/>
              </w:rPr>
            </w:pPr>
            <w:r w:rsidRPr="003C22B0">
              <w:rPr>
                <w:sz w:val="20"/>
              </w:rPr>
              <w:t>Artículo 57.</w:t>
            </w:r>
          </w:p>
          <w:p w14:paraId="7E6D03C9" w14:textId="77777777" w:rsidR="002953DC" w:rsidRPr="003C22B0" w:rsidRDefault="002953DC" w:rsidP="003C22B0">
            <w:pPr>
              <w:pStyle w:val="TableParagraph"/>
              <w:spacing w:before="59"/>
              <w:ind w:left="106" w:right="99"/>
              <w:jc w:val="both"/>
              <w:rPr>
                <w:sz w:val="20"/>
              </w:rPr>
            </w:pPr>
            <w:r w:rsidRPr="003C22B0">
              <w:rPr>
                <w:sz w:val="20"/>
              </w:rPr>
              <w:t xml:space="preserve"> </w:t>
            </w:r>
          </w:p>
          <w:p w14:paraId="373733FA" w14:textId="77777777" w:rsidR="002953DC" w:rsidRDefault="002953DC" w:rsidP="003C22B0">
            <w:pPr>
              <w:pStyle w:val="TableParagraph"/>
              <w:spacing w:before="59"/>
              <w:ind w:left="106" w:right="99"/>
              <w:jc w:val="both"/>
              <w:rPr>
                <w:sz w:val="20"/>
              </w:rPr>
            </w:pPr>
            <w:r w:rsidRPr="003C22B0">
              <w:rPr>
                <w:sz w:val="20"/>
              </w:rPr>
              <w:t>1. El financiamiento de los partidos políticos tendrá las siguientes modalidades:</w:t>
            </w:r>
          </w:p>
          <w:p w14:paraId="5BD1BE55" w14:textId="77777777" w:rsidR="002953DC" w:rsidRDefault="002953DC" w:rsidP="003C22B0">
            <w:pPr>
              <w:pStyle w:val="TableParagraph"/>
              <w:spacing w:before="59"/>
              <w:ind w:left="106" w:right="99"/>
              <w:jc w:val="both"/>
              <w:rPr>
                <w:sz w:val="20"/>
              </w:rPr>
            </w:pPr>
            <w:r>
              <w:rPr>
                <w:sz w:val="20"/>
              </w:rPr>
              <w:t>…</w:t>
            </w:r>
          </w:p>
          <w:p w14:paraId="187FABC8" w14:textId="77777777" w:rsidR="002953DC" w:rsidRDefault="002953DC" w:rsidP="003C22B0">
            <w:pPr>
              <w:pStyle w:val="TableParagraph"/>
              <w:spacing w:before="59"/>
              <w:ind w:left="106" w:right="99"/>
              <w:jc w:val="both"/>
              <w:rPr>
                <w:sz w:val="20"/>
              </w:rPr>
            </w:pPr>
            <w:r w:rsidRPr="003C22B0">
              <w:rPr>
                <w:sz w:val="20"/>
              </w:rPr>
              <w:t>4. La revisión de los informes que los partidos políticos presenten sobre el origen y destino de sus recursos ordinarios y de campaña, según corresponda, así como la práctica de auditorías sobre el manejo de sus recursos y su situación contable y financiera estará a cargo de la Unidad de Fiscalización.</w:t>
            </w:r>
          </w:p>
          <w:p w14:paraId="74EDD685" w14:textId="77777777" w:rsidR="002953DC" w:rsidRDefault="002953DC" w:rsidP="003C22B0">
            <w:pPr>
              <w:pStyle w:val="TableParagraph"/>
              <w:spacing w:before="59"/>
              <w:ind w:left="106" w:right="99"/>
              <w:jc w:val="both"/>
              <w:rPr>
                <w:sz w:val="20"/>
              </w:rPr>
            </w:pPr>
            <w:r>
              <w:rPr>
                <w:sz w:val="20"/>
              </w:rPr>
              <w:t>…</w:t>
            </w:r>
          </w:p>
          <w:p w14:paraId="634B955D" w14:textId="77777777" w:rsidR="002953DC" w:rsidRPr="003C22B0" w:rsidRDefault="002953DC" w:rsidP="003C22B0">
            <w:pPr>
              <w:pStyle w:val="TableParagraph"/>
              <w:spacing w:before="59"/>
              <w:ind w:left="106" w:right="99"/>
              <w:jc w:val="both"/>
              <w:rPr>
                <w:sz w:val="20"/>
              </w:rPr>
            </w:pPr>
          </w:p>
          <w:p w14:paraId="65AE0419" w14:textId="77777777" w:rsidR="002953DC" w:rsidRPr="003C22B0" w:rsidRDefault="002953DC" w:rsidP="003C22B0">
            <w:pPr>
              <w:pStyle w:val="TableParagraph"/>
              <w:spacing w:before="59"/>
              <w:ind w:left="106" w:right="99"/>
              <w:jc w:val="both"/>
              <w:rPr>
                <w:sz w:val="20"/>
              </w:rPr>
            </w:pPr>
            <w:r w:rsidRPr="003C22B0">
              <w:rPr>
                <w:sz w:val="20"/>
              </w:rPr>
              <w:t>Artículo 64.</w:t>
            </w:r>
          </w:p>
          <w:p w14:paraId="5FE021D3" w14:textId="77777777" w:rsidR="002953DC" w:rsidRPr="003C22B0" w:rsidRDefault="002953DC" w:rsidP="003C22B0">
            <w:pPr>
              <w:pStyle w:val="TableParagraph"/>
              <w:spacing w:before="59"/>
              <w:ind w:left="106" w:right="99"/>
              <w:jc w:val="both"/>
              <w:rPr>
                <w:sz w:val="20"/>
              </w:rPr>
            </w:pPr>
            <w:r w:rsidRPr="003C22B0">
              <w:rPr>
                <w:sz w:val="20"/>
              </w:rPr>
              <w:t xml:space="preserve"> </w:t>
            </w:r>
          </w:p>
          <w:p w14:paraId="347E8753" w14:textId="77777777" w:rsidR="002953DC" w:rsidRPr="003C22B0" w:rsidRDefault="002953DC" w:rsidP="003C22B0">
            <w:pPr>
              <w:pStyle w:val="TableParagraph"/>
              <w:spacing w:before="59"/>
              <w:ind w:left="106" w:right="99"/>
              <w:jc w:val="both"/>
              <w:rPr>
                <w:sz w:val="20"/>
              </w:rPr>
            </w:pPr>
            <w:r w:rsidRPr="003C22B0">
              <w:rPr>
                <w:sz w:val="20"/>
              </w:rPr>
              <w:t>1. Los partidos políticos o coaliciones locales deberán presentar ante la Unidad Técnica de Fiscalización del Instituto Nacional, los informes del origen y monto de los ingresos que reciban por cualquier modalidad de financiamiento, así como su aplicación y empleo, en términos de la Ley de Partidos.</w:t>
            </w:r>
          </w:p>
          <w:p w14:paraId="751A55AA" w14:textId="77777777" w:rsidR="002953DC" w:rsidRPr="003C22B0" w:rsidRDefault="002953DC" w:rsidP="003C22B0">
            <w:pPr>
              <w:pStyle w:val="TableParagraph"/>
              <w:spacing w:before="59"/>
              <w:ind w:left="106" w:right="99"/>
              <w:jc w:val="both"/>
              <w:rPr>
                <w:sz w:val="20"/>
              </w:rPr>
            </w:pPr>
          </w:p>
          <w:p w14:paraId="0E5544C9" w14:textId="77777777" w:rsidR="002953DC" w:rsidRDefault="002953DC" w:rsidP="003C22B0">
            <w:pPr>
              <w:pStyle w:val="TableParagraph"/>
              <w:spacing w:before="59"/>
              <w:ind w:left="106" w:right="99"/>
              <w:jc w:val="both"/>
              <w:rPr>
                <w:sz w:val="20"/>
              </w:rPr>
            </w:pPr>
            <w:r w:rsidRPr="003C22B0">
              <w:rPr>
                <w:sz w:val="20"/>
              </w:rPr>
              <w:t>2. En caso de que el Instituto Nacional Electoral delegue las funciones de fiscalización al Instituto, los partidos políticos o coaliciones deberán presentar los informes, a que se refiere el párrafo anterior, ante la Unidad Técnica de Fiscalización de la Comisión de Fiscalización del Instituto.</w:t>
            </w:r>
          </w:p>
          <w:p w14:paraId="783C8764" w14:textId="77777777" w:rsidR="002953DC" w:rsidRDefault="002953DC" w:rsidP="003C22B0">
            <w:pPr>
              <w:pStyle w:val="TableParagraph"/>
              <w:spacing w:before="59"/>
              <w:ind w:left="106" w:right="99"/>
              <w:jc w:val="both"/>
              <w:rPr>
                <w:sz w:val="20"/>
              </w:rPr>
            </w:pPr>
            <w:r>
              <w:rPr>
                <w:sz w:val="20"/>
              </w:rPr>
              <w:t>…</w:t>
            </w:r>
          </w:p>
          <w:p w14:paraId="45230642" w14:textId="77777777" w:rsidR="002953DC" w:rsidRDefault="002953DC" w:rsidP="003C22B0">
            <w:pPr>
              <w:pStyle w:val="TableParagraph"/>
              <w:spacing w:before="59"/>
              <w:ind w:left="106" w:right="99"/>
              <w:jc w:val="both"/>
              <w:rPr>
                <w:sz w:val="20"/>
              </w:rPr>
            </w:pPr>
          </w:p>
          <w:p w14:paraId="6BB3E06D" w14:textId="77777777" w:rsidR="002953DC" w:rsidRPr="003C22B0" w:rsidRDefault="002953DC" w:rsidP="003C22B0">
            <w:pPr>
              <w:pStyle w:val="TableParagraph"/>
              <w:spacing w:before="59"/>
              <w:ind w:left="106" w:right="99"/>
              <w:jc w:val="both"/>
              <w:rPr>
                <w:sz w:val="20"/>
              </w:rPr>
            </w:pPr>
          </w:p>
          <w:p w14:paraId="6EB59641" w14:textId="77777777" w:rsidR="002953DC" w:rsidRPr="003C22B0" w:rsidRDefault="002953DC" w:rsidP="003C22B0">
            <w:pPr>
              <w:pStyle w:val="TableParagraph"/>
              <w:spacing w:before="59"/>
              <w:ind w:left="106" w:right="99"/>
              <w:jc w:val="both"/>
              <w:rPr>
                <w:sz w:val="20"/>
              </w:rPr>
            </w:pPr>
            <w:r w:rsidRPr="003C22B0">
              <w:rPr>
                <w:sz w:val="20"/>
              </w:rPr>
              <w:lastRenderedPageBreak/>
              <w:t>DE LA FISCALIZACIÓN DE LOS PARTIDOS POLÍTICOS</w:t>
            </w:r>
          </w:p>
          <w:p w14:paraId="475221BE" w14:textId="77777777" w:rsidR="002953DC" w:rsidRPr="003C22B0" w:rsidRDefault="002953DC" w:rsidP="003C22B0">
            <w:pPr>
              <w:pStyle w:val="TableParagraph"/>
              <w:spacing w:before="59"/>
              <w:ind w:left="106" w:right="99"/>
              <w:jc w:val="both"/>
              <w:rPr>
                <w:sz w:val="20"/>
              </w:rPr>
            </w:pPr>
          </w:p>
          <w:p w14:paraId="34E53FAE" w14:textId="77777777" w:rsidR="002953DC" w:rsidRPr="003C22B0" w:rsidRDefault="002953DC" w:rsidP="003C22B0">
            <w:pPr>
              <w:pStyle w:val="TableParagraph"/>
              <w:spacing w:before="59"/>
              <w:ind w:left="106" w:right="99"/>
              <w:jc w:val="both"/>
              <w:rPr>
                <w:sz w:val="20"/>
              </w:rPr>
            </w:pPr>
            <w:r w:rsidRPr="003C22B0">
              <w:rPr>
                <w:sz w:val="20"/>
              </w:rPr>
              <w:t>Artículo 65.</w:t>
            </w:r>
          </w:p>
          <w:p w14:paraId="59C8BEE4" w14:textId="77777777" w:rsidR="002953DC" w:rsidRPr="003C22B0" w:rsidRDefault="002953DC" w:rsidP="003C22B0">
            <w:pPr>
              <w:pStyle w:val="TableParagraph"/>
              <w:spacing w:before="59"/>
              <w:ind w:left="106" w:right="99"/>
              <w:jc w:val="both"/>
              <w:rPr>
                <w:sz w:val="20"/>
              </w:rPr>
            </w:pPr>
            <w:r w:rsidRPr="003C22B0">
              <w:rPr>
                <w:sz w:val="20"/>
              </w:rPr>
              <w:t xml:space="preserve"> </w:t>
            </w:r>
          </w:p>
          <w:p w14:paraId="05501204" w14:textId="77777777" w:rsidR="002953DC" w:rsidRPr="003C22B0" w:rsidRDefault="002953DC" w:rsidP="003C22B0">
            <w:pPr>
              <w:pStyle w:val="TableParagraph"/>
              <w:spacing w:before="59"/>
              <w:ind w:left="106" w:right="99"/>
              <w:jc w:val="both"/>
              <w:rPr>
                <w:sz w:val="20"/>
              </w:rPr>
            </w:pPr>
            <w:r w:rsidRPr="003C22B0">
              <w:rPr>
                <w:sz w:val="20"/>
              </w:rPr>
              <w:t>1. La fiscalización del financiamiento público y privado de los partidos políticos estatales y nacionales se sujetará a lo dispuesto en la Ley General y la Ley de Partidos. En caso de que dicha atribución sea delegada al Instituto se estará a lo dispuesto en las leyes generales aplicables y en los lineamientos que para tal efecto emita el Consejo General del Instituto Nacional.</w:t>
            </w:r>
          </w:p>
          <w:p w14:paraId="6BCFC71E" w14:textId="77777777" w:rsidR="002953DC" w:rsidRPr="003C22B0" w:rsidRDefault="002953DC" w:rsidP="003C22B0">
            <w:pPr>
              <w:pStyle w:val="TableParagraph"/>
              <w:spacing w:before="59"/>
              <w:ind w:left="106" w:right="99"/>
              <w:jc w:val="both"/>
              <w:rPr>
                <w:sz w:val="20"/>
              </w:rPr>
            </w:pPr>
          </w:p>
          <w:p w14:paraId="1D16B56C" w14:textId="77777777" w:rsidR="002953DC" w:rsidRPr="003C22B0" w:rsidRDefault="002953DC" w:rsidP="003C22B0">
            <w:pPr>
              <w:pStyle w:val="TableParagraph"/>
              <w:spacing w:before="59"/>
              <w:ind w:left="106" w:right="99"/>
              <w:jc w:val="both"/>
              <w:rPr>
                <w:sz w:val="20"/>
              </w:rPr>
            </w:pPr>
            <w:r w:rsidRPr="003C22B0">
              <w:rPr>
                <w:sz w:val="20"/>
              </w:rPr>
              <w:t>2. Cuando el Instituto Nacional delegue en el Instituto la fiscalización de los ingresos y egresos de los partidos políticos, coaliciones, aspirantes, precandidatos y candidatos a cargos de elección popular, el Instituto creará una Comisión de Fiscalización integrada por tres Consejeros Electorales, la cual, trabajará coordinadamente con la Unidad Técnica de Fiscalización en la materia.</w:t>
            </w:r>
          </w:p>
          <w:p w14:paraId="0B3ABCE4" w14:textId="77777777" w:rsidR="002953DC" w:rsidRPr="003C22B0" w:rsidRDefault="002953DC" w:rsidP="003C22B0">
            <w:pPr>
              <w:pStyle w:val="TableParagraph"/>
              <w:spacing w:before="59"/>
              <w:ind w:left="106" w:right="99"/>
              <w:jc w:val="both"/>
              <w:rPr>
                <w:sz w:val="20"/>
              </w:rPr>
            </w:pPr>
          </w:p>
          <w:p w14:paraId="676D2355" w14:textId="77777777" w:rsidR="002953DC" w:rsidRDefault="002953DC" w:rsidP="003C22B0">
            <w:pPr>
              <w:pStyle w:val="TableParagraph"/>
              <w:spacing w:before="59"/>
              <w:ind w:left="106" w:right="99"/>
              <w:jc w:val="both"/>
              <w:rPr>
                <w:sz w:val="20"/>
              </w:rPr>
            </w:pPr>
            <w:r w:rsidRPr="003C22B0">
              <w:rPr>
                <w:sz w:val="20"/>
              </w:rPr>
              <w:t>3. En el caso previsto en el párrafo anterior, la Unidad de Fiscalización del Instituto funcionará conforme a los reglamentos y acuerdos que al efecto expida el Instituto Nacional, así como lo establecido en este Código.</w:t>
            </w:r>
          </w:p>
          <w:p w14:paraId="60F17009" w14:textId="77777777" w:rsidR="002953DC" w:rsidRDefault="002953DC" w:rsidP="003C22B0">
            <w:pPr>
              <w:pStyle w:val="TableParagraph"/>
              <w:spacing w:before="59"/>
              <w:ind w:left="106" w:right="99"/>
              <w:jc w:val="both"/>
              <w:rPr>
                <w:sz w:val="20"/>
              </w:rPr>
            </w:pPr>
            <w:r>
              <w:rPr>
                <w:sz w:val="20"/>
              </w:rPr>
              <w:t>…</w:t>
            </w:r>
          </w:p>
          <w:p w14:paraId="2963E249" w14:textId="77777777" w:rsidR="002953DC" w:rsidRPr="003C22B0" w:rsidRDefault="002953DC" w:rsidP="003C22B0">
            <w:pPr>
              <w:pStyle w:val="TableParagraph"/>
              <w:spacing w:before="138"/>
              <w:ind w:left="106"/>
              <w:rPr>
                <w:b/>
                <w:sz w:val="20"/>
              </w:rPr>
            </w:pPr>
          </w:p>
          <w:p w14:paraId="77ECDC43" w14:textId="77777777" w:rsidR="002953DC" w:rsidRPr="003C22B0" w:rsidRDefault="002953DC" w:rsidP="003C22B0">
            <w:pPr>
              <w:pStyle w:val="TableParagraph"/>
              <w:spacing w:before="138"/>
              <w:ind w:left="106"/>
              <w:rPr>
                <w:bCs/>
                <w:sz w:val="20"/>
              </w:rPr>
            </w:pPr>
            <w:r w:rsidRPr="003C22B0">
              <w:rPr>
                <w:bCs/>
                <w:sz w:val="20"/>
              </w:rPr>
              <w:t>Artículo 81.</w:t>
            </w:r>
          </w:p>
          <w:p w14:paraId="54CAFD0F" w14:textId="77777777" w:rsidR="002953DC" w:rsidRPr="003C22B0" w:rsidRDefault="002953DC" w:rsidP="003C22B0">
            <w:pPr>
              <w:pStyle w:val="TableParagraph"/>
              <w:spacing w:before="138"/>
              <w:ind w:left="106"/>
              <w:rPr>
                <w:bCs/>
                <w:sz w:val="20"/>
              </w:rPr>
            </w:pPr>
            <w:r w:rsidRPr="003C22B0">
              <w:rPr>
                <w:bCs/>
                <w:sz w:val="20"/>
              </w:rPr>
              <w:t xml:space="preserve"> </w:t>
            </w:r>
          </w:p>
          <w:p w14:paraId="0A5B1912" w14:textId="77777777" w:rsidR="002953DC" w:rsidRPr="003C22B0" w:rsidRDefault="002953DC" w:rsidP="003C22B0">
            <w:pPr>
              <w:pStyle w:val="TableParagraph"/>
              <w:spacing w:before="138"/>
              <w:ind w:left="106"/>
              <w:rPr>
                <w:bCs/>
                <w:sz w:val="20"/>
              </w:rPr>
            </w:pPr>
            <w:r w:rsidRPr="003C22B0">
              <w:rPr>
                <w:bCs/>
                <w:sz w:val="20"/>
              </w:rPr>
              <w:t>1. Al partido político que pierda su registro le será cancelado el mismo y perderá todos los derechos y prerrogativas que establece este Código o las leyes locales respectivas, según corresponda.</w:t>
            </w:r>
          </w:p>
          <w:p w14:paraId="63DD7B3D" w14:textId="77777777" w:rsidR="002953DC" w:rsidRPr="003C22B0" w:rsidRDefault="002953DC" w:rsidP="003C22B0">
            <w:pPr>
              <w:pStyle w:val="TableParagraph"/>
              <w:spacing w:before="138"/>
              <w:ind w:left="106"/>
              <w:rPr>
                <w:bCs/>
                <w:sz w:val="20"/>
              </w:rPr>
            </w:pPr>
          </w:p>
          <w:p w14:paraId="4F764531" w14:textId="42CDB9BD" w:rsidR="002953DC" w:rsidRDefault="002953DC" w:rsidP="003C22B0">
            <w:pPr>
              <w:pStyle w:val="TableParagraph"/>
              <w:spacing w:before="138"/>
              <w:ind w:left="106"/>
              <w:rPr>
                <w:b/>
                <w:sz w:val="20"/>
              </w:rPr>
            </w:pPr>
            <w:r w:rsidRPr="003C22B0">
              <w:rPr>
                <w:bCs/>
                <w:sz w:val="20"/>
              </w:rPr>
              <w:t>2. La cancelación o pérdida del registro extinguirá la personalidad jurídica del partido político, pero quienes hayan sido sus dirigentes y candidatos deberán cumplir las obligaciones que en materia de fiscalización establece este Código, hasta la conclusión de los procedimientos respectivos y de liquidación de su patrimonio.</w:t>
            </w:r>
          </w:p>
        </w:tc>
      </w:tr>
      <w:tr w:rsidR="002953DC" w14:paraId="6B97B06F" w14:textId="77777777" w:rsidTr="006C1B48">
        <w:trPr>
          <w:trHeight w:val="525"/>
        </w:trPr>
        <w:tc>
          <w:tcPr>
            <w:tcW w:w="1272" w:type="dxa"/>
            <w:vMerge/>
            <w:tcBorders>
              <w:bottom w:val="nil"/>
            </w:tcBorders>
          </w:tcPr>
          <w:p w14:paraId="2D35F083" w14:textId="77777777" w:rsidR="002953DC" w:rsidRDefault="002953DC">
            <w:pPr>
              <w:pStyle w:val="TableParagraph"/>
              <w:rPr>
                <w:rFonts w:ascii="Times New Roman"/>
                <w:sz w:val="20"/>
              </w:rPr>
            </w:pPr>
          </w:p>
        </w:tc>
        <w:tc>
          <w:tcPr>
            <w:tcW w:w="2405" w:type="dxa"/>
            <w:vMerge/>
            <w:tcBorders>
              <w:bottom w:val="nil"/>
            </w:tcBorders>
          </w:tcPr>
          <w:p w14:paraId="0958981A" w14:textId="77777777" w:rsidR="002953DC" w:rsidRDefault="002953DC">
            <w:pPr>
              <w:pStyle w:val="TableParagraph"/>
              <w:rPr>
                <w:rFonts w:ascii="Times New Roman"/>
                <w:sz w:val="20"/>
              </w:rPr>
            </w:pPr>
          </w:p>
        </w:tc>
        <w:tc>
          <w:tcPr>
            <w:tcW w:w="3828" w:type="dxa"/>
            <w:tcBorders>
              <w:top w:val="nil"/>
              <w:bottom w:val="nil"/>
            </w:tcBorders>
          </w:tcPr>
          <w:p w14:paraId="26CFCE00" w14:textId="77777777" w:rsidR="002953DC" w:rsidRDefault="002953DC">
            <w:pPr>
              <w:pStyle w:val="TableParagraph"/>
              <w:rPr>
                <w:rFonts w:ascii="Times New Roman"/>
                <w:sz w:val="20"/>
              </w:rPr>
            </w:pPr>
          </w:p>
        </w:tc>
        <w:tc>
          <w:tcPr>
            <w:tcW w:w="9241" w:type="dxa"/>
            <w:vMerge/>
            <w:tcBorders>
              <w:bottom w:val="nil"/>
            </w:tcBorders>
          </w:tcPr>
          <w:p w14:paraId="0D1EA474" w14:textId="06E957EB" w:rsidR="002953DC" w:rsidRDefault="002953DC" w:rsidP="003C22B0">
            <w:pPr>
              <w:pStyle w:val="TableParagraph"/>
              <w:spacing w:before="138"/>
              <w:ind w:left="106"/>
              <w:rPr>
                <w:b/>
                <w:sz w:val="20"/>
              </w:rPr>
            </w:pPr>
          </w:p>
        </w:tc>
      </w:tr>
      <w:tr w:rsidR="001511EE" w14:paraId="005E1CF9" w14:textId="77777777" w:rsidTr="00804530">
        <w:trPr>
          <w:trHeight w:val="872"/>
        </w:trPr>
        <w:tc>
          <w:tcPr>
            <w:tcW w:w="1272" w:type="dxa"/>
            <w:tcBorders>
              <w:top w:val="nil"/>
            </w:tcBorders>
          </w:tcPr>
          <w:p w14:paraId="3558784D" w14:textId="77777777" w:rsidR="001511EE" w:rsidRDefault="001511EE">
            <w:pPr>
              <w:pStyle w:val="TableParagraph"/>
              <w:rPr>
                <w:rFonts w:ascii="Times New Roman"/>
                <w:sz w:val="20"/>
              </w:rPr>
            </w:pPr>
          </w:p>
        </w:tc>
        <w:tc>
          <w:tcPr>
            <w:tcW w:w="2405" w:type="dxa"/>
            <w:tcBorders>
              <w:top w:val="nil"/>
            </w:tcBorders>
          </w:tcPr>
          <w:p w14:paraId="1E0C040E" w14:textId="77777777" w:rsidR="001511EE" w:rsidRDefault="001511EE">
            <w:pPr>
              <w:pStyle w:val="TableParagraph"/>
              <w:rPr>
                <w:rFonts w:ascii="Times New Roman"/>
                <w:sz w:val="20"/>
              </w:rPr>
            </w:pPr>
          </w:p>
        </w:tc>
        <w:tc>
          <w:tcPr>
            <w:tcW w:w="3828" w:type="dxa"/>
            <w:tcBorders>
              <w:top w:val="nil"/>
            </w:tcBorders>
          </w:tcPr>
          <w:p w14:paraId="4E045E02" w14:textId="77777777" w:rsidR="001511EE" w:rsidRDefault="001511EE">
            <w:pPr>
              <w:pStyle w:val="TableParagraph"/>
              <w:rPr>
                <w:rFonts w:ascii="Times New Roman"/>
                <w:sz w:val="20"/>
              </w:rPr>
            </w:pPr>
          </w:p>
        </w:tc>
        <w:tc>
          <w:tcPr>
            <w:tcW w:w="9241" w:type="dxa"/>
            <w:tcBorders>
              <w:top w:val="nil"/>
            </w:tcBorders>
          </w:tcPr>
          <w:p w14:paraId="5FF22531" w14:textId="77777777" w:rsidR="001511EE" w:rsidRDefault="003C22B0">
            <w:pPr>
              <w:pStyle w:val="TableParagraph"/>
              <w:spacing w:before="147" w:line="244" w:lineRule="exact"/>
              <w:ind w:left="106" w:right="104"/>
              <w:jc w:val="both"/>
              <w:rPr>
                <w:sz w:val="20"/>
              </w:rPr>
            </w:pPr>
            <w:r>
              <w:rPr>
                <w:sz w:val="20"/>
              </w:rPr>
              <w:t>…</w:t>
            </w:r>
          </w:p>
          <w:p w14:paraId="1EF4F9FA" w14:textId="77777777" w:rsidR="003C22B0" w:rsidRPr="003C22B0" w:rsidRDefault="003C22B0" w:rsidP="003C22B0">
            <w:pPr>
              <w:pStyle w:val="TableParagraph"/>
              <w:spacing w:before="147" w:line="244" w:lineRule="exact"/>
              <w:ind w:left="106" w:right="104"/>
              <w:jc w:val="both"/>
              <w:rPr>
                <w:sz w:val="20"/>
              </w:rPr>
            </w:pPr>
          </w:p>
          <w:p w14:paraId="3726BCB5" w14:textId="77777777" w:rsidR="003C22B0" w:rsidRPr="003C22B0" w:rsidRDefault="003C22B0" w:rsidP="003C22B0">
            <w:pPr>
              <w:pStyle w:val="TableParagraph"/>
              <w:spacing w:before="147" w:line="244" w:lineRule="exact"/>
              <w:ind w:left="106" w:right="104"/>
              <w:jc w:val="both"/>
              <w:rPr>
                <w:sz w:val="20"/>
              </w:rPr>
            </w:pPr>
            <w:r w:rsidRPr="003C22B0">
              <w:rPr>
                <w:sz w:val="20"/>
              </w:rPr>
              <w:t>Artículo 104.</w:t>
            </w:r>
          </w:p>
          <w:p w14:paraId="64223585" w14:textId="77777777" w:rsidR="003C22B0" w:rsidRPr="003C22B0" w:rsidRDefault="003C22B0" w:rsidP="003C22B0">
            <w:pPr>
              <w:pStyle w:val="TableParagraph"/>
              <w:spacing w:before="147" w:line="244" w:lineRule="exact"/>
              <w:ind w:left="106" w:right="104"/>
              <w:jc w:val="both"/>
              <w:rPr>
                <w:sz w:val="20"/>
              </w:rPr>
            </w:pPr>
            <w:r w:rsidRPr="003C22B0">
              <w:rPr>
                <w:sz w:val="20"/>
              </w:rPr>
              <w:t xml:space="preserve"> </w:t>
            </w:r>
          </w:p>
          <w:p w14:paraId="41315905" w14:textId="77777777" w:rsidR="003C22B0" w:rsidRDefault="003C22B0" w:rsidP="003C22B0">
            <w:pPr>
              <w:pStyle w:val="TableParagraph"/>
              <w:spacing w:before="147" w:line="244" w:lineRule="exact"/>
              <w:ind w:left="106" w:right="104"/>
              <w:jc w:val="both"/>
              <w:rPr>
                <w:sz w:val="20"/>
              </w:rPr>
            </w:pPr>
            <w:r w:rsidRPr="003C22B0">
              <w:rPr>
                <w:sz w:val="20"/>
              </w:rPr>
              <w:t>1. La cuenta bancaria se utilizará a partir del inicio de los actos tendentes a obtener el apoyo de la ciudadanía y hasta la conclusión de las campañas electorales y con posterioridad, exclusivamente para cubrir los pasivos contraídos y demás erogaciones. Su cancelación deberá realizarse una vez que se concluyan los procedimientos que correspondan a la Unidad de Fiscalización del Instituto Nacional.</w:t>
            </w:r>
          </w:p>
          <w:p w14:paraId="26E412F9" w14:textId="77777777" w:rsidR="003C22B0" w:rsidRDefault="003C22B0" w:rsidP="003C22B0">
            <w:pPr>
              <w:pStyle w:val="TableParagraph"/>
              <w:spacing w:before="147" w:line="244" w:lineRule="exact"/>
              <w:ind w:left="106" w:right="104"/>
              <w:jc w:val="both"/>
              <w:rPr>
                <w:sz w:val="20"/>
              </w:rPr>
            </w:pPr>
            <w:r>
              <w:rPr>
                <w:sz w:val="20"/>
              </w:rPr>
              <w:t>…</w:t>
            </w:r>
          </w:p>
          <w:p w14:paraId="551BBA42" w14:textId="77777777" w:rsidR="003C22B0" w:rsidRPr="003C22B0" w:rsidRDefault="003C22B0" w:rsidP="003C22B0">
            <w:pPr>
              <w:pStyle w:val="TableParagraph"/>
              <w:spacing w:before="147" w:line="244" w:lineRule="exact"/>
              <w:ind w:left="106" w:right="104"/>
              <w:jc w:val="both"/>
              <w:rPr>
                <w:sz w:val="20"/>
              </w:rPr>
            </w:pPr>
          </w:p>
          <w:p w14:paraId="23C55EA8" w14:textId="77777777" w:rsidR="003C22B0" w:rsidRPr="003C22B0" w:rsidRDefault="003C22B0" w:rsidP="003C22B0">
            <w:pPr>
              <w:pStyle w:val="TableParagraph"/>
              <w:spacing w:before="147" w:line="244" w:lineRule="exact"/>
              <w:ind w:left="106" w:right="104"/>
              <w:jc w:val="both"/>
              <w:rPr>
                <w:sz w:val="20"/>
              </w:rPr>
            </w:pPr>
            <w:r w:rsidRPr="003C22B0">
              <w:rPr>
                <w:sz w:val="20"/>
              </w:rPr>
              <w:t>Artículo 104.</w:t>
            </w:r>
          </w:p>
          <w:p w14:paraId="65CD13FE" w14:textId="77777777" w:rsidR="003C22B0" w:rsidRPr="003C22B0" w:rsidRDefault="003C22B0" w:rsidP="003C22B0">
            <w:pPr>
              <w:pStyle w:val="TableParagraph"/>
              <w:spacing w:before="147" w:line="244" w:lineRule="exact"/>
              <w:ind w:left="106" w:right="104"/>
              <w:jc w:val="both"/>
              <w:rPr>
                <w:sz w:val="20"/>
              </w:rPr>
            </w:pPr>
            <w:r w:rsidRPr="003C22B0">
              <w:rPr>
                <w:sz w:val="20"/>
              </w:rPr>
              <w:t xml:space="preserve"> </w:t>
            </w:r>
          </w:p>
          <w:p w14:paraId="471250A3" w14:textId="77777777" w:rsidR="003C22B0" w:rsidRDefault="003C22B0" w:rsidP="003C22B0">
            <w:pPr>
              <w:pStyle w:val="TableParagraph"/>
              <w:spacing w:before="147" w:line="244" w:lineRule="exact"/>
              <w:ind w:left="106" w:right="104"/>
              <w:jc w:val="both"/>
              <w:rPr>
                <w:sz w:val="20"/>
              </w:rPr>
            </w:pPr>
            <w:r w:rsidRPr="003C22B0">
              <w:rPr>
                <w:sz w:val="20"/>
              </w:rPr>
              <w:t>1. La cuenta bancaria se utilizará a partir del inicio de los actos tendentes a obtener el apoyo de la ciudadanía y hasta la conclusión de las campañas electorales y con posterioridad, exclusivamente para cubrir los pasivos contraídos y demás erogaciones. Su cancelación deberá realizarse una vez que se concluyan los procedimientos que correspondan a la Unidad de Fiscalización del Instituto Nacional.</w:t>
            </w:r>
          </w:p>
          <w:p w14:paraId="370A1CC9" w14:textId="77777777" w:rsidR="003C22B0" w:rsidRDefault="003C22B0" w:rsidP="003C22B0">
            <w:pPr>
              <w:pStyle w:val="TableParagraph"/>
              <w:spacing w:before="147" w:line="244" w:lineRule="exact"/>
              <w:ind w:left="106" w:right="104"/>
              <w:jc w:val="both"/>
              <w:rPr>
                <w:sz w:val="20"/>
              </w:rPr>
            </w:pPr>
            <w:r>
              <w:rPr>
                <w:sz w:val="20"/>
              </w:rPr>
              <w:t>…</w:t>
            </w:r>
          </w:p>
          <w:p w14:paraId="6AE4E9BF" w14:textId="77777777" w:rsidR="003C22B0" w:rsidRPr="003C22B0" w:rsidRDefault="003C22B0" w:rsidP="003C22B0">
            <w:pPr>
              <w:pStyle w:val="TableParagraph"/>
              <w:spacing w:before="147" w:line="244" w:lineRule="exact"/>
              <w:ind w:left="106" w:right="104"/>
              <w:jc w:val="both"/>
              <w:rPr>
                <w:sz w:val="20"/>
              </w:rPr>
            </w:pPr>
            <w:r w:rsidRPr="003C22B0">
              <w:rPr>
                <w:sz w:val="20"/>
              </w:rPr>
              <w:t>III. No tener ningún otro impedimento de tipo legal para contender a una candidatura independiente.</w:t>
            </w:r>
          </w:p>
          <w:p w14:paraId="792B48B0" w14:textId="77777777" w:rsidR="003C22B0" w:rsidRDefault="003C22B0" w:rsidP="003C22B0">
            <w:pPr>
              <w:pStyle w:val="TableParagraph"/>
              <w:spacing w:before="147" w:line="244" w:lineRule="exact"/>
              <w:ind w:left="106" w:right="104"/>
              <w:jc w:val="both"/>
              <w:rPr>
                <w:sz w:val="20"/>
              </w:rPr>
            </w:pPr>
            <w:r w:rsidRPr="003C22B0">
              <w:rPr>
                <w:sz w:val="20"/>
              </w:rPr>
              <w:t xml:space="preserve">h) Escrito en el que manifieste su conformidad para que todos los ingresos y egresos de la cuenta bancaria </w:t>
            </w:r>
            <w:proofErr w:type="spellStart"/>
            <w:r w:rsidRPr="003C22B0">
              <w:rPr>
                <w:sz w:val="20"/>
              </w:rPr>
              <w:t>aperturada</w:t>
            </w:r>
            <w:proofErr w:type="spellEnd"/>
            <w:r w:rsidRPr="003C22B0">
              <w:rPr>
                <w:sz w:val="20"/>
              </w:rPr>
              <w:t xml:space="preserve"> sean fiscalizados, en cualquier momento, por el Instituto Nacional.</w:t>
            </w:r>
          </w:p>
          <w:p w14:paraId="1C509B2F" w14:textId="77777777" w:rsidR="003C22B0" w:rsidRDefault="003C22B0" w:rsidP="003C22B0">
            <w:pPr>
              <w:pStyle w:val="TableParagraph"/>
              <w:spacing w:before="147" w:line="244" w:lineRule="exact"/>
              <w:ind w:left="106" w:right="104"/>
              <w:jc w:val="both"/>
              <w:rPr>
                <w:sz w:val="20"/>
              </w:rPr>
            </w:pPr>
            <w:r>
              <w:rPr>
                <w:sz w:val="20"/>
              </w:rPr>
              <w:t>…</w:t>
            </w:r>
          </w:p>
          <w:p w14:paraId="43D8144D" w14:textId="77777777" w:rsidR="003C22B0" w:rsidRPr="003C22B0" w:rsidRDefault="003C22B0" w:rsidP="003C22B0">
            <w:pPr>
              <w:pStyle w:val="TableParagraph"/>
              <w:spacing w:before="147" w:line="244" w:lineRule="exact"/>
              <w:ind w:left="106" w:right="104"/>
              <w:jc w:val="both"/>
              <w:rPr>
                <w:sz w:val="20"/>
              </w:rPr>
            </w:pPr>
          </w:p>
          <w:p w14:paraId="538F9C6C" w14:textId="77777777" w:rsidR="003C22B0" w:rsidRPr="003C22B0" w:rsidRDefault="003C22B0" w:rsidP="003C22B0">
            <w:pPr>
              <w:pStyle w:val="TableParagraph"/>
              <w:spacing w:before="147" w:line="244" w:lineRule="exact"/>
              <w:ind w:left="106" w:right="104"/>
              <w:jc w:val="both"/>
              <w:rPr>
                <w:sz w:val="20"/>
              </w:rPr>
            </w:pPr>
            <w:r w:rsidRPr="003C22B0">
              <w:rPr>
                <w:sz w:val="20"/>
              </w:rPr>
              <w:t>Artículo 134.</w:t>
            </w:r>
          </w:p>
          <w:p w14:paraId="4770BBE4" w14:textId="77777777" w:rsidR="003C22B0" w:rsidRPr="003C22B0" w:rsidRDefault="003C22B0" w:rsidP="003C22B0">
            <w:pPr>
              <w:pStyle w:val="TableParagraph"/>
              <w:spacing w:before="147" w:line="244" w:lineRule="exact"/>
              <w:ind w:left="106" w:right="104"/>
              <w:jc w:val="both"/>
              <w:rPr>
                <w:sz w:val="20"/>
              </w:rPr>
            </w:pPr>
            <w:r w:rsidRPr="003C22B0">
              <w:rPr>
                <w:sz w:val="20"/>
              </w:rPr>
              <w:t xml:space="preserve"> </w:t>
            </w:r>
          </w:p>
          <w:p w14:paraId="4AE4FFCE" w14:textId="77777777" w:rsidR="003C22B0" w:rsidRPr="003C22B0" w:rsidRDefault="003C22B0" w:rsidP="003C22B0">
            <w:pPr>
              <w:pStyle w:val="TableParagraph"/>
              <w:spacing w:before="147" w:line="244" w:lineRule="exact"/>
              <w:ind w:left="106" w:right="104"/>
              <w:jc w:val="both"/>
              <w:rPr>
                <w:sz w:val="20"/>
              </w:rPr>
            </w:pPr>
            <w:r w:rsidRPr="003C22B0">
              <w:rPr>
                <w:sz w:val="20"/>
              </w:rPr>
              <w:lastRenderedPageBreak/>
              <w:t>(Reformado el primer párrafo mediante el Decreto Núm. 741, publicado el 1 de octubre de 2020)</w:t>
            </w:r>
          </w:p>
          <w:p w14:paraId="4E3663D7" w14:textId="77777777" w:rsidR="003C22B0" w:rsidRPr="003C22B0" w:rsidRDefault="003C22B0" w:rsidP="003C22B0">
            <w:pPr>
              <w:pStyle w:val="TableParagraph"/>
              <w:spacing w:before="147" w:line="244" w:lineRule="exact"/>
              <w:ind w:left="106" w:right="104"/>
              <w:jc w:val="both"/>
              <w:rPr>
                <w:sz w:val="20"/>
              </w:rPr>
            </w:pPr>
            <w:r w:rsidRPr="003C22B0">
              <w:rPr>
                <w:sz w:val="20"/>
              </w:rPr>
              <w:t xml:space="preserve"> </w:t>
            </w:r>
          </w:p>
          <w:p w14:paraId="67F15414" w14:textId="77777777" w:rsidR="003C22B0" w:rsidRDefault="003C22B0" w:rsidP="003C22B0">
            <w:pPr>
              <w:pStyle w:val="TableParagraph"/>
              <w:spacing w:before="147" w:line="244" w:lineRule="exact"/>
              <w:ind w:left="106" w:right="104"/>
              <w:jc w:val="both"/>
              <w:rPr>
                <w:sz w:val="20"/>
              </w:rPr>
            </w:pPr>
            <w:r w:rsidRPr="003C22B0">
              <w:rPr>
                <w:sz w:val="20"/>
              </w:rPr>
              <w:t>1. Son obligaciones de las candidaturas independientes registradas:</w:t>
            </w:r>
          </w:p>
          <w:p w14:paraId="11E65472" w14:textId="77777777" w:rsidR="003C22B0" w:rsidRDefault="003C22B0" w:rsidP="003C22B0">
            <w:pPr>
              <w:pStyle w:val="TableParagraph"/>
              <w:spacing w:before="147" w:line="244" w:lineRule="exact"/>
              <w:ind w:left="106" w:right="104"/>
              <w:jc w:val="both"/>
              <w:rPr>
                <w:sz w:val="20"/>
              </w:rPr>
            </w:pPr>
            <w:r>
              <w:rPr>
                <w:sz w:val="20"/>
              </w:rPr>
              <w:t>…</w:t>
            </w:r>
          </w:p>
          <w:p w14:paraId="43AD6F8D" w14:textId="77777777" w:rsidR="003C22B0" w:rsidRDefault="003C22B0" w:rsidP="003C22B0">
            <w:pPr>
              <w:pStyle w:val="TableParagraph"/>
              <w:spacing w:before="147" w:line="244" w:lineRule="exact"/>
              <w:ind w:left="106" w:right="104"/>
              <w:jc w:val="both"/>
              <w:rPr>
                <w:sz w:val="20"/>
              </w:rPr>
            </w:pPr>
            <w:r>
              <w:rPr>
                <w:sz w:val="20"/>
              </w:rPr>
              <w:t>o</w:t>
            </w:r>
            <w:r w:rsidRPr="003C22B0">
              <w:rPr>
                <w:sz w:val="20"/>
              </w:rPr>
              <w:t>) Ser responsable solidario, junto con el encargado de la administración de sus recursos financieros, dentro de los procedimientos de fiscalización de los recursos correspondientes, y</w:t>
            </w:r>
          </w:p>
          <w:p w14:paraId="344982E7" w14:textId="77777777" w:rsidR="003C22B0" w:rsidRDefault="003C22B0" w:rsidP="003C22B0">
            <w:pPr>
              <w:pStyle w:val="TableParagraph"/>
              <w:spacing w:before="147" w:line="244" w:lineRule="exact"/>
              <w:ind w:left="106" w:right="104"/>
              <w:jc w:val="both"/>
              <w:rPr>
                <w:sz w:val="20"/>
              </w:rPr>
            </w:pPr>
            <w:r>
              <w:rPr>
                <w:sz w:val="20"/>
              </w:rPr>
              <w:t>…</w:t>
            </w:r>
          </w:p>
          <w:p w14:paraId="58BA6606" w14:textId="77777777" w:rsidR="003C22B0" w:rsidRDefault="003C22B0" w:rsidP="003C22B0">
            <w:pPr>
              <w:pStyle w:val="TableParagraph"/>
              <w:spacing w:before="147" w:line="244" w:lineRule="exact"/>
              <w:ind w:left="106" w:right="104"/>
              <w:jc w:val="both"/>
              <w:rPr>
                <w:sz w:val="20"/>
              </w:rPr>
            </w:pPr>
          </w:p>
          <w:p w14:paraId="7AEBE869" w14:textId="77777777" w:rsidR="003C22B0" w:rsidRPr="003C22B0" w:rsidRDefault="003C22B0" w:rsidP="003C22B0">
            <w:pPr>
              <w:pStyle w:val="TableParagraph"/>
              <w:spacing w:before="147" w:line="244" w:lineRule="exact"/>
              <w:ind w:left="106" w:right="104"/>
              <w:jc w:val="both"/>
              <w:rPr>
                <w:sz w:val="20"/>
              </w:rPr>
            </w:pPr>
          </w:p>
          <w:p w14:paraId="473FFD74" w14:textId="77777777" w:rsidR="003C22B0" w:rsidRPr="003C22B0" w:rsidRDefault="003C22B0" w:rsidP="003C22B0">
            <w:pPr>
              <w:pStyle w:val="TableParagraph"/>
              <w:spacing w:before="147" w:line="244" w:lineRule="exact"/>
              <w:ind w:left="106" w:right="104"/>
              <w:jc w:val="both"/>
              <w:rPr>
                <w:sz w:val="20"/>
              </w:rPr>
            </w:pPr>
            <w:r w:rsidRPr="003C22B0">
              <w:rPr>
                <w:sz w:val="20"/>
              </w:rPr>
              <w:t>Artículo 144.</w:t>
            </w:r>
          </w:p>
          <w:p w14:paraId="7CEB27F9" w14:textId="77777777" w:rsidR="003C22B0" w:rsidRPr="003C22B0" w:rsidRDefault="003C22B0" w:rsidP="003C22B0">
            <w:pPr>
              <w:pStyle w:val="TableParagraph"/>
              <w:spacing w:before="147" w:line="244" w:lineRule="exact"/>
              <w:ind w:left="106" w:right="104"/>
              <w:jc w:val="both"/>
              <w:rPr>
                <w:sz w:val="20"/>
              </w:rPr>
            </w:pPr>
            <w:r w:rsidRPr="003C22B0">
              <w:rPr>
                <w:sz w:val="20"/>
              </w:rPr>
              <w:t xml:space="preserve"> </w:t>
            </w:r>
          </w:p>
          <w:p w14:paraId="64697DAE" w14:textId="77777777" w:rsidR="003C22B0" w:rsidRPr="003C22B0" w:rsidRDefault="003C22B0" w:rsidP="003C22B0">
            <w:pPr>
              <w:pStyle w:val="TableParagraph"/>
              <w:spacing w:before="147" w:line="244" w:lineRule="exact"/>
              <w:ind w:left="106" w:right="104"/>
              <w:jc w:val="both"/>
              <w:rPr>
                <w:sz w:val="20"/>
              </w:rPr>
            </w:pPr>
            <w:r w:rsidRPr="003C22B0">
              <w:rPr>
                <w:sz w:val="20"/>
              </w:rPr>
              <w:t>1. Todo egreso deberá cubrirse con cheque nominativo o transferencia electrónica. En el caso de los pagos por la prestación de bienes o servicios, adicionalmente el cheque deberá contener la leyenda "para abono a cuenta del beneficiario". Las pólizas de los cheques deberán conservarse anexas a la documentación comprobatoria junto con la copia del cheque a que se hace referencia.</w:t>
            </w:r>
          </w:p>
          <w:p w14:paraId="3E0770BA" w14:textId="77777777" w:rsidR="003C22B0" w:rsidRPr="003C22B0" w:rsidRDefault="003C22B0" w:rsidP="003C22B0">
            <w:pPr>
              <w:pStyle w:val="TableParagraph"/>
              <w:spacing w:before="147" w:line="244" w:lineRule="exact"/>
              <w:ind w:left="106" w:right="104"/>
              <w:jc w:val="both"/>
              <w:rPr>
                <w:sz w:val="20"/>
              </w:rPr>
            </w:pPr>
          </w:p>
          <w:p w14:paraId="3E7C545B" w14:textId="77777777" w:rsidR="003C22B0" w:rsidRPr="003C22B0" w:rsidRDefault="003C22B0" w:rsidP="003C22B0">
            <w:pPr>
              <w:pStyle w:val="TableParagraph"/>
              <w:spacing w:before="147" w:line="244" w:lineRule="exact"/>
              <w:ind w:left="106" w:right="104"/>
              <w:jc w:val="both"/>
              <w:rPr>
                <w:sz w:val="20"/>
              </w:rPr>
            </w:pPr>
            <w:r w:rsidRPr="003C22B0">
              <w:rPr>
                <w:sz w:val="20"/>
              </w:rPr>
              <w:t>(Reformado mediante el Decreto Núm. 741, publicado el 1 de octubre de 2020)</w:t>
            </w:r>
          </w:p>
          <w:p w14:paraId="42BCF728" w14:textId="77777777" w:rsidR="003C22B0" w:rsidRPr="003C22B0" w:rsidRDefault="003C22B0" w:rsidP="003C22B0">
            <w:pPr>
              <w:pStyle w:val="TableParagraph"/>
              <w:spacing w:before="147" w:line="244" w:lineRule="exact"/>
              <w:ind w:left="106" w:right="104"/>
              <w:jc w:val="both"/>
              <w:rPr>
                <w:sz w:val="20"/>
              </w:rPr>
            </w:pPr>
            <w:r w:rsidRPr="003C22B0">
              <w:rPr>
                <w:sz w:val="20"/>
              </w:rPr>
              <w:t xml:space="preserve"> </w:t>
            </w:r>
          </w:p>
          <w:p w14:paraId="256335BC" w14:textId="77777777" w:rsidR="003C22B0" w:rsidRDefault="003C22B0" w:rsidP="003C22B0">
            <w:pPr>
              <w:pStyle w:val="TableParagraph"/>
              <w:spacing w:before="147" w:line="244" w:lineRule="exact"/>
              <w:ind w:left="106" w:right="104"/>
              <w:jc w:val="both"/>
              <w:rPr>
                <w:sz w:val="20"/>
              </w:rPr>
            </w:pPr>
            <w:r w:rsidRPr="003C22B0">
              <w:rPr>
                <w:sz w:val="20"/>
              </w:rPr>
              <w:t xml:space="preserve">2. Los comprobantes que amparen los egresos que </w:t>
            </w:r>
            <w:proofErr w:type="gramStart"/>
            <w:r w:rsidRPr="003C22B0">
              <w:rPr>
                <w:sz w:val="20"/>
              </w:rPr>
              <w:t>realicen  las</w:t>
            </w:r>
            <w:proofErr w:type="gramEnd"/>
            <w:r w:rsidRPr="003C22B0">
              <w:rPr>
                <w:sz w:val="20"/>
              </w:rPr>
              <w:t xml:space="preserve"> candidatas y candidatos independientes deberán ser expedidos a su nombre y constar en original, como soporte a los informes financieros de las campañas electorales, los cuales estarán a disposición de la Unidad de Fiscalización de la Comisión de Fiscalización del Instituto Nacional para su revisión, de conformidad con lo dispuesto en este Código. Dicha documentación deberá cumplir con los requisitos que exigen las disposiciones fiscales aplicables, así como las establecidas por el Reglamento de Fiscalización de la unidad referida.</w:t>
            </w:r>
          </w:p>
          <w:p w14:paraId="24A948AF" w14:textId="77777777" w:rsidR="003C22B0" w:rsidRDefault="003C22B0" w:rsidP="003C22B0">
            <w:pPr>
              <w:pStyle w:val="TableParagraph"/>
              <w:spacing w:before="147" w:line="244" w:lineRule="exact"/>
              <w:ind w:left="106" w:right="104"/>
              <w:jc w:val="both"/>
              <w:rPr>
                <w:sz w:val="20"/>
              </w:rPr>
            </w:pPr>
            <w:r>
              <w:rPr>
                <w:sz w:val="20"/>
              </w:rPr>
              <w:t>…</w:t>
            </w:r>
          </w:p>
          <w:p w14:paraId="7E63CAF7" w14:textId="77777777" w:rsidR="003C22B0" w:rsidRPr="003C22B0" w:rsidRDefault="003C22B0" w:rsidP="003C22B0">
            <w:pPr>
              <w:pStyle w:val="TableParagraph"/>
              <w:spacing w:before="147" w:line="244" w:lineRule="exact"/>
              <w:ind w:left="106" w:right="104"/>
              <w:jc w:val="both"/>
              <w:rPr>
                <w:sz w:val="20"/>
              </w:rPr>
            </w:pPr>
          </w:p>
          <w:p w14:paraId="556E6868" w14:textId="77777777" w:rsidR="003C22B0" w:rsidRPr="003C22B0" w:rsidRDefault="003C22B0" w:rsidP="003C22B0">
            <w:pPr>
              <w:pStyle w:val="TableParagraph"/>
              <w:spacing w:before="147" w:line="244" w:lineRule="exact"/>
              <w:ind w:left="106" w:right="104"/>
              <w:jc w:val="both"/>
              <w:rPr>
                <w:sz w:val="20"/>
              </w:rPr>
            </w:pPr>
            <w:r w:rsidRPr="003C22B0">
              <w:rPr>
                <w:sz w:val="20"/>
              </w:rPr>
              <w:t>DE LA FISCALIZACIÓN</w:t>
            </w:r>
          </w:p>
          <w:p w14:paraId="07A82F3B" w14:textId="77777777" w:rsidR="003C22B0" w:rsidRPr="003C22B0" w:rsidRDefault="003C22B0" w:rsidP="003C22B0">
            <w:pPr>
              <w:pStyle w:val="TableParagraph"/>
              <w:spacing w:before="147" w:line="244" w:lineRule="exact"/>
              <w:ind w:left="106" w:right="104"/>
              <w:jc w:val="both"/>
              <w:rPr>
                <w:sz w:val="20"/>
              </w:rPr>
            </w:pPr>
          </w:p>
          <w:p w14:paraId="5A28AEEB" w14:textId="77777777" w:rsidR="003C22B0" w:rsidRPr="003C22B0" w:rsidRDefault="003C22B0" w:rsidP="003C22B0">
            <w:pPr>
              <w:pStyle w:val="TableParagraph"/>
              <w:spacing w:before="147" w:line="244" w:lineRule="exact"/>
              <w:ind w:left="106" w:right="104"/>
              <w:jc w:val="both"/>
              <w:rPr>
                <w:sz w:val="20"/>
              </w:rPr>
            </w:pPr>
            <w:r w:rsidRPr="003C22B0">
              <w:rPr>
                <w:sz w:val="20"/>
              </w:rPr>
              <w:t>Artículo 162.</w:t>
            </w:r>
          </w:p>
          <w:p w14:paraId="65CB47F5" w14:textId="77777777" w:rsidR="003C22B0" w:rsidRPr="003C22B0" w:rsidRDefault="003C22B0" w:rsidP="003C22B0">
            <w:pPr>
              <w:pStyle w:val="TableParagraph"/>
              <w:spacing w:before="147" w:line="244" w:lineRule="exact"/>
              <w:ind w:left="106" w:right="104"/>
              <w:jc w:val="both"/>
              <w:rPr>
                <w:sz w:val="20"/>
              </w:rPr>
            </w:pPr>
            <w:r w:rsidRPr="003C22B0">
              <w:rPr>
                <w:sz w:val="20"/>
              </w:rPr>
              <w:t xml:space="preserve"> </w:t>
            </w:r>
          </w:p>
          <w:p w14:paraId="429472FF" w14:textId="77777777" w:rsidR="003C22B0" w:rsidRPr="003C22B0" w:rsidRDefault="003C22B0" w:rsidP="003C22B0">
            <w:pPr>
              <w:pStyle w:val="TableParagraph"/>
              <w:spacing w:before="147" w:line="244" w:lineRule="exact"/>
              <w:ind w:left="106" w:right="104"/>
              <w:jc w:val="both"/>
              <w:rPr>
                <w:sz w:val="20"/>
              </w:rPr>
            </w:pPr>
            <w:r w:rsidRPr="003C22B0">
              <w:rPr>
                <w:sz w:val="20"/>
              </w:rPr>
              <w:t>(Reformado mediante el Decreto Núm. 741, publicado el 1 de octubre de 2020)</w:t>
            </w:r>
          </w:p>
          <w:p w14:paraId="540C772E" w14:textId="77777777" w:rsidR="003C22B0" w:rsidRPr="003C22B0" w:rsidRDefault="003C22B0" w:rsidP="003C22B0">
            <w:pPr>
              <w:pStyle w:val="TableParagraph"/>
              <w:spacing w:before="147" w:line="244" w:lineRule="exact"/>
              <w:ind w:left="106" w:right="104"/>
              <w:jc w:val="both"/>
              <w:rPr>
                <w:sz w:val="20"/>
              </w:rPr>
            </w:pPr>
            <w:r w:rsidRPr="003C22B0">
              <w:rPr>
                <w:sz w:val="20"/>
              </w:rPr>
              <w:t xml:space="preserve"> </w:t>
            </w:r>
          </w:p>
          <w:p w14:paraId="7D44F1AE" w14:textId="77777777" w:rsidR="003C22B0" w:rsidRPr="003C22B0" w:rsidRDefault="003C22B0" w:rsidP="003C22B0">
            <w:pPr>
              <w:pStyle w:val="TableParagraph"/>
              <w:spacing w:before="147" w:line="244" w:lineRule="exact"/>
              <w:ind w:left="106" w:right="104"/>
              <w:jc w:val="both"/>
              <w:rPr>
                <w:sz w:val="20"/>
              </w:rPr>
            </w:pPr>
            <w:r w:rsidRPr="003C22B0">
              <w:rPr>
                <w:sz w:val="20"/>
              </w:rPr>
              <w:t>1. La revisión de los informes que los aspirantes presenten sobre el origen y destino de sus recursos y de actos para el apoyo de la ciudadanía según corresponda, así como la práctica de auditorías sobre el manejo de sus recursos y su situación contable y financiera estará a cargo de la Unidad de Fiscalización del Instituto Nacional, en los términos que establezca la Ley General.</w:t>
            </w:r>
          </w:p>
          <w:p w14:paraId="58F89579" w14:textId="77777777" w:rsidR="003C22B0" w:rsidRPr="003C22B0" w:rsidRDefault="003C22B0" w:rsidP="003C22B0">
            <w:pPr>
              <w:pStyle w:val="TableParagraph"/>
              <w:spacing w:before="147" w:line="244" w:lineRule="exact"/>
              <w:ind w:left="106" w:right="104"/>
              <w:jc w:val="both"/>
              <w:rPr>
                <w:sz w:val="20"/>
              </w:rPr>
            </w:pPr>
          </w:p>
          <w:p w14:paraId="538B2723" w14:textId="77777777" w:rsidR="003C22B0" w:rsidRPr="003C22B0" w:rsidRDefault="003C22B0" w:rsidP="003C22B0">
            <w:pPr>
              <w:pStyle w:val="TableParagraph"/>
              <w:spacing w:before="147" w:line="244" w:lineRule="exact"/>
              <w:ind w:left="106" w:right="104"/>
              <w:jc w:val="both"/>
              <w:rPr>
                <w:sz w:val="20"/>
              </w:rPr>
            </w:pPr>
            <w:r w:rsidRPr="003C22B0">
              <w:rPr>
                <w:sz w:val="20"/>
              </w:rPr>
              <w:t>(Reformado mediante el Decreto Núm. 269, publicado el 25 de junio de 2019)</w:t>
            </w:r>
          </w:p>
          <w:p w14:paraId="1C693DF0" w14:textId="77777777" w:rsidR="003C22B0" w:rsidRPr="003C22B0" w:rsidRDefault="003C22B0" w:rsidP="003C22B0">
            <w:pPr>
              <w:pStyle w:val="TableParagraph"/>
              <w:spacing w:before="147" w:line="244" w:lineRule="exact"/>
              <w:ind w:left="106" w:right="104"/>
              <w:jc w:val="both"/>
              <w:rPr>
                <w:sz w:val="20"/>
              </w:rPr>
            </w:pPr>
            <w:r w:rsidRPr="003C22B0">
              <w:rPr>
                <w:sz w:val="20"/>
              </w:rPr>
              <w:t xml:space="preserve"> </w:t>
            </w:r>
          </w:p>
          <w:p w14:paraId="7FB0FE2A" w14:textId="77777777" w:rsidR="003C22B0" w:rsidRDefault="003C22B0" w:rsidP="003C22B0">
            <w:pPr>
              <w:pStyle w:val="TableParagraph"/>
              <w:spacing w:before="147" w:line="244" w:lineRule="exact"/>
              <w:ind w:left="106" w:right="104"/>
              <w:jc w:val="both"/>
              <w:rPr>
                <w:sz w:val="20"/>
              </w:rPr>
            </w:pPr>
            <w:r w:rsidRPr="003C22B0">
              <w:rPr>
                <w:sz w:val="20"/>
              </w:rPr>
              <w:t>2. El Instituto podrá convenir, con la Secretaría de Finanzas, de Fiscalización y Rendición de Cuentas, así como con la Fiscalía General del Estado para efectos de la investigación sobre el posible uso de recursos de procedencia ilícita.</w:t>
            </w:r>
          </w:p>
          <w:p w14:paraId="1134B69F" w14:textId="77777777" w:rsidR="003C22B0" w:rsidRDefault="003C22B0" w:rsidP="003C22B0">
            <w:pPr>
              <w:pStyle w:val="TableParagraph"/>
              <w:spacing w:before="147" w:line="244" w:lineRule="exact"/>
              <w:ind w:left="106" w:right="104"/>
              <w:jc w:val="both"/>
              <w:rPr>
                <w:sz w:val="20"/>
              </w:rPr>
            </w:pPr>
            <w:r>
              <w:rPr>
                <w:sz w:val="20"/>
              </w:rPr>
              <w:t>…</w:t>
            </w:r>
          </w:p>
          <w:p w14:paraId="3A43B3E9" w14:textId="77777777" w:rsidR="003C22B0" w:rsidRPr="003C22B0" w:rsidRDefault="003C22B0" w:rsidP="003C22B0">
            <w:pPr>
              <w:pStyle w:val="TableParagraph"/>
              <w:spacing w:before="147" w:line="244" w:lineRule="exact"/>
              <w:ind w:left="106" w:right="104"/>
              <w:jc w:val="both"/>
              <w:rPr>
                <w:sz w:val="20"/>
              </w:rPr>
            </w:pPr>
          </w:p>
          <w:p w14:paraId="5259CCE8" w14:textId="77777777" w:rsidR="003C22B0" w:rsidRPr="003C22B0" w:rsidRDefault="003C22B0" w:rsidP="003C22B0">
            <w:pPr>
              <w:pStyle w:val="TableParagraph"/>
              <w:spacing w:before="147" w:line="244" w:lineRule="exact"/>
              <w:ind w:left="106" w:right="104"/>
              <w:jc w:val="both"/>
              <w:rPr>
                <w:sz w:val="20"/>
              </w:rPr>
            </w:pPr>
            <w:r w:rsidRPr="003C22B0">
              <w:rPr>
                <w:sz w:val="20"/>
              </w:rPr>
              <w:t>Artículo 260.</w:t>
            </w:r>
          </w:p>
          <w:p w14:paraId="5A16C343" w14:textId="77777777" w:rsidR="003C22B0" w:rsidRPr="003C22B0" w:rsidRDefault="003C22B0" w:rsidP="003C22B0">
            <w:pPr>
              <w:pStyle w:val="TableParagraph"/>
              <w:spacing w:before="147" w:line="244" w:lineRule="exact"/>
              <w:ind w:left="106" w:right="104"/>
              <w:jc w:val="both"/>
              <w:rPr>
                <w:sz w:val="20"/>
              </w:rPr>
            </w:pPr>
            <w:r w:rsidRPr="003C22B0">
              <w:rPr>
                <w:sz w:val="20"/>
              </w:rPr>
              <w:t xml:space="preserve"> </w:t>
            </w:r>
          </w:p>
          <w:p w14:paraId="1B791793" w14:textId="364DB928" w:rsidR="003C22B0" w:rsidRDefault="003C22B0" w:rsidP="003C22B0">
            <w:pPr>
              <w:pStyle w:val="TableParagraph"/>
              <w:spacing w:before="147" w:line="244" w:lineRule="exact"/>
              <w:ind w:left="106" w:right="104"/>
              <w:jc w:val="both"/>
              <w:rPr>
                <w:sz w:val="20"/>
              </w:rPr>
            </w:pPr>
            <w:r w:rsidRPr="003C22B0">
              <w:rPr>
                <w:sz w:val="20"/>
              </w:rPr>
              <w:t>1. Constituyen infracciones de los partidos políticos al presente Código:</w:t>
            </w:r>
          </w:p>
          <w:p w14:paraId="414215B8" w14:textId="0D356B92" w:rsidR="003C22B0" w:rsidRDefault="003C22B0" w:rsidP="003C22B0">
            <w:pPr>
              <w:pStyle w:val="TableParagraph"/>
              <w:spacing w:before="147" w:line="244" w:lineRule="exact"/>
              <w:ind w:left="106" w:right="104"/>
              <w:jc w:val="both"/>
              <w:rPr>
                <w:sz w:val="20"/>
              </w:rPr>
            </w:pPr>
            <w:r>
              <w:rPr>
                <w:sz w:val="20"/>
              </w:rPr>
              <w:t>…</w:t>
            </w:r>
          </w:p>
          <w:p w14:paraId="62CA29CE" w14:textId="77777777" w:rsidR="003C22B0" w:rsidRPr="003C22B0" w:rsidRDefault="003C22B0" w:rsidP="003C22B0">
            <w:pPr>
              <w:pStyle w:val="TableParagraph"/>
              <w:spacing w:before="147" w:line="244" w:lineRule="exact"/>
              <w:ind w:left="106" w:right="104"/>
              <w:jc w:val="both"/>
              <w:rPr>
                <w:sz w:val="20"/>
              </w:rPr>
            </w:pPr>
            <w:r w:rsidRPr="003C22B0">
              <w:rPr>
                <w:sz w:val="20"/>
              </w:rPr>
              <w:t>b) El incumplimiento de las resoluciones o acuerdos del Instituto Nacional y del Instituto;</w:t>
            </w:r>
          </w:p>
          <w:p w14:paraId="00B2A2C6" w14:textId="77777777" w:rsidR="003C22B0" w:rsidRPr="003C22B0" w:rsidRDefault="003C22B0" w:rsidP="003C22B0">
            <w:pPr>
              <w:pStyle w:val="TableParagraph"/>
              <w:spacing w:before="147" w:line="244" w:lineRule="exact"/>
              <w:ind w:left="106" w:right="104"/>
              <w:jc w:val="both"/>
              <w:rPr>
                <w:sz w:val="20"/>
              </w:rPr>
            </w:pPr>
          </w:p>
          <w:p w14:paraId="601B3EB9" w14:textId="77777777" w:rsidR="003C22B0" w:rsidRPr="003C22B0" w:rsidRDefault="003C22B0" w:rsidP="003C22B0">
            <w:pPr>
              <w:pStyle w:val="TableParagraph"/>
              <w:spacing w:before="147" w:line="244" w:lineRule="exact"/>
              <w:ind w:left="106" w:right="104"/>
              <w:jc w:val="both"/>
              <w:rPr>
                <w:sz w:val="20"/>
              </w:rPr>
            </w:pPr>
            <w:r w:rsidRPr="003C22B0">
              <w:rPr>
                <w:sz w:val="20"/>
              </w:rPr>
              <w:lastRenderedPageBreak/>
              <w:t>c) El incumplimiento de las obligaciones o incurrir en las conductas prohibidas o exceder los topes que en materia de financiamiento y fiscalización que les impone la Ley General y el presente Código;</w:t>
            </w:r>
          </w:p>
          <w:p w14:paraId="10423346" w14:textId="77777777" w:rsidR="003C22B0" w:rsidRPr="003C22B0" w:rsidRDefault="003C22B0" w:rsidP="003C22B0">
            <w:pPr>
              <w:pStyle w:val="TableParagraph"/>
              <w:spacing w:before="147" w:line="244" w:lineRule="exact"/>
              <w:ind w:left="106" w:right="104"/>
              <w:jc w:val="both"/>
              <w:rPr>
                <w:sz w:val="20"/>
              </w:rPr>
            </w:pPr>
          </w:p>
          <w:p w14:paraId="556C7D68" w14:textId="1828A53E" w:rsidR="003C22B0" w:rsidRDefault="003C22B0" w:rsidP="003C22B0">
            <w:pPr>
              <w:pStyle w:val="TableParagraph"/>
              <w:spacing w:before="147" w:line="244" w:lineRule="exact"/>
              <w:ind w:left="106" w:right="104"/>
              <w:jc w:val="both"/>
              <w:rPr>
                <w:sz w:val="20"/>
              </w:rPr>
            </w:pPr>
            <w:r w:rsidRPr="003C22B0">
              <w:rPr>
                <w:sz w:val="20"/>
              </w:rPr>
              <w:t>d) No presentar los informes trimestrales, anuales, de precampaña o de campaña, o no atender los requerimientos de información de la Unidad de Fiscalización del Instituto Nacional, en los términos y plazos previstos en la Ley General, este Código y sus reglamentos;</w:t>
            </w:r>
          </w:p>
          <w:p w14:paraId="6A580912" w14:textId="7BCE94FE" w:rsidR="003C22B0" w:rsidRDefault="003C22B0" w:rsidP="003C22B0">
            <w:pPr>
              <w:pStyle w:val="TableParagraph"/>
              <w:spacing w:before="147" w:line="244" w:lineRule="exact"/>
              <w:ind w:left="106" w:right="104"/>
              <w:jc w:val="both"/>
              <w:rPr>
                <w:sz w:val="20"/>
              </w:rPr>
            </w:pPr>
            <w:r>
              <w:rPr>
                <w:sz w:val="20"/>
              </w:rPr>
              <w:t>…</w:t>
            </w:r>
          </w:p>
          <w:p w14:paraId="3F36D9A5" w14:textId="36487512" w:rsidR="003C22B0" w:rsidRDefault="003C22B0" w:rsidP="003C22B0">
            <w:pPr>
              <w:pStyle w:val="TableParagraph"/>
              <w:spacing w:before="147" w:line="244" w:lineRule="exact"/>
              <w:ind w:left="106" w:right="104"/>
              <w:jc w:val="both"/>
              <w:rPr>
                <w:sz w:val="20"/>
              </w:rPr>
            </w:pPr>
          </w:p>
          <w:p w14:paraId="7C5E3B9D" w14:textId="77777777" w:rsidR="003C22B0" w:rsidRPr="003C22B0" w:rsidRDefault="003C22B0" w:rsidP="003C22B0">
            <w:pPr>
              <w:pStyle w:val="TableParagraph"/>
              <w:spacing w:before="147" w:line="244" w:lineRule="exact"/>
              <w:ind w:left="106" w:right="104"/>
              <w:jc w:val="both"/>
              <w:rPr>
                <w:sz w:val="20"/>
              </w:rPr>
            </w:pPr>
          </w:p>
          <w:p w14:paraId="4621E1C8" w14:textId="77777777" w:rsidR="003C22B0" w:rsidRPr="003C22B0" w:rsidRDefault="003C22B0" w:rsidP="003C22B0">
            <w:pPr>
              <w:pStyle w:val="TableParagraph"/>
              <w:spacing w:before="147" w:line="244" w:lineRule="exact"/>
              <w:ind w:left="106" w:right="104"/>
              <w:jc w:val="both"/>
              <w:rPr>
                <w:sz w:val="20"/>
              </w:rPr>
            </w:pPr>
            <w:r w:rsidRPr="003C22B0">
              <w:rPr>
                <w:sz w:val="20"/>
              </w:rPr>
              <w:t>Artículo 277.</w:t>
            </w:r>
          </w:p>
          <w:p w14:paraId="1CDF974A" w14:textId="77777777" w:rsidR="003C22B0" w:rsidRPr="003C22B0" w:rsidRDefault="003C22B0" w:rsidP="003C22B0">
            <w:pPr>
              <w:pStyle w:val="TableParagraph"/>
              <w:spacing w:before="147" w:line="244" w:lineRule="exact"/>
              <w:ind w:left="106" w:right="104"/>
              <w:jc w:val="both"/>
              <w:rPr>
                <w:sz w:val="20"/>
              </w:rPr>
            </w:pPr>
            <w:r w:rsidRPr="003C22B0">
              <w:rPr>
                <w:sz w:val="20"/>
              </w:rPr>
              <w:t xml:space="preserve"> </w:t>
            </w:r>
          </w:p>
          <w:p w14:paraId="14BFFD1F" w14:textId="65A8FF37" w:rsidR="003C22B0" w:rsidRDefault="003C22B0" w:rsidP="003C22B0">
            <w:pPr>
              <w:pStyle w:val="TableParagraph"/>
              <w:spacing w:before="147" w:line="244" w:lineRule="exact"/>
              <w:ind w:left="106" w:right="104"/>
              <w:jc w:val="both"/>
              <w:rPr>
                <w:sz w:val="20"/>
              </w:rPr>
            </w:pPr>
            <w:r w:rsidRPr="003C22B0">
              <w:rPr>
                <w:sz w:val="20"/>
              </w:rPr>
              <w:t>1. Para la individualización de las sanciones a que se refiere este Libro, una vez acreditada la existencia de una infracción y su imputación, la autoridad electoral deberá tomar en cuenta las circunstancias en que se produjo la contravención de la norma administrativa, entre otras, las siguientes:</w:t>
            </w:r>
          </w:p>
          <w:p w14:paraId="1F53D62C" w14:textId="028B2E85" w:rsidR="003C22B0" w:rsidRDefault="003C22B0" w:rsidP="003C22B0">
            <w:pPr>
              <w:pStyle w:val="TableParagraph"/>
              <w:spacing w:before="147" w:line="244" w:lineRule="exact"/>
              <w:ind w:left="106" w:right="104"/>
              <w:jc w:val="both"/>
              <w:rPr>
                <w:sz w:val="20"/>
              </w:rPr>
            </w:pPr>
            <w:r>
              <w:rPr>
                <w:sz w:val="20"/>
              </w:rPr>
              <w:t>…</w:t>
            </w:r>
          </w:p>
          <w:p w14:paraId="308463C8" w14:textId="07D9ED69" w:rsidR="003C22B0" w:rsidRDefault="003C22B0" w:rsidP="003C22B0">
            <w:pPr>
              <w:pStyle w:val="TableParagraph"/>
              <w:spacing w:before="147" w:line="244" w:lineRule="exact"/>
              <w:ind w:left="106" w:right="104"/>
              <w:jc w:val="both"/>
              <w:rPr>
                <w:sz w:val="20"/>
              </w:rPr>
            </w:pPr>
            <w:r w:rsidRPr="003C22B0">
              <w:rPr>
                <w:sz w:val="20"/>
              </w:rPr>
              <w:t xml:space="preserve">3. Si la sanción hubiese sido impuesta a los partidos políticos, transcurrido el plazo sin que el pago se hubiere efectuado, el Instituto podrá deducir el monto de la multa de las ministraciones del financiamiento público que corresponda. Tratándose de cualquier otro infractor o si no hubiere posibilidad de descontar el monto de la sanción de futuras ministraciones a los partidos políticos, el importe de la multa será considerado como un crédito fiscal y se dará vista a la autoridad fiscal competente a efecto de que realice el cobro </w:t>
            </w:r>
            <w:proofErr w:type="gramStart"/>
            <w:r w:rsidRPr="003C22B0">
              <w:rPr>
                <w:sz w:val="20"/>
              </w:rPr>
              <w:t>del mismo</w:t>
            </w:r>
            <w:proofErr w:type="gramEnd"/>
            <w:r w:rsidRPr="003C22B0">
              <w:rPr>
                <w:sz w:val="20"/>
              </w:rPr>
              <w:t>, conforme a la legislación aplicable.</w:t>
            </w:r>
          </w:p>
          <w:p w14:paraId="4E757729" w14:textId="7D06ABC8" w:rsidR="003C22B0" w:rsidRDefault="003C22B0" w:rsidP="003C22B0">
            <w:pPr>
              <w:pStyle w:val="TableParagraph"/>
              <w:spacing w:before="147" w:line="244" w:lineRule="exact"/>
              <w:ind w:left="106" w:right="104"/>
              <w:jc w:val="both"/>
              <w:rPr>
                <w:sz w:val="20"/>
              </w:rPr>
            </w:pPr>
            <w:r>
              <w:rPr>
                <w:sz w:val="20"/>
              </w:rPr>
              <w:t>…</w:t>
            </w:r>
          </w:p>
          <w:p w14:paraId="578CA8DB" w14:textId="77777777" w:rsidR="003C22B0" w:rsidRPr="003C22B0" w:rsidRDefault="003C22B0" w:rsidP="003C22B0">
            <w:pPr>
              <w:pStyle w:val="TableParagraph"/>
              <w:spacing w:before="147" w:line="244" w:lineRule="exact"/>
              <w:ind w:left="106" w:right="104"/>
              <w:jc w:val="both"/>
              <w:rPr>
                <w:sz w:val="20"/>
              </w:rPr>
            </w:pPr>
          </w:p>
          <w:p w14:paraId="4A36BB6A" w14:textId="77777777" w:rsidR="003C22B0" w:rsidRPr="003C22B0" w:rsidRDefault="003C22B0" w:rsidP="003C22B0">
            <w:pPr>
              <w:pStyle w:val="TableParagraph"/>
              <w:spacing w:before="147" w:line="244" w:lineRule="exact"/>
              <w:ind w:left="106" w:right="104"/>
              <w:jc w:val="both"/>
              <w:rPr>
                <w:sz w:val="20"/>
              </w:rPr>
            </w:pPr>
            <w:r w:rsidRPr="003C22B0">
              <w:rPr>
                <w:sz w:val="20"/>
              </w:rPr>
              <w:t>DEL PROCEDIMIENTO EN MATERIA DE QUEJAS SOBRE FINANCIAMIENTO Y GASTO DE LOS PARTIDOS</w:t>
            </w:r>
          </w:p>
          <w:p w14:paraId="30C0B3E4" w14:textId="77777777" w:rsidR="003C22B0" w:rsidRPr="003C22B0" w:rsidRDefault="003C22B0" w:rsidP="003C22B0">
            <w:pPr>
              <w:pStyle w:val="TableParagraph"/>
              <w:spacing w:before="147" w:line="244" w:lineRule="exact"/>
              <w:ind w:left="106" w:right="104"/>
              <w:jc w:val="both"/>
              <w:rPr>
                <w:sz w:val="20"/>
              </w:rPr>
            </w:pPr>
          </w:p>
          <w:p w14:paraId="6BC1F842" w14:textId="77777777" w:rsidR="003C22B0" w:rsidRPr="003C22B0" w:rsidRDefault="003C22B0" w:rsidP="003C22B0">
            <w:pPr>
              <w:pStyle w:val="TableParagraph"/>
              <w:spacing w:before="147" w:line="244" w:lineRule="exact"/>
              <w:ind w:left="106" w:right="104"/>
              <w:jc w:val="both"/>
              <w:rPr>
                <w:sz w:val="20"/>
              </w:rPr>
            </w:pPr>
            <w:r w:rsidRPr="003C22B0">
              <w:rPr>
                <w:sz w:val="20"/>
              </w:rPr>
              <w:lastRenderedPageBreak/>
              <w:t>POLÍTICOS</w:t>
            </w:r>
          </w:p>
          <w:p w14:paraId="0B5DF24B" w14:textId="77777777" w:rsidR="003C22B0" w:rsidRPr="003C22B0" w:rsidRDefault="003C22B0" w:rsidP="003C22B0">
            <w:pPr>
              <w:pStyle w:val="TableParagraph"/>
              <w:spacing w:before="147" w:line="244" w:lineRule="exact"/>
              <w:ind w:left="106" w:right="104"/>
              <w:jc w:val="both"/>
              <w:rPr>
                <w:sz w:val="20"/>
              </w:rPr>
            </w:pPr>
          </w:p>
          <w:p w14:paraId="2E24D388" w14:textId="77777777" w:rsidR="003C22B0" w:rsidRPr="003C22B0" w:rsidRDefault="003C22B0" w:rsidP="003C22B0">
            <w:pPr>
              <w:pStyle w:val="TableParagraph"/>
              <w:spacing w:before="147" w:line="244" w:lineRule="exact"/>
              <w:ind w:left="106" w:right="104"/>
              <w:jc w:val="both"/>
              <w:rPr>
                <w:sz w:val="20"/>
              </w:rPr>
            </w:pPr>
            <w:r w:rsidRPr="003C22B0">
              <w:rPr>
                <w:sz w:val="20"/>
              </w:rPr>
              <w:t>Artículo 307.</w:t>
            </w:r>
          </w:p>
          <w:p w14:paraId="55D3C94B" w14:textId="77777777" w:rsidR="003C22B0" w:rsidRPr="003C22B0" w:rsidRDefault="003C22B0" w:rsidP="003C22B0">
            <w:pPr>
              <w:pStyle w:val="TableParagraph"/>
              <w:spacing w:before="147" w:line="244" w:lineRule="exact"/>
              <w:ind w:left="106" w:right="104"/>
              <w:jc w:val="both"/>
              <w:rPr>
                <w:sz w:val="20"/>
              </w:rPr>
            </w:pPr>
            <w:r w:rsidRPr="003C22B0">
              <w:rPr>
                <w:sz w:val="20"/>
              </w:rPr>
              <w:t xml:space="preserve"> </w:t>
            </w:r>
          </w:p>
          <w:p w14:paraId="38DE27A0" w14:textId="77777777" w:rsidR="003C22B0" w:rsidRPr="003C22B0" w:rsidRDefault="003C22B0" w:rsidP="003C22B0">
            <w:pPr>
              <w:pStyle w:val="TableParagraph"/>
              <w:spacing w:before="147" w:line="244" w:lineRule="exact"/>
              <w:ind w:left="106" w:right="104"/>
              <w:jc w:val="both"/>
              <w:rPr>
                <w:sz w:val="20"/>
              </w:rPr>
            </w:pPr>
            <w:r w:rsidRPr="003C22B0">
              <w:rPr>
                <w:sz w:val="20"/>
              </w:rPr>
              <w:t>1. Cuando el Instituto Nacional delegue en el Instituto la facultad de fiscalización, serán órganos competentes para la tramitación y resolución de quejas sobre financiamiento y gasto de los partidos políticos:</w:t>
            </w:r>
          </w:p>
          <w:p w14:paraId="3DA2F5C0" w14:textId="77777777" w:rsidR="003C22B0" w:rsidRPr="003C22B0" w:rsidRDefault="003C22B0" w:rsidP="003C22B0">
            <w:pPr>
              <w:pStyle w:val="TableParagraph"/>
              <w:spacing w:before="147" w:line="244" w:lineRule="exact"/>
              <w:ind w:left="106" w:right="104"/>
              <w:jc w:val="both"/>
              <w:rPr>
                <w:sz w:val="20"/>
              </w:rPr>
            </w:pPr>
          </w:p>
          <w:p w14:paraId="2FBA8B50" w14:textId="77777777" w:rsidR="003C22B0" w:rsidRPr="003C22B0" w:rsidRDefault="003C22B0" w:rsidP="003C22B0">
            <w:pPr>
              <w:pStyle w:val="TableParagraph"/>
              <w:spacing w:before="147" w:line="244" w:lineRule="exact"/>
              <w:ind w:left="106" w:right="104"/>
              <w:jc w:val="both"/>
              <w:rPr>
                <w:sz w:val="20"/>
              </w:rPr>
            </w:pPr>
            <w:r w:rsidRPr="003C22B0">
              <w:rPr>
                <w:sz w:val="20"/>
              </w:rPr>
              <w:t>a) El Consejo General, y</w:t>
            </w:r>
          </w:p>
          <w:p w14:paraId="227F3742" w14:textId="77777777" w:rsidR="003C22B0" w:rsidRPr="003C22B0" w:rsidRDefault="003C22B0" w:rsidP="003C22B0">
            <w:pPr>
              <w:pStyle w:val="TableParagraph"/>
              <w:spacing w:before="147" w:line="244" w:lineRule="exact"/>
              <w:ind w:left="106" w:right="104"/>
              <w:jc w:val="both"/>
              <w:rPr>
                <w:sz w:val="20"/>
              </w:rPr>
            </w:pPr>
          </w:p>
          <w:p w14:paraId="0577A57D" w14:textId="77777777" w:rsidR="003C22B0" w:rsidRPr="003C22B0" w:rsidRDefault="003C22B0" w:rsidP="003C22B0">
            <w:pPr>
              <w:pStyle w:val="TableParagraph"/>
              <w:spacing w:before="147" w:line="244" w:lineRule="exact"/>
              <w:ind w:left="106" w:right="104"/>
              <w:jc w:val="both"/>
              <w:rPr>
                <w:sz w:val="20"/>
              </w:rPr>
            </w:pPr>
            <w:r w:rsidRPr="003C22B0">
              <w:rPr>
                <w:sz w:val="20"/>
              </w:rPr>
              <w:t>b) La Unidad de Fiscalización.</w:t>
            </w:r>
          </w:p>
          <w:p w14:paraId="5A145CF6" w14:textId="77777777" w:rsidR="003C22B0" w:rsidRPr="003C22B0" w:rsidRDefault="003C22B0" w:rsidP="003C22B0">
            <w:pPr>
              <w:pStyle w:val="TableParagraph"/>
              <w:spacing w:before="147" w:line="244" w:lineRule="exact"/>
              <w:ind w:left="106" w:right="104"/>
              <w:jc w:val="both"/>
              <w:rPr>
                <w:sz w:val="20"/>
              </w:rPr>
            </w:pPr>
          </w:p>
          <w:p w14:paraId="03F9105F" w14:textId="47414B5E" w:rsidR="003C22B0" w:rsidRDefault="003C22B0" w:rsidP="003C22B0">
            <w:pPr>
              <w:pStyle w:val="TableParagraph"/>
              <w:spacing w:before="147" w:line="244" w:lineRule="exact"/>
              <w:ind w:left="106" w:right="104"/>
              <w:jc w:val="both"/>
              <w:rPr>
                <w:sz w:val="20"/>
              </w:rPr>
            </w:pPr>
            <w:r w:rsidRPr="003C22B0">
              <w:rPr>
                <w:sz w:val="20"/>
              </w:rPr>
              <w:t>2. En todo caso, para la tramitación y resolución de quejas a que se refiere el presente Título, la Unidad de Fiscalización y los demás órganos del Instituto deberán aplicar, en lo conducente, las normas de la Ley General, así como los reglamentos, acuerdos y demás disposiciones que en esta materia expida el Instituto Nacional.</w:t>
            </w:r>
          </w:p>
          <w:p w14:paraId="2EF53B21" w14:textId="10EA1CA2" w:rsidR="003C22B0" w:rsidRDefault="003C22B0" w:rsidP="003C22B0">
            <w:pPr>
              <w:pStyle w:val="TableParagraph"/>
              <w:spacing w:before="147" w:line="244" w:lineRule="exact"/>
              <w:ind w:left="106" w:right="104"/>
              <w:jc w:val="both"/>
              <w:rPr>
                <w:sz w:val="20"/>
              </w:rPr>
            </w:pPr>
          </w:p>
          <w:p w14:paraId="00593CCF" w14:textId="3629ABEC" w:rsidR="003C22B0" w:rsidRDefault="003C22B0" w:rsidP="003C22B0">
            <w:pPr>
              <w:pStyle w:val="TableParagraph"/>
              <w:spacing w:before="147" w:line="244" w:lineRule="exact"/>
              <w:ind w:left="106" w:right="104"/>
              <w:jc w:val="both"/>
              <w:rPr>
                <w:sz w:val="20"/>
              </w:rPr>
            </w:pPr>
            <w:r>
              <w:rPr>
                <w:sz w:val="20"/>
              </w:rPr>
              <w:t>…</w:t>
            </w:r>
          </w:p>
          <w:p w14:paraId="40C9884E" w14:textId="77777777" w:rsidR="003C22B0" w:rsidRPr="003C22B0" w:rsidRDefault="003C22B0" w:rsidP="003C22B0">
            <w:pPr>
              <w:pStyle w:val="TableParagraph"/>
              <w:spacing w:before="147" w:line="244" w:lineRule="exact"/>
              <w:ind w:left="106" w:right="104"/>
              <w:jc w:val="both"/>
              <w:rPr>
                <w:sz w:val="20"/>
              </w:rPr>
            </w:pPr>
          </w:p>
          <w:p w14:paraId="0E7F0237" w14:textId="77777777" w:rsidR="003C22B0" w:rsidRPr="003C22B0" w:rsidRDefault="003C22B0" w:rsidP="003C22B0">
            <w:pPr>
              <w:pStyle w:val="TableParagraph"/>
              <w:spacing w:before="147" w:line="244" w:lineRule="exact"/>
              <w:ind w:left="106" w:right="104"/>
              <w:jc w:val="both"/>
              <w:rPr>
                <w:sz w:val="20"/>
              </w:rPr>
            </w:pPr>
            <w:r w:rsidRPr="003C22B0">
              <w:rPr>
                <w:sz w:val="20"/>
              </w:rPr>
              <w:t>Artículo 324.</w:t>
            </w:r>
          </w:p>
          <w:p w14:paraId="39849E58" w14:textId="77777777" w:rsidR="003C22B0" w:rsidRPr="003C22B0" w:rsidRDefault="003C22B0" w:rsidP="003C22B0">
            <w:pPr>
              <w:pStyle w:val="TableParagraph"/>
              <w:spacing w:before="147" w:line="244" w:lineRule="exact"/>
              <w:ind w:left="106" w:right="104"/>
              <w:jc w:val="both"/>
              <w:rPr>
                <w:sz w:val="20"/>
              </w:rPr>
            </w:pPr>
            <w:r w:rsidRPr="003C22B0">
              <w:rPr>
                <w:sz w:val="20"/>
              </w:rPr>
              <w:t xml:space="preserve"> </w:t>
            </w:r>
          </w:p>
          <w:p w14:paraId="2FBB6FCF" w14:textId="77777777" w:rsidR="003C22B0" w:rsidRPr="003C22B0" w:rsidRDefault="003C22B0" w:rsidP="003C22B0">
            <w:pPr>
              <w:pStyle w:val="TableParagraph"/>
              <w:spacing w:before="147" w:line="244" w:lineRule="exact"/>
              <w:ind w:left="106" w:right="104"/>
              <w:jc w:val="both"/>
              <w:rPr>
                <w:sz w:val="20"/>
              </w:rPr>
            </w:pPr>
            <w:r w:rsidRPr="003C22B0">
              <w:rPr>
                <w:sz w:val="20"/>
              </w:rPr>
              <w:t>1. El Instituto administrará su patrimonio conforme a las bases siguientes:</w:t>
            </w:r>
          </w:p>
          <w:p w14:paraId="44BD29DF" w14:textId="77777777" w:rsidR="003C22B0" w:rsidRPr="003C22B0" w:rsidRDefault="003C22B0" w:rsidP="003C22B0">
            <w:pPr>
              <w:pStyle w:val="TableParagraph"/>
              <w:spacing w:before="147" w:line="244" w:lineRule="exact"/>
              <w:ind w:left="106" w:right="104"/>
              <w:jc w:val="both"/>
              <w:rPr>
                <w:sz w:val="20"/>
              </w:rPr>
            </w:pPr>
          </w:p>
          <w:p w14:paraId="27FC2967" w14:textId="77777777" w:rsidR="003C22B0" w:rsidRPr="003C22B0" w:rsidRDefault="003C22B0" w:rsidP="003C22B0">
            <w:pPr>
              <w:pStyle w:val="TableParagraph"/>
              <w:spacing w:before="147" w:line="244" w:lineRule="exact"/>
              <w:ind w:left="106" w:right="104"/>
              <w:jc w:val="both"/>
              <w:rPr>
                <w:sz w:val="20"/>
              </w:rPr>
            </w:pPr>
            <w:r w:rsidRPr="003C22B0">
              <w:rPr>
                <w:sz w:val="20"/>
              </w:rPr>
              <w:t>a) Los recursos que integran el patrimonio serán ejercidos en forma directa por los órganos del Instituto; o bien, por quien ellos autoricen, conforme a la ley y su reglamento.</w:t>
            </w:r>
          </w:p>
          <w:p w14:paraId="0FCD22A5" w14:textId="77777777" w:rsidR="003C22B0" w:rsidRPr="003C22B0" w:rsidRDefault="003C22B0" w:rsidP="003C22B0">
            <w:pPr>
              <w:pStyle w:val="TableParagraph"/>
              <w:spacing w:before="147" w:line="244" w:lineRule="exact"/>
              <w:ind w:left="106" w:right="104"/>
              <w:jc w:val="both"/>
              <w:rPr>
                <w:sz w:val="20"/>
              </w:rPr>
            </w:pPr>
          </w:p>
          <w:p w14:paraId="4BB6DFB2" w14:textId="77777777" w:rsidR="003C22B0" w:rsidRPr="003C22B0" w:rsidRDefault="003C22B0" w:rsidP="003C22B0">
            <w:pPr>
              <w:pStyle w:val="TableParagraph"/>
              <w:spacing w:before="147" w:line="244" w:lineRule="exact"/>
              <w:ind w:left="106" w:right="104"/>
              <w:jc w:val="both"/>
              <w:rPr>
                <w:sz w:val="20"/>
              </w:rPr>
            </w:pPr>
            <w:r w:rsidRPr="003C22B0">
              <w:rPr>
                <w:sz w:val="20"/>
              </w:rPr>
              <w:lastRenderedPageBreak/>
              <w:t>b) El Congreso del Estado, por conducto de la Auditoria Superior del Estado, revisará y fiscalizará la cuenta pública del Instituto, en los términos de las disposiciones aplicables.</w:t>
            </w:r>
          </w:p>
          <w:p w14:paraId="41B07BA4" w14:textId="77777777" w:rsidR="003C22B0" w:rsidRPr="003C22B0" w:rsidRDefault="003C22B0" w:rsidP="003C22B0">
            <w:pPr>
              <w:pStyle w:val="TableParagraph"/>
              <w:spacing w:before="147" w:line="244" w:lineRule="exact"/>
              <w:ind w:left="106" w:right="104"/>
              <w:jc w:val="both"/>
              <w:rPr>
                <w:sz w:val="20"/>
              </w:rPr>
            </w:pPr>
          </w:p>
          <w:p w14:paraId="2A842376" w14:textId="77777777" w:rsidR="003C22B0" w:rsidRPr="003C22B0" w:rsidRDefault="003C22B0" w:rsidP="003C22B0">
            <w:pPr>
              <w:pStyle w:val="TableParagraph"/>
              <w:spacing w:before="147" w:line="244" w:lineRule="exact"/>
              <w:ind w:left="106" w:right="104"/>
              <w:jc w:val="both"/>
              <w:rPr>
                <w:sz w:val="20"/>
              </w:rPr>
            </w:pPr>
            <w:r w:rsidRPr="003C22B0">
              <w:rPr>
                <w:sz w:val="20"/>
              </w:rPr>
              <w:t>c) El ejercicio presupuestal del Instituto deberá ajustarse a los principios de honestidad, legalidad, optimización de recursos, racionalidad e interés público y social.</w:t>
            </w:r>
          </w:p>
          <w:p w14:paraId="2A513A63" w14:textId="77777777" w:rsidR="003C22B0" w:rsidRPr="003C22B0" w:rsidRDefault="003C22B0" w:rsidP="003C22B0">
            <w:pPr>
              <w:pStyle w:val="TableParagraph"/>
              <w:spacing w:before="147" w:line="244" w:lineRule="exact"/>
              <w:ind w:left="106" w:right="104"/>
              <w:jc w:val="both"/>
              <w:rPr>
                <w:sz w:val="20"/>
              </w:rPr>
            </w:pPr>
          </w:p>
          <w:p w14:paraId="0939BD9D" w14:textId="77777777" w:rsidR="003C22B0" w:rsidRPr="003C22B0" w:rsidRDefault="003C22B0" w:rsidP="003C22B0">
            <w:pPr>
              <w:pStyle w:val="TableParagraph"/>
              <w:spacing w:before="147" w:line="244" w:lineRule="exact"/>
              <w:ind w:left="106" w:right="104"/>
              <w:jc w:val="both"/>
              <w:rPr>
                <w:sz w:val="20"/>
              </w:rPr>
            </w:pPr>
            <w:r w:rsidRPr="003C22B0">
              <w:rPr>
                <w:sz w:val="20"/>
              </w:rPr>
              <w:t>d) El Instituto manejará bajo los principios de eficacia, economía, transparencia y honradez su patrimonio conforme a la ley. En todo caso, el Instituto requerirá el acuerdo de cuando menos cinco de los miembros de su Consejo General, para dictar resoluciones que afecten el patrimonio inmobiliario o para celebrar actos o convenios que comprometan al Instituto por un plazo mayor al período de su encargo. El convenio siempre será por un tiempo determinado y con un objeto preciso.</w:t>
            </w:r>
          </w:p>
          <w:p w14:paraId="072BD4C1" w14:textId="77777777" w:rsidR="003C22B0" w:rsidRPr="003C22B0" w:rsidRDefault="003C22B0" w:rsidP="003C22B0">
            <w:pPr>
              <w:pStyle w:val="TableParagraph"/>
              <w:spacing w:before="147" w:line="244" w:lineRule="exact"/>
              <w:ind w:left="106" w:right="104"/>
              <w:jc w:val="both"/>
              <w:rPr>
                <w:sz w:val="20"/>
              </w:rPr>
            </w:pPr>
          </w:p>
          <w:p w14:paraId="77B54171" w14:textId="4FCF6945" w:rsidR="003C22B0" w:rsidRDefault="003C22B0" w:rsidP="003C22B0">
            <w:pPr>
              <w:pStyle w:val="TableParagraph"/>
              <w:spacing w:before="147" w:line="244" w:lineRule="exact"/>
              <w:ind w:left="106" w:right="104"/>
              <w:jc w:val="both"/>
              <w:rPr>
                <w:sz w:val="20"/>
              </w:rPr>
            </w:pPr>
            <w:r w:rsidRPr="003C22B0">
              <w:rPr>
                <w:sz w:val="20"/>
              </w:rPr>
              <w:t>e) En todo lo relativo a la administración, control y fiscalización de su patrimonio, el Instituto deberá observar las disposiciones aplicables a los órganos del gobierno del estado, según la materia de que se trate.</w:t>
            </w:r>
          </w:p>
          <w:p w14:paraId="63064D36" w14:textId="395EDA23" w:rsidR="003C22B0" w:rsidRDefault="003C22B0" w:rsidP="003C22B0">
            <w:pPr>
              <w:pStyle w:val="TableParagraph"/>
              <w:spacing w:before="147" w:line="244" w:lineRule="exact"/>
              <w:ind w:left="106" w:right="104"/>
              <w:jc w:val="both"/>
              <w:rPr>
                <w:sz w:val="20"/>
              </w:rPr>
            </w:pPr>
            <w:r>
              <w:rPr>
                <w:sz w:val="20"/>
              </w:rPr>
              <w:t>…</w:t>
            </w:r>
          </w:p>
          <w:p w14:paraId="75826DD2" w14:textId="77777777" w:rsidR="003C22B0" w:rsidRPr="003C22B0" w:rsidRDefault="003C22B0" w:rsidP="003C22B0">
            <w:pPr>
              <w:pStyle w:val="TableParagraph"/>
              <w:spacing w:before="147" w:line="244" w:lineRule="exact"/>
              <w:ind w:left="106" w:right="104"/>
              <w:jc w:val="both"/>
              <w:rPr>
                <w:sz w:val="20"/>
              </w:rPr>
            </w:pPr>
          </w:p>
          <w:p w14:paraId="27BBF612" w14:textId="77777777" w:rsidR="003C22B0" w:rsidRPr="003C22B0" w:rsidRDefault="003C22B0" w:rsidP="003C22B0">
            <w:pPr>
              <w:pStyle w:val="TableParagraph"/>
              <w:spacing w:before="147" w:line="244" w:lineRule="exact"/>
              <w:ind w:left="106" w:right="104"/>
              <w:jc w:val="both"/>
              <w:rPr>
                <w:sz w:val="20"/>
              </w:rPr>
            </w:pPr>
            <w:r w:rsidRPr="003C22B0">
              <w:rPr>
                <w:sz w:val="20"/>
              </w:rPr>
              <w:t>Artículo 344.</w:t>
            </w:r>
          </w:p>
          <w:p w14:paraId="70DBCFDA" w14:textId="77777777" w:rsidR="003C22B0" w:rsidRPr="003C22B0" w:rsidRDefault="003C22B0" w:rsidP="003C22B0">
            <w:pPr>
              <w:pStyle w:val="TableParagraph"/>
              <w:spacing w:before="147" w:line="244" w:lineRule="exact"/>
              <w:ind w:left="106" w:right="104"/>
              <w:jc w:val="both"/>
              <w:rPr>
                <w:sz w:val="20"/>
              </w:rPr>
            </w:pPr>
            <w:r w:rsidRPr="003C22B0">
              <w:rPr>
                <w:sz w:val="20"/>
              </w:rPr>
              <w:t xml:space="preserve"> </w:t>
            </w:r>
          </w:p>
          <w:p w14:paraId="06E3361A" w14:textId="2961DE44" w:rsidR="003C22B0" w:rsidRDefault="003C22B0" w:rsidP="003C22B0">
            <w:pPr>
              <w:pStyle w:val="TableParagraph"/>
              <w:numPr>
                <w:ilvl w:val="0"/>
                <w:numId w:val="4"/>
              </w:numPr>
              <w:spacing w:before="147" w:line="244" w:lineRule="exact"/>
              <w:ind w:right="104"/>
              <w:jc w:val="both"/>
              <w:rPr>
                <w:sz w:val="20"/>
              </w:rPr>
            </w:pPr>
            <w:r w:rsidRPr="003C22B0">
              <w:rPr>
                <w:sz w:val="20"/>
              </w:rPr>
              <w:t>El Consejo General tendrá las atribuciones siguientes:</w:t>
            </w:r>
          </w:p>
          <w:p w14:paraId="0400AFB8" w14:textId="69E850DC" w:rsidR="003C22B0" w:rsidRDefault="003C22B0" w:rsidP="003C22B0">
            <w:pPr>
              <w:pStyle w:val="TableParagraph"/>
              <w:spacing w:before="147" w:line="244" w:lineRule="exact"/>
              <w:ind w:left="106" w:right="104"/>
              <w:jc w:val="both"/>
              <w:rPr>
                <w:sz w:val="20"/>
              </w:rPr>
            </w:pPr>
            <w:r>
              <w:rPr>
                <w:sz w:val="20"/>
              </w:rPr>
              <w:t>…</w:t>
            </w:r>
          </w:p>
          <w:p w14:paraId="59CFC919" w14:textId="77777777" w:rsidR="003C22B0" w:rsidRPr="003C22B0" w:rsidRDefault="003C22B0" w:rsidP="003C22B0">
            <w:pPr>
              <w:pStyle w:val="TableParagraph"/>
              <w:spacing w:before="147" w:line="244" w:lineRule="exact"/>
              <w:ind w:left="106" w:right="104"/>
              <w:jc w:val="both"/>
              <w:rPr>
                <w:sz w:val="20"/>
              </w:rPr>
            </w:pPr>
          </w:p>
          <w:p w14:paraId="1362BA06" w14:textId="77777777" w:rsidR="003C22B0" w:rsidRPr="003C22B0" w:rsidRDefault="003C22B0" w:rsidP="003C22B0">
            <w:pPr>
              <w:pStyle w:val="TableParagraph"/>
              <w:spacing w:before="147" w:line="244" w:lineRule="exact"/>
              <w:ind w:left="106" w:right="104"/>
              <w:jc w:val="both"/>
              <w:rPr>
                <w:sz w:val="20"/>
              </w:rPr>
            </w:pPr>
            <w:r w:rsidRPr="003C22B0">
              <w:rPr>
                <w:sz w:val="20"/>
              </w:rPr>
              <w:t>Artículo 344.</w:t>
            </w:r>
          </w:p>
          <w:p w14:paraId="4D8727E9" w14:textId="77777777" w:rsidR="003C22B0" w:rsidRPr="003C22B0" w:rsidRDefault="003C22B0" w:rsidP="003C22B0">
            <w:pPr>
              <w:pStyle w:val="TableParagraph"/>
              <w:spacing w:before="147" w:line="244" w:lineRule="exact"/>
              <w:ind w:left="106" w:right="104"/>
              <w:jc w:val="both"/>
              <w:rPr>
                <w:sz w:val="20"/>
              </w:rPr>
            </w:pPr>
            <w:r w:rsidRPr="003C22B0">
              <w:rPr>
                <w:sz w:val="20"/>
              </w:rPr>
              <w:t xml:space="preserve"> </w:t>
            </w:r>
          </w:p>
          <w:p w14:paraId="1072E955" w14:textId="5512E42B" w:rsidR="003C22B0" w:rsidRDefault="003C22B0" w:rsidP="003C22B0">
            <w:pPr>
              <w:pStyle w:val="TableParagraph"/>
              <w:spacing w:before="147" w:line="244" w:lineRule="exact"/>
              <w:ind w:left="106" w:right="104"/>
              <w:jc w:val="both"/>
              <w:rPr>
                <w:sz w:val="20"/>
              </w:rPr>
            </w:pPr>
            <w:r w:rsidRPr="003C22B0">
              <w:rPr>
                <w:sz w:val="20"/>
              </w:rPr>
              <w:t>1. El Consejo General tendrá las atribuciones siguientes:</w:t>
            </w:r>
          </w:p>
          <w:p w14:paraId="291C9170" w14:textId="7F6FD407" w:rsidR="003C22B0" w:rsidRDefault="003C22B0" w:rsidP="003C22B0">
            <w:pPr>
              <w:pStyle w:val="TableParagraph"/>
              <w:spacing w:before="147" w:line="244" w:lineRule="exact"/>
              <w:ind w:left="106" w:right="104"/>
              <w:jc w:val="both"/>
              <w:rPr>
                <w:sz w:val="20"/>
              </w:rPr>
            </w:pPr>
            <w:r>
              <w:rPr>
                <w:sz w:val="20"/>
              </w:rPr>
              <w:t>…</w:t>
            </w:r>
          </w:p>
          <w:p w14:paraId="3775847D" w14:textId="77777777" w:rsidR="003C22B0" w:rsidRPr="003C22B0" w:rsidRDefault="003C22B0" w:rsidP="003C22B0">
            <w:pPr>
              <w:pStyle w:val="TableParagraph"/>
              <w:spacing w:before="147" w:line="244" w:lineRule="exact"/>
              <w:ind w:left="106" w:right="104"/>
              <w:jc w:val="both"/>
              <w:rPr>
                <w:sz w:val="20"/>
              </w:rPr>
            </w:pPr>
          </w:p>
          <w:p w14:paraId="32689012" w14:textId="77777777" w:rsidR="003C22B0" w:rsidRPr="003C22B0" w:rsidRDefault="003C22B0" w:rsidP="003C22B0">
            <w:pPr>
              <w:pStyle w:val="TableParagraph"/>
              <w:spacing w:before="147" w:line="244" w:lineRule="exact"/>
              <w:ind w:left="106" w:right="104"/>
              <w:jc w:val="both"/>
              <w:rPr>
                <w:sz w:val="20"/>
              </w:rPr>
            </w:pPr>
            <w:r w:rsidRPr="003C22B0">
              <w:rPr>
                <w:sz w:val="20"/>
              </w:rPr>
              <w:t>Artículo 365.</w:t>
            </w:r>
          </w:p>
          <w:p w14:paraId="706BC227" w14:textId="77777777" w:rsidR="003C22B0" w:rsidRPr="003C22B0" w:rsidRDefault="003C22B0" w:rsidP="003C22B0">
            <w:pPr>
              <w:pStyle w:val="TableParagraph"/>
              <w:spacing w:before="147" w:line="244" w:lineRule="exact"/>
              <w:ind w:left="106" w:right="104"/>
              <w:jc w:val="both"/>
              <w:rPr>
                <w:sz w:val="20"/>
              </w:rPr>
            </w:pPr>
            <w:r w:rsidRPr="003C22B0">
              <w:rPr>
                <w:sz w:val="20"/>
              </w:rPr>
              <w:t xml:space="preserve"> </w:t>
            </w:r>
          </w:p>
          <w:p w14:paraId="7104342C" w14:textId="77777777" w:rsidR="003C22B0" w:rsidRPr="003C22B0" w:rsidRDefault="003C22B0" w:rsidP="003C22B0">
            <w:pPr>
              <w:pStyle w:val="TableParagraph"/>
              <w:spacing w:before="147" w:line="244" w:lineRule="exact"/>
              <w:ind w:left="106" w:right="104"/>
              <w:jc w:val="both"/>
              <w:rPr>
                <w:sz w:val="20"/>
              </w:rPr>
            </w:pPr>
            <w:r w:rsidRPr="003C22B0">
              <w:rPr>
                <w:sz w:val="20"/>
              </w:rPr>
              <w:t>1. La Junta General Ejecutiva del Instituto se integrará con el Secretario Ejecutivo, quien la presidirá y los titulares de las Direcciones Ejecutivas. El titular de la Unidad de Fiscalización y el Contralor Interno podrán participar, a convocatoria del Secretario Ejecutivo, en las sesiones de la Junta General Ejecutiva.</w:t>
            </w:r>
          </w:p>
          <w:p w14:paraId="49526C4D" w14:textId="77777777" w:rsidR="003C22B0" w:rsidRPr="003C22B0" w:rsidRDefault="003C22B0" w:rsidP="003C22B0">
            <w:pPr>
              <w:pStyle w:val="TableParagraph"/>
              <w:spacing w:before="147" w:line="244" w:lineRule="exact"/>
              <w:ind w:left="106" w:right="104"/>
              <w:jc w:val="both"/>
              <w:rPr>
                <w:sz w:val="20"/>
              </w:rPr>
            </w:pPr>
          </w:p>
          <w:p w14:paraId="00261731" w14:textId="50C2B79A" w:rsidR="003C22B0" w:rsidRDefault="003C22B0" w:rsidP="003C22B0">
            <w:pPr>
              <w:pStyle w:val="TableParagraph"/>
              <w:numPr>
                <w:ilvl w:val="0"/>
                <w:numId w:val="4"/>
              </w:numPr>
              <w:spacing w:before="147" w:line="244" w:lineRule="exact"/>
              <w:ind w:right="104"/>
              <w:jc w:val="both"/>
              <w:rPr>
                <w:sz w:val="20"/>
              </w:rPr>
            </w:pPr>
            <w:r w:rsidRPr="003C22B0">
              <w:rPr>
                <w:sz w:val="20"/>
              </w:rPr>
              <w:t>La Junta General Ejecutiva se reunirá por lo menos una vez al mes y sus sesiones se desarrollarán en lo conducente, en los términos previstos para el Consejo General.</w:t>
            </w:r>
          </w:p>
          <w:p w14:paraId="04732798" w14:textId="590A706D" w:rsidR="003C22B0" w:rsidRDefault="003C22B0" w:rsidP="003C22B0">
            <w:pPr>
              <w:pStyle w:val="TableParagraph"/>
              <w:spacing w:before="147" w:line="244" w:lineRule="exact"/>
              <w:ind w:left="466" w:right="104"/>
              <w:jc w:val="both"/>
              <w:rPr>
                <w:sz w:val="20"/>
              </w:rPr>
            </w:pPr>
          </w:p>
          <w:p w14:paraId="0087EB81" w14:textId="57CDB204" w:rsidR="003C22B0" w:rsidRDefault="003C22B0" w:rsidP="003C22B0">
            <w:pPr>
              <w:pStyle w:val="TableParagraph"/>
              <w:spacing w:before="147" w:line="244" w:lineRule="exact"/>
              <w:ind w:right="104"/>
              <w:jc w:val="both"/>
              <w:rPr>
                <w:sz w:val="20"/>
              </w:rPr>
            </w:pPr>
            <w:r>
              <w:rPr>
                <w:sz w:val="20"/>
              </w:rPr>
              <w:t>…</w:t>
            </w:r>
          </w:p>
          <w:p w14:paraId="6C7A1357" w14:textId="77777777" w:rsidR="003C22B0" w:rsidRPr="003C22B0" w:rsidRDefault="003C22B0" w:rsidP="003C22B0">
            <w:pPr>
              <w:pStyle w:val="TableParagraph"/>
              <w:spacing w:before="147" w:line="244" w:lineRule="exact"/>
              <w:ind w:right="104"/>
              <w:jc w:val="both"/>
              <w:rPr>
                <w:sz w:val="20"/>
              </w:rPr>
            </w:pPr>
          </w:p>
          <w:p w14:paraId="2244DA42" w14:textId="77777777" w:rsidR="003C22B0" w:rsidRPr="003C22B0" w:rsidRDefault="003C22B0" w:rsidP="003C22B0">
            <w:pPr>
              <w:pStyle w:val="TableParagraph"/>
              <w:spacing w:before="147" w:line="244" w:lineRule="exact"/>
              <w:ind w:right="104"/>
              <w:jc w:val="both"/>
              <w:rPr>
                <w:sz w:val="20"/>
              </w:rPr>
            </w:pPr>
            <w:r w:rsidRPr="003C22B0">
              <w:rPr>
                <w:sz w:val="20"/>
              </w:rPr>
              <w:t>DE LOS ÓRGANOS DE VIGILANCIA</w:t>
            </w:r>
          </w:p>
          <w:p w14:paraId="4675CDF3" w14:textId="77777777" w:rsidR="003C22B0" w:rsidRPr="003C22B0" w:rsidRDefault="003C22B0" w:rsidP="003C22B0">
            <w:pPr>
              <w:pStyle w:val="TableParagraph"/>
              <w:spacing w:before="147" w:line="244" w:lineRule="exact"/>
              <w:ind w:right="104"/>
              <w:jc w:val="both"/>
              <w:rPr>
                <w:sz w:val="20"/>
              </w:rPr>
            </w:pPr>
          </w:p>
          <w:p w14:paraId="306AB10E" w14:textId="77777777" w:rsidR="003C22B0" w:rsidRPr="003C22B0" w:rsidRDefault="003C22B0" w:rsidP="003C22B0">
            <w:pPr>
              <w:pStyle w:val="TableParagraph"/>
              <w:spacing w:before="147" w:line="244" w:lineRule="exact"/>
              <w:ind w:right="104"/>
              <w:jc w:val="both"/>
              <w:rPr>
                <w:sz w:val="20"/>
              </w:rPr>
            </w:pPr>
            <w:r w:rsidRPr="003C22B0">
              <w:rPr>
                <w:sz w:val="20"/>
              </w:rPr>
              <w:t>Artículo 394.</w:t>
            </w:r>
          </w:p>
          <w:p w14:paraId="08172E65" w14:textId="77777777" w:rsidR="003C22B0" w:rsidRPr="003C22B0" w:rsidRDefault="003C22B0" w:rsidP="003C22B0">
            <w:pPr>
              <w:pStyle w:val="TableParagraph"/>
              <w:spacing w:before="147" w:line="244" w:lineRule="exact"/>
              <w:ind w:right="104"/>
              <w:jc w:val="both"/>
              <w:rPr>
                <w:sz w:val="20"/>
              </w:rPr>
            </w:pPr>
            <w:r w:rsidRPr="003C22B0">
              <w:rPr>
                <w:sz w:val="20"/>
              </w:rPr>
              <w:t xml:space="preserve"> </w:t>
            </w:r>
          </w:p>
          <w:p w14:paraId="7C5B9707" w14:textId="77777777" w:rsidR="003C22B0" w:rsidRPr="003C22B0" w:rsidRDefault="003C22B0" w:rsidP="003C22B0">
            <w:pPr>
              <w:pStyle w:val="TableParagraph"/>
              <w:spacing w:before="147" w:line="244" w:lineRule="exact"/>
              <w:ind w:right="104"/>
              <w:jc w:val="both"/>
              <w:rPr>
                <w:sz w:val="20"/>
              </w:rPr>
            </w:pPr>
            <w:r w:rsidRPr="003C22B0">
              <w:rPr>
                <w:sz w:val="20"/>
              </w:rPr>
              <w:t>(Reformado mediante el Decreto Núm. 741, publicado el 1 de octubre de 2020)</w:t>
            </w:r>
          </w:p>
          <w:p w14:paraId="60BDEC8A" w14:textId="77777777" w:rsidR="003C22B0" w:rsidRPr="003C22B0" w:rsidRDefault="003C22B0" w:rsidP="003C22B0">
            <w:pPr>
              <w:pStyle w:val="TableParagraph"/>
              <w:spacing w:before="147" w:line="244" w:lineRule="exact"/>
              <w:ind w:right="104"/>
              <w:jc w:val="both"/>
              <w:rPr>
                <w:sz w:val="20"/>
              </w:rPr>
            </w:pPr>
            <w:r w:rsidRPr="003C22B0">
              <w:rPr>
                <w:sz w:val="20"/>
              </w:rPr>
              <w:t xml:space="preserve"> </w:t>
            </w:r>
          </w:p>
          <w:p w14:paraId="712853DB" w14:textId="77777777" w:rsidR="003C22B0" w:rsidRPr="003C22B0" w:rsidRDefault="003C22B0" w:rsidP="003C22B0">
            <w:pPr>
              <w:pStyle w:val="TableParagraph"/>
              <w:spacing w:before="147" w:line="244" w:lineRule="exact"/>
              <w:ind w:right="104"/>
              <w:jc w:val="both"/>
              <w:rPr>
                <w:sz w:val="20"/>
              </w:rPr>
            </w:pPr>
            <w:r w:rsidRPr="003C22B0">
              <w:rPr>
                <w:sz w:val="20"/>
              </w:rPr>
              <w:t>1. El Instituto, para su vigilancia, contará con una Contraloría interna, que gozará de autonomía técnica y de gestión, su titular durará en su encargo seis años con la posibilidad de ser ratificado por otro periodo igual; estará adscrito administrativamente al Consejo General, y mantendrá la coordinación técnica con la Auditoría Superior del Estado de Coahuila.</w:t>
            </w:r>
          </w:p>
          <w:p w14:paraId="3325DDB7" w14:textId="77777777" w:rsidR="003C22B0" w:rsidRPr="003C22B0" w:rsidRDefault="003C22B0" w:rsidP="003C22B0">
            <w:pPr>
              <w:pStyle w:val="TableParagraph"/>
              <w:spacing w:before="147" w:line="244" w:lineRule="exact"/>
              <w:ind w:right="104"/>
              <w:jc w:val="both"/>
              <w:rPr>
                <w:sz w:val="20"/>
              </w:rPr>
            </w:pPr>
          </w:p>
          <w:p w14:paraId="4EB77159" w14:textId="77777777" w:rsidR="003C22B0" w:rsidRPr="003C22B0" w:rsidRDefault="003C22B0" w:rsidP="003C22B0">
            <w:pPr>
              <w:pStyle w:val="TableParagraph"/>
              <w:spacing w:before="147" w:line="244" w:lineRule="exact"/>
              <w:ind w:right="104"/>
              <w:jc w:val="both"/>
              <w:rPr>
                <w:sz w:val="20"/>
              </w:rPr>
            </w:pPr>
            <w:r w:rsidRPr="003C22B0">
              <w:rPr>
                <w:sz w:val="20"/>
              </w:rPr>
              <w:t>2. La Contraloría Interna es el órgano de control interno del Instituto que tendrá a su cargo la fiscalización de los ingresos y egresos del Instituto.</w:t>
            </w:r>
          </w:p>
          <w:p w14:paraId="6E844230" w14:textId="77777777" w:rsidR="003C22B0" w:rsidRPr="003C22B0" w:rsidRDefault="003C22B0" w:rsidP="003C22B0">
            <w:pPr>
              <w:pStyle w:val="TableParagraph"/>
              <w:spacing w:before="147" w:line="244" w:lineRule="exact"/>
              <w:ind w:right="104"/>
              <w:jc w:val="both"/>
              <w:rPr>
                <w:sz w:val="20"/>
              </w:rPr>
            </w:pPr>
          </w:p>
          <w:p w14:paraId="62EC29FD" w14:textId="77777777" w:rsidR="003C22B0" w:rsidRPr="003C22B0" w:rsidRDefault="003C22B0" w:rsidP="003C22B0">
            <w:pPr>
              <w:pStyle w:val="TableParagraph"/>
              <w:spacing w:before="147" w:line="244" w:lineRule="exact"/>
              <w:ind w:right="104"/>
              <w:jc w:val="both"/>
              <w:rPr>
                <w:sz w:val="20"/>
              </w:rPr>
            </w:pPr>
            <w:r w:rsidRPr="003C22B0">
              <w:rPr>
                <w:sz w:val="20"/>
              </w:rPr>
              <w:t>(Reformado mediante el Decreto Núm. 741, publicado el 1 de octubre de 2020)</w:t>
            </w:r>
          </w:p>
          <w:p w14:paraId="1913C72C" w14:textId="77777777" w:rsidR="003C22B0" w:rsidRPr="003C22B0" w:rsidRDefault="003C22B0" w:rsidP="003C22B0">
            <w:pPr>
              <w:pStyle w:val="TableParagraph"/>
              <w:spacing w:before="147" w:line="244" w:lineRule="exact"/>
              <w:ind w:right="104"/>
              <w:jc w:val="both"/>
              <w:rPr>
                <w:sz w:val="20"/>
              </w:rPr>
            </w:pPr>
            <w:r w:rsidRPr="003C22B0">
              <w:rPr>
                <w:sz w:val="20"/>
              </w:rPr>
              <w:t xml:space="preserve"> </w:t>
            </w:r>
          </w:p>
          <w:p w14:paraId="26CCAAEB" w14:textId="77777777" w:rsidR="003C22B0" w:rsidRPr="003C22B0" w:rsidRDefault="003C22B0" w:rsidP="003C22B0">
            <w:pPr>
              <w:pStyle w:val="TableParagraph"/>
              <w:spacing w:before="147" w:line="244" w:lineRule="exact"/>
              <w:ind w:right="104"/>
              <w:jc w:val="both"/>
              <w:rPr>
                <w:sz w:val="20"/>
              </w:rPr>
            </w:pPr>
            <w:r w:rsidRPr="003C22B0">
              <w:rPr>
                <w:sz w:val="20"/>
              </w:rPr>
              <w:t xml:space="preserve">3. El o la titular de la Contraloría será </w:t>
            </w:r>
            <w:proofErr w:type="gramStart"/>
            <w:r w:rsidRPr="003C22B0">
              <w:rPr>
                <w:sz w:val="20"/>
              </w:rPr>
              <w:t>denominado  "</w:t>
            </w:r>
            <w:proofErr w:type="gramEnd"/>
            <w:r w:rsidRPr="003C22B0">
              <w:rPr>
                <w:sz w:val="20"/>
              </w:rPr>
              <w:t>Contralora Interna" o "Contralor Interno" y tendrá un nivel jerárquico equivalente al de titular de la Dirección Ejecutiva.</w:t>
            </w:r>
          </w:p>
          <w:p w14:paraId="14C5BB3C" w14:textId="77777777" w:rsidR="003C22B0" w:rsidRPr="003C22B0" w:rsidRDefault="003C22B0" w:rsidP="003C22B0">
            <w:pPr>
              <w:pStyle w:val="TableParagraph"/>
              <w:spacing w:before="147" w:line="244" w:lineRule="exact"/>
              <w:ind w:right="104"/>
              <w:jc w:val="both"/>
              <w:rPr>
                <w:sz w:val="20"/>
              </w:rPr>
            </w:pPr>
          </w:p>
          <w:p w14:paraId="00ACB9AD" w14:textId="77777777" w:rsidR="003C22B0" w:rsidRPr="003C22B0" w:rsidRDefault="003C22B0" w:rsidP="003C22B0">
            <w:pPr>
              <w:pStyle w:val="TableParagraph"/>
              <w:spacing w:before="147" w:line="244" w:lineRule="exact"/>
              <w:ind w:right="104"/>
              <w:jc w:val="both"/>
              <w:rPr>
                <w:sz w:val="20"/>
              </w:rPr>
            </w:pPr>
            <w:r w:rsidRPr="003C22B0">
              <w:rPr>
                <w:sz w:val="20"/>
              </w:rPr>
              <w:t>4. La Contraloría contará con la estructura orgánica, personal y recursos que apruebe el Consejo General a propuesta de su titular, atendiendo en todo caso a la disponibilidad presupuestaria.</w:t>
            </w:r>
          </w:p>
          <w:p w14:paraId="7D5BE342" w14:textId="77777777" w:rsidR="003C22B0" w:rsidRPr="003C22B0" w:rsidRDefault="003C22B0" w:rsidP="003C22B0">
            <w:pPr>
              <w:pStyle w:val="TableParagraph"/>
              <w:spacing w:before="147" w:line="244" w:lineRule="exact"/>
              <w:ind w:right="104"/>
              <w:jc w:val="both"/>
              <w:rPr>
                <w:sz w:val="20"/>
              </w:rPr>
            </w:pPr>
          </w:p>
          <w:p w14:paraId="093334D3" w14:textId="76834D3E" w:rsidR="003C22B0" w:rsidRDefault="003C22B0" w:rsidP="003C22B0">
            <w:pPr>
              <w:pStyle w:val="TableParagraph"/>
              <w:spacing w:before="147" w:line="244" w:lineRule="exact"/>
              <w:ind w:right="104"/>
              <w:jc w:val="both"/>
              <w:rPr>
                <w:sz w:val="20"/>
              </w:rPr>
            </w:pPr>
            <w:r w:rsidRPr="003C22B0">
              <w:rPr>
                <w:sz w:val="20"/>
              </w:rPr>
              <w:t>5. En su desempeño, la Contraloría se sujetará a los principios de imparcialidad, legalidad, objetividad, certeza, honestidad, exhaustividad y transparencia.</w:t>
            </w:r>
          </w:p>
          <w:p w14:paraId="26373006" w14:textId="43905CCA" w:rsidR="003C22B0" w:rsidRDefault="003C22B0" w:rsidP="003C22B0">
            <w:pPr>
              <w:pStyle w:val="TableParagraph"/>
              <w:spacing w:before="147" w:line="244" w:lineRule="exact"/>
              <w:ind w:right="104"/>
              <w:jc w:val="both"/>
              <w:rPr>
                <w:sz w:val="20"/>
              </w:rPr>
            </w:pPr>
            <w:r>
              <w:rPr>
                <w:sz w:val="20"/>
              </w:rPr>
              <w:t>…</w:t>
            </w:r>
          </w:p>
          <w:p w14:paraId="14447AE4" w14:textId="77777777" w:rsidR="003C22B0" w:rsidRDefault="003C22B0" w:rsidP="003C22B0">
            <w:pPr>
              <w:pStyle w:val="TableParagraph"/>
              <w:spacing w:before="147" w:line="244" w:lineRule="exact"/>
              <w:ind w:right="104"/>
              <w:jc w:val="both"/>
              <w:rPr>
                <w:sz w:val="20"/>
              </w:rPr>
            </w:pPr>
          </w:p>
          <w:p w14:paraId="681B4355" w14:textId="77777777" w:rsidR="003C22B0" w:rsidRDefault="003C22B0" w:rsidP="003C22B0">
            <w:pPr>
              <w:pStyle w:val="TableParagraph"/>
              <w:spacing w:before="147" w:line="244" w:lineRule="exact"/>
              <w:ind w:left="106" w:right="104"/>
              <w:jc w:val="both"/>
              <w:rPr>
                <w:sz w:val="20"/>
              </w:rPr>
            </w:pPr>
          </w:p>
          <w:p w14:paraId="20507B90" w14:textId="77777777" w:rsidR="003C22B0" w:rsidRDefault="003C22B0" w:rsidP="003C22B0">
            <w:pPr>
              <w:pStyle w:val="TableParagraph"/>
              <w:spacing w:before="147" w:line="244" w:lineRule="exact"/>
              <w:ind w:left="106" w:right="104"/>
              <w:jc w:val="both"/>
              <w:rPr>
                <w:sz w:val="20"/>
              </w:rPr>
            </w:pPr>
          </w:p>
          <w:p w14:paraId="1D53679B" w14:textId="77777777" w:rsidR="003C22B0" w:rsidRDefault="003C22B0" w:rsidP="003C22B0">
            <w:pPr>
              <w:pStyle w:val="TableParagraph"/>
              <w:spacing w:before="147" w:line="244" w:lineRule="exact"/>
              <w:ind w:left="106" w:right="104"/>
              <w:jc w:val="both"/>
              <w:rPr>
                <w:sz w:val="20"/>
              </w:rPr>
            </w:pPr>
          </w:p>
          <w:p w14:paraId="18975329" w14:textId="4AA0FE95" w:rsidR="003C22B0" w:rsidRDefault="003C22B0" w:rsidP="003C22B0">
            <w:pPr>
              <w:pStyle w:val="TableParagraph"/>
              <w:spacing w:before="147" w:line="244" w:lineRule="exact"/>
              <w:ind w:left="106" w:right="104"/>
              <w:jc w:val="both"/>
              <w:rPr>
                <w:sz w:val="20"/>
              </w:rPr>
            </w:pPr>
          </w:p>
        </w:tc>
      </w:tr>
    </w:tbl>
    <w:p w14:paraId="358A1E1A" w14:textId="77777777" w:rsidR="001511EE" w:rsidRDefault="001511EE">
      <w:pPr>
        <w:spacing w:line="244" w:lineRule="exact"/>
        <w:jc w:val="both"/>
        <w:rPr>
          <w:sz w:val="20"/>
        </w:rPr>
        <w:sectPr w:rsidR="001511EE">
          <w:pgSz w:w="20160" w:h="12240" w:orient="landscape"/>
          <w:pgMar w:top="1120" w:right="2440" w:bottom="280" w:left="2460" w:header="885" w:footer="0" w:gutter="0"/>
          <w:cols w:space="720"/>
        </w:sectPr>
      </w:pPr>
    </w:p>
    <w:tbl>
      <w:tblPr>
        <w:tblStyle w:val="TableNormal"/>
        <w:tblW w:w="16841" w:type="dxa"/>
        <w:tblInd w:w="-14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521"/>
        <w:gridCol w:w="2381"/>
        <w:gridCol w:w="4097"/>
        <w:gridCol w:w="8842"/>
      </w:tblGrid>
      <w:tr w:rsidR="00E16D8A" w:rsidRPr="00846D6B" w14:paraId="015D96BA" w14:textId="77777777" w:rsidTr="00E16D8A">
        <w:trPr>
          <w:trHeight w:val="584"/>
          <w:tblHeader/>
        </w:trPr>
        <w:tc>
          <w:tcPr>
            <w:tcW w:w="1521" w:type="dxa"/>
            <w:shd w:val="clear" w:color="auto" w:fill="76923B"/>
          </w:tcPr>
          <w:p w14:paraId="5401C357" w14:textId="77777777" w:rsidR="00E16D8A" w:rsidRPr="00846D6B" w:rsidRDefault="00E16D8A" w:rsidP="00FE0AA9">
            <w:pPr>
              <w:pStyle w:val="TableParagraph"/>
              <w:rPr>
                <w:rFonts w:ascii="Arial" w:hAnsi="Arial" w:cs="Arial"/>
                <w:sz w:val="24"/>
                <w:szCs w:val="24"/>
              </w:rPr>
            </w:pPr>
          </w:p>
        </w:tc>
        <w:tc>
          <w:tcPr>
            <w:tcW w:w="2381" w:type="dxa"/>
            <w:shd w:val="clear" w:color="auto" w:fill="76923B"/>
          </w:tcPr>
          <w:p w14:paraId="62AFBCFE" w14:textId="77777777" w:rsidR="00E16D8A" w:rsidRPr="00846D6B" w:rsidRDefault="00E16D8A" w:rsidP="00FE0AA9">
            <w:pPr>
              <w:pStyle w:val="TableParagraph"/>
              <w:spacing w:before="122"/>
              <w:ind w:left="663" w:right="662"/>
              <w:jc w:val="center"/>
              <w:rPr>
                <w:rFonts w:ascii="Arial" w:hAnsi="Arial" w:cs="Arial"/>
                <w:b/>
                <w:sz w:val="24"/>
                <w:szCs w:val="24"/>
              </w:rPr>
            </w:pPr>
            <w:r w:rsidRPr="00846D6B">
              <w:rPr>
                <w:rFonts w:ascii="Arial" w:hAnsi="Arial" w:cs="Arial"/>
                <w:b/>
                <w:color w:val="FFFFFF"/>
                <w:sz w:val="24"/>
                <w:szCs w:val="24"/>
              </w:rPr>
              <w:t>ESTADO</w:t>
            </w:r>
          </w:p>
        </w:tc>
        <w:tc>
          <w:tcPr>
            <w:tcW w:w="4097" w:type="dxa"/>
            <w:shd w:val="clear" w:color="auto" w:fill="76923B"/>
          </w:tcPr>
          <w:p w14:paraId="0AF234B1" w14:textId="77777777" w:rsidR="00E16D8A" w:rsidRPr="00846D6B" w:rsidRDefault="00E16D8A" w:rsidP="00FE0AA9">
            <w:pPr>
              <w:pStyle w:val="TableParagraph"/>
              <w:spacing w:before="122"/>
              <w:ind w:left="1732" w:right="1730"/>
              <w:jc w:val="center"/>
              <w:rPr>
                <w:rFonts w:ascii="Arial" w:hAnsi="Arial" w:cs="Arial"/>
                <w:b/>
                <w:sz w:val="24"/>
                <w:szCs w:val="24"/>
              </w:rPr>
            </w:pPr>
            <w:r w:rsidRPr="00846D6B">
              <w:rPr>
                <w:rFonts w:ascii="Arial" w:hAnsi="Arial" w:cs="Arial"/>
                <w:b/>
                <w:color w:val="FFFFFF"/>
                <w:sz w:val="24"/>
                <w:szCs w:val="24"/>
              </w:rPr>
              <w:t>LEY</w:t>
            </w:r>
          </w:p>
        </w:tc>
        <w:tc>
          <w:tcPr>
            <w:tcW w:w="8842" w:type="dxa"/>
            <w:shd w:val="clear" w:color="auto" w:fill="76923B"/>
          </w:tcPr>
          <w:p w14:paraId="08DC2AAB" w14:textId="77777777" w:rsidR="00E16D8A" w:rsidRPr="00846D6B" w:rsidRDefault="00E16D8A" w:rsidP="00FE0AA9">
            <w:pPr>
              <w:pStyle w:val="TableParagraph"/>
              <w:spacing w:before="122"/>
              <w:ind w:left="2371" w:right="2371"/>
              <w:jc w:val="center"/>
              <w:rPr>
                <w:rFonts w:ascii="Arial" w:hAnsi="Arial" w:cs="Arial"/>
                <w:b/>
                <w:sz w:val="24"/>
                <w:szCs w:val="24"/>
              </w:rPr>
            </w:pPr>
            <w:r w:rsidRPr="00846D6B">
              <w:rPr>
                <w:rFonts w:ascii="Arial" w:hAnsi="Arial" w:cs="Arial"/>
                <w:b/>
                <w:color w:val="FFFFFF"/>
                <w:sz w:val="24"/>
                <w:szCs w:val="24"/>
              </w:rPr>
              <w:t>ARTÍCULO (TRANSCRIPCIÓN)</w:t>
            </w:r>
          </w:p>
        </w:tc>
      </w:tr>
      <w:tr w:rsidR="00E16D8A" w:rsidRPr="00846D6B" w14:paraId="0EEFEE1C" w14:textId="77777777" w:rsidTr="00EA0609">
        <w:trPr>
          <w:trHeight w:val="3111"/>
          <w:tblHeader/>
        </w:trPr>
        <w:tc>
          <w:tcPr>
            <w:tcW w:w="1521" w:type="dxa"/>
            <w:shd w:val="clear" w:color="auto" w:fill="FFFFFF" w:themeFill="background1"/>
          </w:tcPr>
          <w:p w14:paraId="13C39B38" w14:textId="1611A3C2" w:rsidR="00E16D8A" w:rsidRPr="00846D6B" w:rsidRDefault="007D7CDE" w:rsidP="007D7CDE">
            <w:pPr>
              <w:pStyle w:val="TableParagraph"/>
              <w:jc w:val="center"/>
              <w:rPr>
                <w:rFonts w:ascii="Arial" w:hAnsi="Arial" w:cs="Arial"/>
                <w:sz w:val="24"/>
                <w:szCs w:val="24"/>
              </w:rPr>
            </w:pPr>
            <w:r>
              <w:rPr>
                <w:rFonts w:ascii="Arial" w:hAnsi="Arial" w:cs="Arial"/>
                <w:sz w:val="24"/>
                <w:szCs w:val="24"/>
              </w:rPr>
              <w:t>3.</w:t>
            </w:r>
          </w:p>
        </w:tc>
        <w:tc>
          <w:tcPr>
            <w:tcW w:w="2381" w:type="dxa"/>
            <w:shd w:val="clear" w:color="auto" w:fill="FFFFFF" w:themeFill="background1"/>
          </w:tcPr>
          <w:p w14:paraId="0E443F1F" w14:textId="77777777" w:rsidR="00E16D8A" w:rsidRDefault="00480DEE" w:rsidP="00E16D8A">
            <w:pPr>
              <w:pStyle w:val="TableParagraph"/>
              <w:ind w:left="664" w:right="662"/>
              <w:jc w:val="center"/>
              <w:rPr>
                <w:b/>
                <w:sz w:val="20"/>
              </w:rPr>
            </w:pPr>
            <w:hyperlink r:id="rId15" w:history="1">
              <w:r w:rsidR="00E16D8A" w:rsidRPr="00874B94">
                <w:rPr>
                  <w:rStyle w:val="Hipervnculo"/>
                  <w:b/>
                  <w:sz w:val="20"/>
                </w:rPr>
                <w:t>COAHUILA</w:t>
              </w:r>
            </w:hyperlink>
          </w:p>
          <w:p w14:paraId="522666F8" w14:textId="77777777" w:rsidR="00E16D8A" w:rsidRPr="00846D6B" w:rsidRDefault="00E16D8A" w:rsidP="00E16D8A">
            <w:pPr>
              <w:pStyle w:val="TableParagraph"/>
              <w:spacing w:before="122"/>
              <w:ind w:left="663" w:right="662"/>
              <w:jc w:val="center"/>
              <w:rPr>
                <w:rFonts w:ascii="Arial" w:hAnsi="Arial" w:cs="Arial"/>
                <w:b/>
                <w:color w:val="FFFFFF"/>
                <w:sz w:val="24"/>
                <w:szCs w:val="24"/>
              </w:rPr>
            </w:pPr>
          </w:p>
        </w:tc>
        <w:tc>
          <w:tcPr>
            <w:tcW w:w="12939" w:type="dxa"/>
            <w:gridSpan w:val="2"/>
            <w:shd w:val="clear" w:color="auto" w:fill="FFFFFF" w:themeFill="background1"/>
          </w:tcPr>
          <w:p w14:paraId="6BB1247E" w14:textId="6097636E" w:rsidR="00E16D8A" w:rsidRPr="00E16D8A" w:rsidRDefault="00E16D8A" w:rsidP="00E16D8A">
            <w:pPr>
              <w:pStyle w:val="TableParagraph"/>
              <w:spacing w:before="122"/>
              <w:ind w:left="2371" w:right="2371"/>
              <w:jc w:val="center"/>
              <w:rPr>
                <w:sz w:val="20"/>
              </w:rPr>
            </w:pPr>
            <w:r w:rsidRPr="00E16D8A">
              <w:rPr>
                <w:sz w:val="20"/>
              </w:rPr>
              <w:t>REGLAMENTO PARA EL PROCEDIMIENTO DE PERDIDA DE REGISTRO Y LIQUIDACION DE PARTIDOS POLITICOS LOCALES EN EL ESTADO DE COAHUILA</w:t>
            </w:r>
          </w:p>
          <w:p w14:paraId="2ACE65E7" w14:textId="784151AC" w:rsidR="00E16D8A" w:rsidRPr="00E16D8A" w:rsidRDefault="00E16D8A" w:rsidP="00E16D8A">
            <w:pPr>
              <w:pStyle w:val="TableParagraph"/>
              <w:spacing w:before="122"/>
              <w:ind w:left="2371" w:right="2371"/>
              <w:jc w:val="center"/>
              <w:rPr>
                <w:sz w:val="20"/>
              </w:rPr>
            </w:pPr>
            <w:r w:rsidRPr="00E16D8A">
              <w:rPr>
                <w:sz w:val="20"/>
              </w:rPr>
              <w:t>REGLAMENTO DE PROPAGANDA ELECTORAL DE LOS PARTIDOS POLITICOS Y SUS CANDIDATOS DEL ESTADO DE COAHUILA</w:t>
            </w:r>
          </w:p>
          <w:p w14:paraId="7CE72872" w14:textId="4B078C15" w:rsidR="00E16D8A" w:rsidRPr="00E16D8A" w:rsidRDefault="00480DEE" w:rsidP="00E16D8A">
            <w:pPr>
              <w:pStyle w:val="TableParagraph"/>
              <w:spacing w:before="122"/>
              <w:ind w:left="2371" w:right="2371"/>
              <w:jc w:val="center"/>
              <w:rPr>
                <w:sz w:val="20"/>
              </w:rPr>
            </w:pPr>
            <w:hyperlink r:id="rId16" w:history="1">
              <w:r w:rsidR="00E16D8A" w:rsidRPr="00E16D8A">
                <w:t>REGLAMENTO PARA LA CONSTITUCION Y REGISTRO DE PARTIDOS POLITICOS LOCALES EN EL ESTADO DE COAHUILA DE ZARAGOZA</w:t>
              </w:r>
            </w:hyperlink>
          </w:p>
          <w:p w14:paraId="38FE028C" w14:textId="77777777" w:rsidR="00E16D8A" w:rsidRPr="00E16D8A" w:rsidRDefault="00E16D8A" w:rsidP="00E16D8A">
            <w:pPr>
              <w:pStyle w:val="TableParagraph"/>
              <w:spacing w:before="122"/>
              <w:ind w:left="2371" w:right="2371"/>
              <w:jc w:val="center"/>
              <w:rPr>
                <w:sz w:val="20"/>
              </w:rPr>
            </w:pPr>
          </w:p>
          <w:p w14:paraId="5D1F2589" w14:textId="5FC32A20" w:rsidR="00E16D8A" w:rsidRPr="00846D6B" w:rsidRDefault="00E16D8A" w:rsidP="00E16D8A">
            <w:pPr>
              <w:pStyle w:val="TableParagraph"/>
              <w:spacing w:before="122"/>
              <w:ind w:left="2371" w:right="2371"/>
              <w:jc w:val="center"/>
              <w:rPr>
                <w:rFonts w:ascii="Arial" w:hAnsi="Arial" w:cs="Arial"/>
                <w:b/>
                <w:color w:val="FFFFFF"/>
                <w:sz w:val="24"/>
                <w:szCs w:val="24"/>
              </w:rPr>
            </w:pPr>
            <w:r w:rsidRPr="00E16D8A">
              <w:rPr>
                <w:sz w:val="20"/>
              </w:rPr>
              <w:t>REGLAMENTO DE FISCALIZACION DEL INSTITUTO ELECTORAL DE COAHUILA PARA LAS AGRUPACIONES POLITICAS, ORGANIZACIONES DE CIUDADANOS INTERESADOS EN CONSTITUIRSE COMO PARTIDO POLITICO Y OBSERVADORES ELECTORALES</w:t>
            </w:r>
          </w:p>
        </w:tc>
      </w:tr>
    </w:tbl>
    <w:p w14:paraId="20041D50" w14:textId="7DFAE4B8" w:rsidR="000D4007" w:rsidRDefault="000D4007" w:rsidP="00E16D8A"/>
    <w:sectPr w:rsidR="000D4007">
      <w:pgSz w:w="20160" w:h="12240" w:orient="landscape"/>
      <w:pgMar w:top="1120" w:right="2440" w:bottom="280" w:left="2460" w:header="88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B4827" w14:textId="77777777" w:rsidR="00480DEE" w:rsidRDefault="00480DEE">
      <w:r>
        <w:separator/>
      </w:r>
    </w:p>
  </w:endnote>
  <w:endnote w:type="continuationSeparator" w:id="0">
    <w:p w14:paraId="7BE23264" w14:textId="77777777" w:rsidR="00480DEE" w:rsidRDefault="0048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F9E7F" w14:textId="77777777" w:rsidR="000B7300" w:rsidRDefault="000B73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2CDF3" w14:textId="77777777" w:rsidR="000B7300" w:rsidRDefault="000B730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80DD0" w14:textId="77777777" w:rsidR="000B7300" w:rsidRDefault="000B73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2A6D5" w14:textId="77777777" w:rsidR="00480DEE" w:rsidRDefault="00480DEE">
      <w:r>
        <w:separator/>
      </w:r>
    </w:p>
  </w:footnote>
  <w:footnote w:type="continuationSeparator" w:id="0">
    <w:p w14:paraId="1A38D24D" w14:textId="77777777" w:rsidR="00480DEE" w:rsidRDefault="00480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D3C84" w14:textId="77777777" w:rsidR="000B7300" w:rsidRDefault="000B730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BA09E" w14:textId="77777777" w:rsidR="00F23F75" w:rsidRDefault="00F23F75">
    <w:pPr>
      <w:pStyle w:val="Textoindependiente"/>
      <w:spacing w:line="14" w:lineRule="auto"/>
      <w:rPr>
        <w:b w:val="0"/>
        <w:i w:val="0"/>
        <w:sz w:val="20"/>
      </w:rPr>
    </w:pPr>
  </w:p>
  <w:p w14:paraId="36B2342E" w14:textId="77777777" w:rsidR="00F23F75" w:rsidRDefault="00F23F75">
    <w:pPr>
      <w:pStyle w:val="Textoindependiente"/>
      <w:spacing w:line="14" w:lineRule="auto"/>
      <w:rPr>
        <w:b w:val="0"/>
        <w:i w:val="0"/>
        <w:sz w:val="20"/>
      </w:rPr>
    </w:pPr>
  </w:p>
  <w:p w14:paraId="2C2FFFA6" w14:textId="77777777" w:rsidR="00F23F75" w:rsidRDefault="00F23F75">
    <w:pPr>
      <w:pStyle w:val="Textoindependiente"/>
      <w:spacing w:line="14" w:lineRule="auto"/>
      <w:rPr>
        <w:b w:val="0"/>
        <w:i w:val="0"/>
        <w:sz w:val="20"/>
      </w:rPr>
    </w:pPr>
  </w:p>
  <w:p w14:paraId="70D702D2" w14:textId="77777777" w:rsidR="00F23F75" w:rsidRDefault="00F23F75">
    <w:pPr>
      <w:pStyle w:val="Textoindependiente"/>
      <w:spacing w:line="14" w:lineRule="auto"/>
      <w:rPr>
        <w:b w:val="0"/>
        <w:i w:val="0"/>
        <w:sz w:val="20"/>
      </w:rPr>
    </w:pPr>
  </w:p>
  <w:p w14:paraId="66706862" w14:textId="77777777" w:rsidR="00F23F75" w:rsidRDefault="00F23F75">
    <w:pPr>
      <w:pStyle w:val="Textoindependiente"/>
      <w:spacing w:line="14" w:lineRule="auto"/>
      <w:rPr>
        <w:b w:val="0"/>
        <w:i w:val="0"/>
        <w:sz w:val="20"/>
      </w:rPr>
    </w:pPr>
  </w:p>
  <w:p w14:paraId="0E9AC0EC" w14:textId="77777777" w:rsidR="00F23F75" w:rsidRDefault="00F23F75">
    <w:pPr>
      <w:pStyle w:val="Textoindependiente"/>
      <w:spacing w:line="14" w:lineRule="auto"/>
      <w:rPr>
        <w:b w:val="0"/>
        <w:i w:val="0"/>
        <w:sz w:val="20"/>
      </w:rPr>
    </w:pPr>
  </w:p>
  <w:p w14:paraId="175A2A63" w14:textId="77777777" w:rsidR="00F23F75" w:rsidRDefault="00F23F75">
    <w:pPr>
      <w:pStyle w:val="Textoindependiente"/>
      <w:spacing w:line="14" w:lineRule="auto"/>
      <w:rPr>
        <w:b w:val="0"/>
        <w:i w:val="0"/>
        <w:sz w:val="20"/>
      </w:rPr>
    </w:pPr>
  </w:p>
  <w:p w14:paraId="46D72482" w14:textId="77777777" w:rsidR="00F23F75" w:rsidRDefault="00F23F75">
    <w:pPr>
      <w:pStyle w:val="Textoindependiente"/>
      <w:spacing w:line="14" w:lineRule="auto"/>
      <w:rPr>
        <w:b w:val="0"/>
        <w:i w:val="0"/>
        <w:sz w:val="20"/>
      </w:rPr>
    </w:pPr>
  </w:p>
  <w:p w14:paraId="12B7C52E" w14:textId="77777777" w:rsidR="00F23F75" w:rsidRDefault="00F23F75">
    <w:pPr>
      <w:pStyle w:val="Textoindependiente"/>
      <w:spacing w:line="14" w:lineRule="auto"/>
      <w:rPr>
        <w:b w:val="0"/>
        <w:i w:val="0"/>
        <w:sz w:val="20"/>
      </w:rPr>
    </w:pPr>
  </w:p>
  <w:p w14:paraId="3309ED49" w14:textId="77777777" w:rsidR="00F23F75" w:rsidRDefault="00F23F75">
    <w:pPr>
      <w:pStyle w:val="Textoindependiente"/>
      <w:spacing w:line="14" w:lineRule="auto"/>
      <w:rPr>
        <w:b w:val="0"/>
        <w:i w:val="0"/>
        <w:sz w:val="20"/>
      </w:rPr>
    </w:pPr>
  </w:p>
  <w:p w14:paraId="3063016E" w14:textId="77777777" w:rsidR="00F23F75" w:rsidRDefault="00F23F75">
    <w:pPr>
      <w:pStyle w:val="Textoindependiente"/>
      <w:spacing w:line="14" w:lineRule="auto"/>
      <w:rPr>
        <w:b w:val="0"/>
        <w:i w:val="0"/>
        <w:sz w:val="20"/>
      </w:rPr>
    </w:pPr>
  </w:p>
  <w:p w14:paraId="1FEAE230" w14:textId="77777777" w:rsidR="00F23F75" w:rsidRDefault="00F23F75">
    <w:pPr>
      <w:pStyle w:val="Textoindependiente"/>
      <w:spacing w:line="14" w:lineRule="auto"/>
      <w:rPr>
        <w:b w:val="0"/>
        <w:i w:val="0"/>
        <w:sz w:val="20"/>
      </w:rPr>
    </w:pPr>
  </w:p>
  <w:p w14:paraId="7CDA596A" w14:textId="77777777" w:rsidR="00F23F75" w:rsidRDefault="00F23F75">
    <w:pPr>
      <w:pStyle w:val="Textoindependiente"/>
      <w:spacing w:line="14" w:lineRule="auto"/>
      <w:rPr>
        <w:b w:val="0"/>
        <w:i w:val="0"/>
        <w:sz w:val="20"/>
      </w:rPr>
    </w:pPr>
  </w:p>
  <w:p w14:paraId="6222FE2C" w14:textId="77777777" w:rsidR="00F23F75" w:rsidRDefault="00F23F75">
    <w:pPr>
      <w:pStyle w:val="Textoindependiente"/>
      <w:spacing w:line="14" w:lineRule="auto"/>
      <w:rPr>
        <w:b w:val="0"/>
        <w:i w:val="0"/>
        <w:sz w:val="20"/>
      </w:rPr>
    </w:pPr>
  </w:p>
  <w:p w14:paraId="38E80C7D" w14:textId="77777777" w:rsidR="00F23F75" w:rsidRDefault="00F23F75">
    <w:pPr>
      <w:pStyle w:val="Textoindependiente"/>
      <w:spacing w:line="14" w:lineRule="auto"/>
      <w:rPr>
        <w:b w:val="0"/>
        <w:i w:val="0"/>
        <w:sz w:val="20"/>
      </w:rPr>
    </w:pPr>
  </w:p>
  <w:p w14:paraId="187BB8C5" w14:textId="77777777" w:rsidR="00F23F75" w:rsidRDefault="00F23F75">
    <w:pPr>
      <w:pStyle w:val="Textoindependiente"/>
      <w:spacing w:line="14" w:lineRule="auto"/>
      <w:rPr>
        <w:b w:val="0"/>
        <w:i w:val="0"/>
        <w:sz w:val="20"/>
      </w:rPr>
    </w:pPr>
  </w:p>
  <w:p w14:paraId="17DC0D64" w14:textId="77777777" w:rsidR="00F23F75" w:rsidRDefault="00F23F75">
    <w:pPr>
      <w:pStyle w:val="Textoindependiente"/>
      <w:spacing w:line="14" w:lineRule="auto"/>
      <w:rPr>
        <w:b w:val="0"/>
        <w:i w:val="0"/>
        <w:sz w:val="20"/>
      </w:rPr>
    </w:pPr>
  </w:p>
  <w:p w14:paraId="78538D4F" w14:textId="77777777" w:rsidR="00F23F75" w:rsidRDefault="00F23F75">
    <w:pPr>
      <w:pStyle w:val="Textoindependiente"/>
      <w:spacing w:line="14" w:lineRule="auto"/>
      <w:rPr>
        <w:b w:val="0"/>
        <w:i w:val="0"/>
        <w:sz w:val="20"/>
      </w:rPr>
    </w:pPr>
  </w:p>
  <w:p w14:paraId="7F4CDB6B" w14:textId="77777777" w:rsidR="00F23F75" w:rsidRDefault="00F23F75">
    <w:pPr>
      <w:pStyle w:val="Textoindependiente"/>
      <w:spacing w:line="14" w:lineRule="auto"/>
      <w:rPr>
        <w:b w:val="0"/>
        <w:i w:val="0"/>
        <w:sz w:val="20"/>
      </w:rPr>
    </w:pPr>
  </w:p>
  <w:p w14:paraId="5ADBF882" w14:textId="77777777" w:rsidR="00F23F75" w:rsidRDefault="00F23F75">
    <w:pPr>
      <w:pStyle w:val="Textoindependiente"/>
      <w:spacing w:line="14" w:lineRule="auto"/>
      <w:rPr>
        <w:b w:val="0"/>
        <w:i w:val="0"/>
        <w:sz w:val="20"/>
      </w:rPr>
    </w:pPr>
  </w:p>
  <w:p w14:paraId="06739FC6" w14:textId="77777777" w:rsidR="00F23F75" w:rsidRDefault="00F23F75">
    <w:pPr>
      <w:pStyle w:val="Textoindependiente"/>
      <w:spacing w:line="14" w:lineRule="auto"/>
      <w:rPr>
        <w:b w:val="0"/>
        <w:i w:val="0"/>
        <w:sz w:val="20"/>
      </w:rPr>
    </w:pPr>
  </w:p>
  <w:p w14:paraId="541306F1" w14:textId="77777777" w:rsidR="00F23F75" w:rsidRDefault="00F23F75">
    <w:pPr>
      <w:pStyle w:val="Textoindependiente"/>
      <w:spacing w:line="14" w:lineRule="auto"/>
      <w:rPr>
        <w:b w:val="0"/>
        <w:i w:val="0"/>
        <w:sz w:val="20"/>
      </w:rPr>
    </w:pPr>
  </w:p>
  <w:p w14:paraId="48BC6133" w14:textId="77777777" w:rsidR="00F23F75" w:rsidRDefault="00F23F75">
    <w:pPr>
      <w:pStyle w:val="Textoindependiente"/>
      <w:spacing w:line="14" w:lineRule="auto"/>
      <w:rPr>
        <w:b w:val="0"/>
        <w:i w:val="0"/>
        <w:sz w:val="20"/>
      </w:rPr>
    </w:pPr>
  </w:p>
  <w:p w14:paraId="09B7A2FB" w14:textId="77777777" w:rsidR="00F23F75" w:rsidRDefault="00F23F75">
    <w:pPr>
      <w:pStyle w:val="Textoindependiente"/>
      <w:spacing w:line="14" w:lineRule="auto"/>
      <w:rPr>
        <w:b w:val="0"/>
        <w:i w:val="0"/>
        <w:sz w:val="20"/>
      </w:rPr>
    </w:pPr>
  </w:p>
  <w:p w14:paraId="0693E161" w14:textId="77777777" w:rsidR="00F23F75" w:rsidRDefault="00F23F75">
    <w:pPr>
      <w:pStyle w:val="Textoindependiente"/>
      <w:spacing w:line="14" w:lineRule="auto"/>
      <w:rPr>
        <w:b w:val="0"/>
        <w:i w:val="0"/>
        <w:sz w:val="20"/>
      </w:rPr>
    </w:pPr>
  </w:p>
  <w:p w14:paraId="36AEE1D3" w14:textId="77777777" w:rsidR="00F23F75" w:rsidRDefault="00F23F75">
    <w:pPr>
      <w:pStyle w:val="Textoindependiente"/>
      <w:spacing w:line="14" w:lineRule="auto"/>
      <w:rPr>
        <w:b w:val="0"/>
        <w:i w:val="0"/>
        <w:sz w:val="20"/>
      </w:rPr>
    </w:pPr>
  </w:p>
  <w:p w14:paraId="7C2D0F57" w14:textId="77777777" w:rsidR="00F23F75" w:rsidRDefault="00F23F75">
    <w:pPr>
      <w:pStyle w:val="Textoindependiente"/>
      <w:spacing w:line="14" w:lineRule="auto"/>
      <w:rPr>
        <w:b w:val="0"/>
        <w:i w:val="0"/>
        <w:sz w:val="20"/>
      </w:rPr>
    </w:pPr>
  </w:p>
  <w:p w14:paraId="47594CB4" w14:textId="77777777" w:rsidR="00F23F75" w:rsidRDefault="00F23F75">
    <w:pPr>
      <w:pStyle w:val="Textoindependiente"/>
      <w:spacing w:line="14" w:lineRule="auto"/>
      <w:rPr>
        <w:b w:val="0"/>
        <w:i w:val="0"/>
        <w:sz w:val="20"/>
      </w:rPr>
    </w:pPr>
  </w:p>
  <w:p w14:paraId="0654B06A" w14:textId="77777777" w:rsidR="00F23F75" w:rsidRDefault="00F23F75">
    <w:pPr>
      <w:pStyle w:val="Textoindependiente"/>
      <w:spacing w:line="14" w:lineRule="auto"/>
      <w:rPr>
        <w:b w:val="0"/>
        <w:i w:val="0"/>
        <w:sz w:val="20"/>
      </w:rPr>
    </w:pPr>
  </w:p>
  <w:p w14:paraId="00494FEC" w14:textId="77777777" w:rsidR="00F23F75" w:rsidRDefault="00F23F75">
    <w:pPr>
      <w:pStyle w:val="Textoindependiente"/>
      <w:spacing w:line="14" w:lineRule="auto"/>
      <w:rPr>
        <w:b w:val="0"/>
        <w:i w:val="0"/>
        <w:sz w:val="20"/>
      </w:rPr>
    </w:pPr>
  </w:p>
  <w:p w14:paraId="68381A2F" w14:textId="77777777" w:rsidR="00F23F75" w:rsidRDefault="00F23F75">
    <w:pPr>
      <w:pStyle w:val="Textoindependiente"/>
      <w:spacing w:line="14" w:lineRule="auto"/>
      <w:rPr>
        <w:b w:val="0"/>
        <w:i w:val="0"/>
        <w:sz w:val="20"/>
      </w:rPr>
    </w:pPr>
  </w:p>
  <w:p w14:paraId="0F02F4BF" w14:textId="77777777" w:rsidR="00F23F75" w:rsidRDefault="00F23F75">
    <w:pPr>
      <w:pStyle w:val="Textoindependiente"/>
      <w:spacing w:line="14" w:lineRule="auto"/>
      <w:rPr>
        <w:b w:val="0"/>
        <w:i w:val="0"/>
        <w:sz w:val="20"/>
      </w:rPr>
    </w:pPr>
  </w:p>
  <w:p w14:paraId="1E1D361B" w14:textId="77777777" w:rsidR="00F23F75" w:rsidRDefault="00F23F75">
    <w:pPr>
      <w:pStyle w:val="Textoindependiente"/>
      <w:spacing w:line="14" w:lineRule="auto"/>
      <w:rPr>
        <w:b w:val="0"/>
        <w:i w:val="0"/>
        <w:sz w:val="20"/>
      </w:rPr>
    </w:pPr>
  </w:p>
  <w:p w14:paraId="70AFD903" w14:textId="77777777" w:rsidR="00F23F75" w:rsidRDefault="00F23F75">
    <w:pPr>
      <w:pStyle w:val="Textoindependiente"/>
      <w:spacing w:line="14" w:lineRule="auto"/>
      <w:rPr>
        <w:b w:val="0"/>
        <w:i w:val="0"/>
        <w:sz w:val="20"/>
      </w:rPr>
    </w:pPr>
  </w:p>
  <w:p w14:paraId="1E59A4C7" w14:textId="77777777" w:rsidR="00F23F75" w:rsidRDefault="00F23F75">
    <w:pPr>
      <w:pStyle w:val="Textoindependiente"/>
      <w:spacing w:line="14" w:lineRule="auto"/>
      <w:rPr>
        <w:b w:val="0"/>
        <w:i w:val="0"/>
        <w:sz w:val="20"/>
      </w:rPr>
    </w:pPr>
  </w:p>
  <w:p w14:paraId="28F2BF2E" w14:textId="77777777" w:rsidR="00F23F75" w:rsidRDefault="00F23F75">
    <w:pPr>
      <w:pStyle w:val="Textoindependiente"/>
      <w:spacing w:line="14" w:lineRule="auto"/>
      <w:rPr>
        <w:b w:val="0"/>
        <w:i w:val="0"/>
        <w:sz w:val="20"/>
      </w:rPr>
    </w:pPr>
  </w:p>
  <w:p w14:paraId="392C28CC" w14:textId="77777777" w:rsidR="00F23F75" w:rsidRDefault="00F23F75">
    <w:pPr>
      <w:pStyle w:val="Textoindependiente"/>
      <w:spacing w:line="14" w:lineRule="auto"/>
      <w:rPr>
        <w:b w:val="0"/>
        <w:i w:val="0"/>
        <w:sz w:val="20"/>
      </w:rPr>
    </w:pPr>
  </w:p>
  <w:p w14:paraId="42823223" w14:textId="77777777" w:rsidR="00F23F75" w:rsidRDefault="00F23F75">
    <w:pPr>
      <w:pStyle w:val="Textoindependiente"/>
      <w:spacing w:line="14" w:lineRule="auto"/>
      <w:rPr>
        <w:b w:val="0"/>
        <w:i w:val="0"/>
        <w:sz w:val="20"/>
      </w:rPr>
    </w:pPr>
  </w:p>
  <w:p w14:paraId="458A91B5" w14:textId="14F0BD33" w:rsidR="00F23F75" w:rsidRDefault="00F23F75">
    <w:pPr>
      <w:pStyle w:val="Textoindependiente"/>
      <w:spacing w:line="14" w:lineRule="auto"/>
      <w:rPr>
        <w:b w:val="0"/>
        <w:i w:val="0"/>
        <w:sz w:val="20"/>
      </w:rPr>
    </w:pPr>
  </w:p>
  <w:p w14:paraId="72971156" w14:textId="2880F8D8" w:rsidR="00804530" w:rsidRDefault="00804530">
    <w:pPr>
      <w:pStyle w:val="Textoindependiente"/>
      <w:spacing w:line="14" w:lineRule="auto"/>
      <w:rPr>
        <w:b w:val="0"/>
        <w:i w:val="0"/>
        <w:sz w:val="20"/>
      </w:rPr>
    </w:pPr>
  </w:p>
  <w:p w14:paraId="76D73FD2" w14:textId="3AB854D3" w:rsidR="00804530" w:rsidRDefault="00804530">
    <w:pPr>
      <w:pStyle w:val="Textoindependiente"/>
      <w:spacing w:line="14" w:lineRule="auto"/>
      <w:rPr>
        <w:b w:val="0"/>
        <w:i w:val="0"/>
        <w:sz w:val="20"/>
      </w:rPr>
    </w:pPr>
  </w:p>
  <w:p w14:paraId="4C9AEE1B" w14:textId="6EAD5846" w:rsidR="00804530" w:rsidRDefault="00804530">
    <w:pPr>
      <w:pStyle w:val="Textoindependiente"/>
      <w:spacing w:line="14" w:lineRule="auto"/>
      <w:rPr>
        <w:b w:val="0"/>
        <w:i w:val="0"/>
        <w:sz w:val="20"/>
      </w:rPr>
    </w:pPr>
  </w:p>
  <w:p w14:paraId="0B2066CD" w14:textId="75147334" w:rsidR="00804530" w:rsidRDefault="00804530">
    <w:pPr>
      <w:pStyle w:val="Textoindependiente"/>
      <w:spacing w:line="14" w:lineRule="auto"/>
      <w:rPr>
        <w:b w:val="0"/>
        <w:i w:val="0"/>
        <w:sz w:val="20"/>
      </w:rPr>
    </w:pPr>
  </w:p>
  <w:p w14:paraId="2C947C97" w14:textId="577C7982" w:rsidR="00804530" w:rsidRDefault="00804530">
    <w:pPr>
      <w:pStyle w:val="Textoindependiente"/>
      <w:spacing w:line="14" w:lineRule="auto"/>
      <w:rPr>
        <w:b w:val="0"/>
        <w:i w:val="0"/>
        <w:sz w:val="20"/>
      </w:rPr>
    </w:pPr>
  </w:p>
  <w:p w14:paraId="5D4E4319" w14:textId="1E70EBE1" w:rsidR="00804530" w:rsidRDefault="00804530">
    <w:pPr>
      <w:pStyle w:val="Textoindependiente"/>
      <w:spacing w:line="14" w:lineRule="auto"/>
      <w:rPr>
        <w:b w:val="0"/>
        <w:i w:val="0"/>
        <w:sz w:val="20"/>
      </w:rPr>
    </w:pPr>
  </w:p>
  <w:p w14:paraId="6D15C963" w14:textId="77DBD312" w:rsidR="00804530" w:rsidRDefault="00804530">
    <w:pPr>
      <w:pStyle w:val="Textoindependiente"/>
      <w:spacing w:line="14" w:lineRule="auto"/>
      <w:rPr>
        <w:b w:val="0"/>
        <w:i w:val="0"/>
        <w:sz w:val="20"/>
      </w:rPr>
    </w:pPr>
  </w:p>
  <w:p w14:paraId="473D6056" w14:textId="18A59464" w:rsidR="00804530" w:rsidRDefault="00804530">
    <w:pPr>
      <w:pStyle w:val="Textoindependiente"/>
      <w:spacing w:line="14" w:lineRule="auto"/>
      <w:rPr>
        <w:b w:val="0"/>
        <w:i w:val="0"/>
        <w:sz w:val="20"/>
      </w:rPr>
    </w:pPr>
  </w:p>
  <w:p w14:paraId="233A8F4E" w14:textId="77777777" w:rsidR="00804530" w:rsidRDefault="00804530">
    <w:pPr>
      <w:pStyle w:val="Textoindependiente"/>
      <w:spacing w:line="14" w:lineRule="auto"/>
      <w:rPr>
        <w:b w:val="0"/>
        <w:i w:val="0"/>
        <w:sz w:val="20"/>
      </w:rPr>
    </w:pPr>
  </w:p>
  <w:p w14:paraId="7BBD3ACE" w14:textId="77777777" w:rsidR="00F23F75" w:rsidRDefault="00F23F75">
    <w:pPr>
      <w:pStyle w:val="Textoindependiente"/>
      <w:spacing w:line="14" w:lineRule="auto"/>
      <w:rPr>
        <w:b w:val="0"/>
        <w:i w:val="0"/>
        <w:sz w:val="20"/>
      </w:rPr>
    </w:pPr>
  </w:p>
  <w:p w14:paraId="1BCAFD6C" w14:textId="77777777" w:rsidR="00F23F75" w:rsidRDefault="00F23F75">
    <w:pPr>
      <w:pStyle w:val="Textoindependiente"/>
      <w:spacing w:line="14" w:lineRule="auto"/>
      <w:rPr>
        <w:b w:val="0"/>
        <w:i w:val="0"/>
        <w:sz w:val="20"/>
      </w:rPr>
    </w:pPr>
  </w:p>
  <w:p w14:paraId="3013FA06" w14:textId="77777777" w:rsidR="00F23F75" w:rsidRDefault="00F23F75">
    <w:pPr>
      <w:pStyle w:val="Textoindependiente"/>
      <w:spacing w:line="14" w:lineRule="auto"/>
      <w:rPr>
        <w:b w:val="0"/>
        <w:i w:val="0"/>
        <w:sz w:val="20"/>
      </w:rPr>
    </w:pPr>
  </w:p>
  <w:p w14:paraId="7CED9115" w14:textId="77777777" w:rsidR="00F23F75" w:rsidRDefault="00F23F75">
    <w:pPr>
      <w:pStyle w:val="Textoindependiente"/>
      <w:spacing w:line="14" w:lineRule="auto"/>
      <w:rPr>
        <w:b w:val="0"/>
        <w:i w:val="0"/>
        <w:sz w:val="20"/>
      </w:rPr>
    </w:pPr>
  </w:p>
  <w:p w14:paraId="7EB1ABFB" w14:textId="77777777" w:rsidR="00F23F75" w:rsidRDefault="00F23F75">
    <w:pPr>
      <w:pStyle w:val="Textoindependiente"/>
      <w:spacing w:line="14" w:lineRule="auto"/>
      <w:rPr>
        <w:b w:val="0"/>
        <w:i w:val="0"/>
        <w:sz w:val="20"/>
      </w:rPr>
    </w:pPr>
  </w:p>
  <w:p w14:paraId="3B6AFE31" w14:textId="77777777" w:rsidR="00F23F75" w:rsidRDefault="00F23F75">
    <w:pPr>
      <w:pStyle w:val="Textoindependiente"/>
      <w:spacing w:line="14" w:lineRule="auto"/>
      <w:rPr>
        <w:b w:val="0"/>
        <w:i w:val="0"/>
        <w:sz w:val="20"/>
      </w:rPr>
    </w:pPr>
  </w:p>
  <w:p w14:paraId="13E772A5" w14:textId="77777777" w:rsidR="00F23F75" w:rsidRDefault="00F23F75">
    <w:pPr>
      <w:pStyle w:val="Textoindependiente"/>
      <w:spacing w:line="14" w:lineRule="auto"/>
      <w:rPr>
        <w:b w:val="0"/>
        <w:i w:val="0"/>
        <w:sz w:val="20"/>
      </w:rPr>
    </w:pPr>
  </w:p>
  <w:p w14:paraId="146CAE0C" w14:textId="77777777" w:rsidR="00F23F75" w:rsidRDefault="00F23F75">
    <w:pPr>
      <w:pStyle w:val="Textoindependiente"/>
      <w:spacing w:line="14" w:lineRule="auto"/>
      <w:rPr>
        <w:b w:val="0"/>
        <w:i w:val="0"/>
        <w:sz w:val="20"/>
      </w:rPr>
    </w:pPr>
  </w:p>
  <w:p w14:paraId="2CB13474" w14:textId="77777777" w:rsidR="00F23F75" w:rsidRDefault="00F23F75">
    <w:pPr>
      <w:pStyle w:val="Textoindependiente"/>
      <w:spacing w:line="14" w:lineRule="auto"/>
      <w:rPr>
        <w:b w:val="0"/>
        <w:i w:val="0"/>
        <w:sz w:val="20"/>
      </w:rPr>
    </w:pPr>
  </w:p>
  <w:p w14:paraId="247C1FA4" w14:textId="77777777" w:rsidR="00F23F75" w:rsidRDefault="00F23F75">
    <w:pPr>
      <w:pStyle w:val="Textoindependiente"/>
      <w:spacing w:line="14" w:lineRule="auto"/>
      <w:rPr>
        <w:b w:val="0"/>
        <w:i w:val="0"/>
        <w:sz w:val="20"/>
      </w:rPr>
    </w:pPr>
  </w:p>
  <w:p w14:paraId="69920BB9" w14:textId="77777777" w:rsidR="00F23F75" w:rsidRDefault="00F23F75">
    <w:pPr>
      <w:pStyle w:val="Textoindependiente"/>
      <w:spacing w:line="14" w:lineRule="auto"/>
      <w:rPr>
        <w:b w:val="0"/>
        <w:i w:val="0"/>
        <w:sz w:val="20"/>
      </w:rPr>
    </w:pPr>
  </w:p>
  <w:p w14:paraId="6A255F7E" w14:textId="02345E64" w:rsidR="00F23F75" w:rsidRDefault="00804530" w:rsidP="00804530">
    <w:pPr>
      <w:pStyle w:val="Textoindependiente"/>
      <w:tabs>
        <w:tab w:val="left" w:pos="10331"/>
      </w:tabs>
      <w:spacing w:line="14" w:lineRule="auto"/>
      <w:rPr>
        <w:b w:val="0"/>
        <w:i w:val="0"/>
        <w:sz w:val="20"/>
      </w:rPr>
    </w:pPr>
    <w:r>
      <w:rPr>
        <w:b w:val="0"/>
        <w:i w:val="0"/>
        <w:sz w:val="20"/>
      </w:rPr>
      <w:tab/>
    </w:r>
  </w:p>
  <w:p w14:paraId="2E15DAF8" w14:textId="177E2F1A" w:rsidR="00804530" w:rsidRDefault="00804530" w:rsidP="00804530">
    <w:pPr>
      <w:pStyle w:val="Textoindependiente"/>
      <w:tabs>
        <w:tab w:val="left" w:pos="10331"/>
      </w:tabs>
      <w:spacing w:line="14" w:lineRule="auto"/>
      <w:rPr>
        <w:b w:val="0"/>
        <w:i w:val="0"/>
        <w:sz w:val="20"/>
      </w:rPr>
    </w:pPr>
  </w:p>
  <w:p w14:paraId="5EE1AE48" w14:textId="12E7DA56" w:rsidR="00804530" w:rsidRDefault="00804530" w:rsidP="00804530">
    <w:pPr>
      <w:pStyle w:val="Textoindependiente"/>
      <w:tabs>
        <w:tab w:val="left" w:pos="10331"/>
      </w:tabs>
      <w:spacing w:line="14" w:lineRule="auto"/>
      <w:rPr>
        <w:b w:val="0"/>
        <w:i w:val="0"/>
        <w:sz w:val="20"/>
      </w:rPr>
    </w:pPr>
  </w:p>
  <w:p w14:paraId="63AFCCB0" w14:textId="6A4C65A9" w:rsidR="00804530" w:rsidRDefault="00804530" w:rsidP="00804530">
    <w:pPr>
      <w:pStyle w:val="Textoindependiente"/>
      <w:tabs>
        <w:tab w:val="left" w:pos="10331"/>
      </w:tabs>
      <w:spacing w:line="14" w:lineRule="auto"/>
      <w:rPr>
        <w:b w:val="0"/>
        <w:i w:val="0"/>
        <w:sz w:val="20"/>
      </w:rPr>
    </w:pPr>
  </w:p>
  <w:p w14:paraId="0FE4E98D" w14:textId="5BE081F0" w:rsidR="00804530" w:rsidRDefault="00804530" w:rsidP="00804530">
    <w:pPr>
      <w:pStyle w:val="Textoindependiente"/>
      <w:tabs>
        <w:tab w:val="left" w:pos="10331"/>
      </w:tabs>
      <w:spacing w:line="14" w:lineRule="auto"/>
      <w:rPr>
        <w:b w:val="0"/>
        <w:i w:val="0"/>
        <w:sz w:val="20"/>
      </w:rPr>
    </w:pPr>
  </w:p>
  <w:p w14:paraId="4EE5CB79" w14:textId="60BBC163" w:rsidR="00804530" w:rsidRDefault="00804530" w:rsidP="00804530">
    <w:pPr>
      <w:pStyle w:val="Textoindependiente"/>
      <w:tabs>
        <w:tab w:val="left" w:pos="10331"/>
      </w:tabs>
      <w:spacing w:line="14" w:lineRule="auto"/>
      <w:rPr>
        <w:b w:val="0"/>
        <w:i w:val="0"/>
        <w:sz w:val="20"/>
      </w:rPr>
    </w:pPr>
  </w:p>
  <w:p w14:paraId="1DF6EA67" w14:textId="248B396D" w:rsidR="00804530" w:rsidRDefault="00804530" w:rsidP="00804530">
    <w:pPr>
      <w:pStyle w:val="Textoindependiente"/>
      <w:tabs>
        <w:tab w:val="left" w:pos="10331"/>
      </w:tabs>
      <w:spacing w:line="14" w:lineRule="auto"/>
      <w:rPr>
        <w:b w:val="0"/>
        <w:i w:val="0"/>
        <w:sz w:val="20"/>
      </w:rPr>
    </w:pPr>
  </w:p>
  <w:p w14:paraId="0C26D36E" w14:textId="77777777" w:rsidR="00804530" w:rsidRDefault="00804530" w:rsidP="00804530">
    <w:pPr>
      <w:pStyle w:val="Textoindependiente"/>
      <w:tabs>
        <w:tab w:val="left" w:pos="10331"/>
      </w:tabs>
      <w:spacing w:line="14" w:lineRule="auto"/>
      <w:rPr>
        <w:b w:val="0"/>
        <w:i w:val="0"/>
        <w:sz w:val="20"/>
      </w:rPr>
    </w:pPr>
  </w:p>
  <w:p w14:paraId="00122339" w14:textId="77777777" w:rsidR="00F23F75" w:rsidRDefault="00F23F75">
    <w:pPr>
      <w:pStyle w:val="Textoindependiente"/>
      <w:spacing w:line="14" w:lineRule="auto"/>
      <w:rPr>
        <w:b w:val="0"/>
        <w:i w:val="0"/>
        <w:sz w:val="20"/>
      </w:rPr>
    </w:pPr>
  </w:p>
  <w:p w14:paraId="25A139F1" w14:textId="77777777" w:rsidR="00F23F75" w:rsidRDefault="00F23F75">
    <w:pPr>
      <w:pStyle w:val="Textoindependiente"/>
      <w:spacing w:line="14" w:lineRule="auto"/>
      <w:rPr>
        <w:b w:val="0"/>
        <w:i w:val="0"/>
        <w:sz w:val="20"/>
      </w:rPr>
    </w:pPr>
  </w:p>
  <w:p w14:paraId="58DB99C7" w14:textId="77777777" w:rsidR="00F23F75" w:rsidRDefault="00F23F75">
    <w:pPr>
      <w:pStyle w:val="Textoindependiente"/>
      <w:spacing w:line="14" w:lineRule="auto"/>
      <w:rPr>
        <w:b w:val="0"/>
        <w:i w:val="0"/>
        <w:sz w:val="20"/>
      </w:rPr>
    </w:pPr>
  </w:p>
  <w:p w14:paraId="5B0480D0" w14:textId="77777777" w:rsidR="00F23F75" w:rsidRDefault="00F23F75">
    <w:pPr>
      <w:pStyle w:val="Textoindependiente"/>
      <w:spacing w:line="14" w:lineRule="auto"/>
      <w:rPr>
        <w:b w:val="0"/>
        <w:i w:val="0"/>
        <w:sz w:val="20"/>
      </w:rPr>
    </w:pPr>
  </w:p>
  <w:p w14:paraId="50AEDABD" w14:textId="77777777" w:rsidR="00F23F75" w:rsidRDefault="00F23F75">
    <w:pPr>
      <w:pStyle w:val="Textoindependiente"/>
      <w:spacing w:line="14" w:lineRule="auto"/>
      <w:rPr>
        <w:b w:val="0"/>
        <w:i w:val="0"/>
        <w:sz w:val="20"/>
      </w:rPr>
    </w:pPr>
  </w:p>
  <w:p w14:paraId="2BE96566" w14:textId="77777777" w:rsidR="00F23F75" w:rsidRDefault="00F23F75">
    <w:pPr>
      <w:pStyle w:val="Textoindependiente"/>
      <w:spacing w:line="14" w:lineRule="auto"/>
      <w:rPr>
        <w:b w:val="0"/>
        <w:i w:val="0"/>
        <w:sz w:val="20"/>
      </w:rPr>
    </w:pPr>
  </w:p>
  <w:p w14:paraId="427EF551" w14:textId="77777777" w:rsidR="00F23F75" w:rsidRDefault="00F23F75">
    <w:pPr>
      <w:pStyle w:val="Textoindependiente"/>
      <w:spacing w:line="14" w:lineRule="auto"/>
      <w:rPr>
        <w:b w:val="0"/>
        <w:i w:val="0"/>
        <w:sz w:val="20"/>
      </w:rPr>
    </w:pPr>
  </w:p>
  <w:p w14:paraId="64C102F1" w14:textId="77777777" w:rsidR="00F23F75" w:rsidRDefault="00F23F75">
    <w:pPr>
      <w:pStyle w:val="Textoindependiente"/>
      <w:spacing w:line="14" w:lineRule="auto"/>
      <w:rPr>
        <w:b w:val="0"/>
        <w:i w:val="0"/>
        <w:sz w:val="20"/>
      </w:rPr>
    </w:pPr>
  </w:p>
  <w:p w14:paraId="5B517B71" w14:textId="77777777" w:rsidR="00F23F75" w:rsidRDefault="00F23F75">
    <w:pPr>
      <w:pStyle w:val="Textoindependiente"/>
      <w:spacing w:line="14" w:lineRule="auto"/>
      <w:rPr>
        <w:b w:val="0"/>
        <w:i w:val="0"/>
        <w:sz w:val="20"/>
      </w:rPr>
    </w:pPr>
  </w:p>
  <w:p w14:paraId="04F14408" w14:textId="77777777" w:rsidR="00F23F75" w:rsidRDefault="00F23F75">
    <w:pPr>
      <w:pStyle w:val="Textoindependiente"/>
      <w:spacing w:line="14" w:lineRule="auto"/>
      <w:rPr>
        <w:b w:val="0"/>
        <w:i w:val="0"/>
        <w:sz w:val="20"/>
      </w:rPr>
    </w:pPr>
  </w:p>
  <w:p w14:paraId="3D4763C1" w14:textId="77777777" w:rsidR="00F23F75" w:rsidRDefault="00F23F75">
    <w:pPr>
      <w:pStyle w:val="Textoindependiente"/>
      <w:spacing w:line="14" w:lineRule="auto"/>
      <w:rPr>
        <w:b w:val="0"/>
        <w:i w:val="0"/>
        <w:sz w:val="20"/>
      </w:rPr>
    </w:pPr>
  </w:p>
  <w:p w14:paraId="5B4F67D8" w14:textId="77777777" w:rsidR="00F23F75" w:rsidRDefault="00F23F75">
    <w:pPr>
      <w:pStyle w:val="Textoindependiente"/>
      <w:spacing w:line="14" w:lineRule="auto"/>
      <w:rPr>
        <w:b w:val="0"/>
        <w:i w:val="0"/>
        <w:sz w:val="20"/>
      </w:rPr>
    </w:pPr>
  </w:p>
  <w:p w14:paraId="5DC53681" w14:textId="77777777" w:rsidR="00F23F75" w:rsidRDefault="00F23F75">
    <w:pPr>
      <w:pStyle w:val="Textoindependiente"/>
      <w:spacing w:line="14" w:lineRule="auto"/>
      <w:rPr>
        <w:b w:val="0"/>
        <w:i w:val="0"/>
        <w:sz w:val="20"/>
      </w:rPr>
    </w:pPr>
  </w:p>
  <w:p w14:paraId="3FA12438" w14:textId="77777777" w:rsidR="00F23F75" w:rsidRDefault="00F23F75">
    <w:pPr>
      <w:pStyle w:val="Textoindependiente"/>
      <w:spacing w:line="14" w:lineRule="auto"/>
      <w:rPr>
        <w:b w:val="0"/>
        <w:i w:val="0"/>
        <w:sz w:val="20"/>
      </w:rPr>
    </w:pPr>
  </w:p>
  <w:p w14:paraId="5FF0BF93" w14:textId="77777777" w:rsidR="00F23F75" w:rsidRDefault="00F23F75">
    <w:pPr>
      <w:pStyle w:val="Textoindependiente"/>
      <w:spacing w:line="14" w:lineRule="auto"/>
      <w:rPr>
        <w:b w:val="0"/>
        <w:i w:val="0"/>
        <w:sz w:val="20"/>
      </w:rPr>
    </w:pPr>
  </w:p>
  <w:p w14:paraId="39B76796" w14:textId="77777777" w:rsidR="00F23F75" w:rsidRDefault="00F23F75">
    <w:pPr>
      <w:pStyle w:val="Textoindependiente"/>
      <w:spacing w:line="14" w:lineRule="auto"/>
      <w:rPr>
        <w:b w:val="0"/>
        <w:i w:val="0"/>
        <w:sz w:val="20"/>
      </w:rPr>
    </w:pPr>
  </w:p>
  <w:p w14:paraId="47ED607B" w14:textId="77777777" w:rsidR="00F23F75" w:rsidRDefault="00F23F75">
    <w:pPr>
      <w:pStyle w:val="Textoindependiente"/>
      <w:spacing w:line="14" w:lineRule="auto"/>
      <w:rPr>
        <w:b w:val="0"/>
        <w:i w:val="0"/>
        <w:sz w:val="20"/>
      </w:rPr>
    </w:pPr>
  </w:p>
  <w:p w14:paraId="7254BB06" w14:textId="77777777" w:rsidR="00F23F75" w:rsidRDefault="00F23F75">
    <w:pPr>
      <w:pStyle w:val="Textoindependiente"/>
      <w:spacing w:line="14" w:lineRule="auto"/>
      <w:rPr>
        <w:b w:val="0"/>
        <w:i w:val="0"/>
        <w:sz w:val="20"/>
      </w:rPr>
    </w:pPr>
  </w:p>
  <w:p w14:paraId="5419026C" w14:textId="77777777" w:rsidR="00F23F75" w:rsidRDefault="00F23F75">
    <w:pPr>
      <w:pStyle w:val="Textoindependiente"/>
      <w:spacing w:line="14" w:lineRule="auto"/>
      <w:rPr>
        <w:b w:val="0"/>
        <w:i w:val="0"/>
        <w:sz w:val="20"/>
      </w:rPr>
    </w:pPr>
  </w:p>
  <w:p w14:paraId="3EF7AE1F" w14:textId="77777777" w:rsidR="00F23F75" w:rsidRDefault="00F23F75">
    <w:pPr>
      <w:pStyle w:val="Textoindependiente"/>
      <w:spacing w:line="14" w:lineRule="auto"/>
      <w:rPr>
        <w:b w:val="0"/>
        <w:i w:val="0"/>
        <w:sz w:val="20"/>
      </w:rPr>
    </w:pPr>
  </w:p>
  <w:p w14:paraId="23CC7F4E" w14:textId="77777777" w:rsidR="00F23F75" w:rsidRDefault="00F23F75">
    <w:pPr>
      <w:pStyle w:val="Textoindependiente"/>
      <w:spacing w:line="14" w:lineRule="auto"/>
      <w:rPr>
        <w:b w:val="0"/>
        <w:i w:val="0"/>
        <w:sz w:val="20"/>
      </w:rPr>
    </w:pPr>
  </w:p>
  <w:p w14:paraId="6B2327AB" w14:textId="77777777" w:rsidR="00F23F75" w:rsidRDefault="00F23F75">
    <w:pPr>
      <w:pStyle w:val="Textoindependiente"/>
      <w:spacing w:line="14" w:lineRule="auto"/>
      <w:rPr>
        <w:b w:val="0"/>
        <w:i w:val="0"/>
        <w:sz w:val="20"/>
      </w:rPr>
    </w:pPr>
  </w:p>
  <w:p w14:paraId="5C1B655E" w14:textId="77777777" w:rsidR="00F23F75" w:rsidRDefault="00F23F75">
    <w:pPr>
      <w:pStyle w:val="Textoindependiente"/>
      <w:spacing w:line="14" w:lineRule="auto"/>
      <w:rPr>
        <w:b w:val="0"/>
        <w:i w:val="0"/>
        <w:sz w:val="20"/>
      </w:rPr>
    </w:pPr>
  </w:p>
  <w:p w14:paraId="36FD9A2F" w14:textId="2281553C" w:rsidR="001511EE" w:rsidRDefault="000B7300">
    <w:pPr>
      <w:pStyle w:val="Textoindependiente"/>
      <w:spacing w:line="14" w:lineRule="auto"/>
      <w:rPr>
        <w:b w:val="0"/>
        <w:i w:val="0"/>
        <w:sz w:val="20"/>
      </w:rPr>
    </w:pPr>
    <w:r>
      <w:rPr>
        <w:noProof/>
      </w:rPr>
      <mc:AlternateContent>
        <mc:Choice Requires="wps">
          <w:drawing>
            <wp:anchor distT="0" distB="0" distL="114300" distR="114300" simplePos="0" relativeHeight="251661824" behindDoc="1" locked="0" layoutInCell="1" allowOverlap="1" wp14:anchorId="56AFA7A0" wp14:editId="2BBE943F">
              <wp:simplePos x="0" y="0"/>
              <wp:positionH relativeFrom="page">
                <wp:posOffset>7324725</wp:posOffset>
              </wp:positionH>
              <wp:positionV relativeFrom="page">
                <wp:posOffset>552450</wp:posOffset>
              </wp:positionV>
              <wp:extent cx="4498340" cy="182245"/>
              <wp:effectExtent l="0" t="0" r="16510" b="825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83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03A82" w14:textId="77777777" w:rsidR="000B7300" w:rsidRDefault="000B7300" w:rsidP="000B7300">
                          <w:pPr>
                            <w:pStyle w:val="Textoindependiente"/>
                            <w:spacing w:before="13"/>
                            <w:ind w:left="20"/>
                          </w:pPr>
                          <w:r>
                            <w:rPr>
                              <w:sz w:val="22"/>
                            </w:rPr>
                            <w:t>D</w:t>
                          </w:r>
                          <w:r>
                            <w:t xml:space="preserve">IRECCIÓN </w:t>
                          </w:r>
                          <w:r>
                            <w:rPr>
                              <w:sz w:val="22"/>
                            </w:rPr>
                            <w:t>G</w:t>
                          </w:r>
                          <w:r>
                            <w:t xml:space="preserve">ENERAL DE </w:t>
                          </w:r>
                          <w:r>
                            <w:rPr>
                              <w:sz w:val="22"/>
                            </w:rPr>
                            <w:t>J</w:t>
                          </w:r>
                          <w:r>
                            <w:t>URISPRUDENCIA</w:t>
                          </w:r>
                          <w:r>
                            <w:rPr>
                              <w:sz w:val="22"/>
                            </w:rPr>
                            <w:t xml:space="preserve">, </w:t>
                          </w:r>
                          <w:r>
                            <w:t xml:space="preserve">SEGUIMIENTO Y </w:t>
                          </w:r>
                          <w:r w:rsidRPr="00DD1C5A">
                            <w:rPr>
                              <w:sz w:val="20"/>
                              <w:szCs w:val="20"/>
                            </w:rPr>
                            <w:t>C</w:t>
                          </w:r>
                          <w:r>
                            <w:t>ONSULTA||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FA7A0" id="_x0000_t202" coordsize="21600,21600" o:spt="202" path="m,l,21600r21600,l21600,xe">
              <v:stroke joinstyle="miter"/>
              <v:path gradientshapeok="t" o:connecttype="rect"/>
            </v:shapetype>
            <v:shape id="Text Box 1" o:spid="_x0000_s1026" type="#_x0000_t202" style="position:absolute;margin-left:576.75pt;margin-top:43.5pt;width:354.2pt;height:14.3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" filled="f" stroked="f">
              <v:textbox inset="0,0,0,0">
                <w:txbxContent>
                  <w:p w14:paraId="2E703A82" w14:textId="77777777" w:rsidR="000B7300" w:rsidRDefault="000B7300" w:rsidP="000B7300">
                    <w:pPr>
                      <w:pStyle w:val="Textoindependiente"/>
                      <w:spacing w:before="13"/>
                      <w:ind w:left="20"/>
                    </w:pPr>
                    <w:r>
                      <w:rPr>
                        <w:sz w:val="22"/>
                      </w:rPr>
                      <w:t>D</w:t>
                    </w:r>
                    <w:r>
                      <w:t xml:space="preserve">IRECCIÓN </w:t>
                    </w:r>
                    <w:r>
                      <w:rPr>
                        <w:sz w:val="22"/>
                      </w:rPr>
                      <w:t>G</w:t>
                    </w:r>
                    <w:r>
                      <w:t xml:space="preserve">ENERAL DE </w:t>
                    </w:r>
                    <w:r>
                      <w:rPr>
                        <w:sz w:val="22"/>
                      </w:rPr>
                      <w:t>J</w:t>
                    </w:r>
                    <w:r>
                      <w:t>URISPRUDENCIA</w:t>
                    </w:r>
                    <w:r>
                      <w:rPr>
                        <w:sz w:val="22"/>
                      </w:rPr>
                      <w:t xml:space="preserve">, </w:t>
                    </w:r>
                    <w:r>
                      <w:t xml:space="preserve">SEGUIMIENTO Y </w:t>
                    </w:r>
                    <w:r w:rsidRPr="00DD1C5A">
                      <w:rPr>
                        <w:sz w:val="20"/>
                        <w:szCs w:val="20"/>
                      </w:rPr>
                      <w:t>C</w:t>
                    </w:r>
                    <w:r>
                      <w:t>ONSULTA||</w:t>
                    </w:r>
                  </w:p>
                </w:txbxContent>
              </v:textbox>
              <w10:wrap anchorx="page" anchory="page"/>
            </v:shape>
          </w:pict>
        </mc:Fallback>
      </mc:AlternateContent>
    </w:r>
    <w:r w:rsidR="00F23F75">
      <w:rPr>
        <w:noProof/>
      </w:rPr>
      <w:drawing>
        <wp:anchor distT="0" distB="0" distL="0" distR="0" simplePos="0" relativeHeight="251659776" behindDoc="1" locked="0" layoutInCell="1" allowOverlap="1" wp14:anchorId="22CD2DA8" wp14:editId="3E084DF9">
          <wp:simplePos x="0" y="0"/>
          <wp:positionH relativeFrom="margin">
            <wp:align>left</wp:align>
          </wp:positionH>
          <wp:positionV relativeFrom="page">
            <wp:posOffset>316791</wp:posOffset>
          </wp:positionV>
          <wp:extent cx="1040838" cy="1001344"/>
          <wp:effectExtent l="0" t="0" r="6985" b="889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40838" cy="1001344"/>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A57D4" w14:textId="77777777" w:rsidR="000B7300" w:rsidRDefault="000B73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983D6E"/>
    <w:multiLevelType w:val="hybridMultilevel"/>
    <w:tmpl w:val="2C22931C"/>
    <w:lvl w:ilvl="0" w:tplc="754663CE">
      <w:start w:val="1"/>
      <w:numFmt w:val="decimal"/>
      <w:lvlText w:val="%1."/>
      <w:lvlJc w:val="left"/>
      <w:pPr>
        <w:ind w:left="466" w:hanging="360"/>
      </w:pPr>
      <w:rPr>
        <w:rFonts w:hint="default"/>
      </w:rPr>
    </w:lvl>
    <w:lvl w:ilvl="1" w:tplc="080A0019" w:tentative="1">
      <w:start w:val="1"/>
      <w:numFmt w:val="lowerLetter"/>
      <w:lvlText w:val="%2."/>
      <w:lvlJc w:val="left"/>
      <w:pPr>
        <w:ind w:left="1186" w:hanging="360"/>
      </w:pPr>
    </w:lvl>
    <w:lvl w:ilvl="2" w:tplc="080A001B" w:tentative="1">
      <w:start w:val="1"/>
      <w:numFmt w:val="lowerRoman"/>
      <w:lvlText w:val="%3."/>
      <w:lvlJc w:val="right"/>
      <w:pPr>
        <w:ind w:left="1906" w:hanging="180"/>
      </w:pPr>
    </w:lvl>
    <w:lvl w:ilvl="3" w:tplc="080A000F" w:tentative="1">
      <w:start w:val="1"/>
      <w:numFmt w:val="decimal"/>
      <w:lvlText w:val="%4."/>
      <w:lvlJc w:val="left"/>
      <w:pPr>
        <w:ind w:left="2626" w:hanging="360"/>
      </w:pPr>
    </w:lvl>
    <w:lvl w:ilvl="4" w:tplc="080A0019" w:tentative="1">
      <w:start w:val="1"/>
      <w:numFmt w:val="lowerLetter"/>
      <w:lvlText w:val="%5."/>
      <w:lvlJc w:val="left"/>
      <w:pPr>
        <w:ind w:left="3346" w:hanging="360"/>
      </w:pPr>
    </w:lvl>
    <w:lvl w:ilvl="5" w:tplc="080A001B" w:tentative="1">
      <w:start w:val="1"/>
      <w:numFmt w:val="lowerRoman"/>
      <w:lvlText w:val="%6."/>
      <w:lvlJc w:val="right"/>
      <w:pPr>
        <w:ind w:left="4066" w:hanging="180"/>
      </w:pPr>
    </w:lvl>
    <w:lvl w:ilvl="6" w:tplc="080A000F" w:tentative="1">
      <w:start w:val="1"/>
      <w:numFmt w:val="decimal"/>
      <w:lvlText w:val="%7."/>
      <w:lvlJc w:val="left"/>
      <w:pPr>
        <w:ind w:left="4786" w:hanging="360"/>
      </w:pPr>
    </w:lvl>
    <w:lvl w:ilvl="7" w:tplc="080A0019" w:tentative="1">
      <w:start w:val="1"/>
      <w:numFmt w:val="lowerLetter"/>
      <w:lvlText w:val="%8."/>
      <w:lvlJc w:val="left"/>
      <w:pPr>
        <w:ind w:left="5506" w:hanging="360"/>
      </w:pPr>
    </w:lvl>
    <w:lvl w:ilvl="8" w:tplc="080A001B" w:tentative="1">
      <w:start w:val="1"/>
      <w:numFmt w:val="lowerRoman"/>
      <w:lvlText w:val="%9."/>
      <w:lvlJc w:val="right"/>
      <w:pPr>
        <w:ind w:left="6226" w:hanging="180"/>
      </w:pPr>
    </w:lvl>
  </w:abstractNum>
  <w:abstractNum w:abstractNumId="1" w15:restartNumberingAfterBreak="0">
    <w:nsid w:val="33254C87"/>
    <w:multiLevelType w:val="hybridMultilevel"/>
    <w:tmpl w:val="23EA261E"/>
    <w:lvl w:ilvl="0" w:tplc="97A2C750">
      <w:start w:val="1"/>
      <w:numFmt w:val="decimal"/>
      <w:lvlText w:val="%1."/>
      <w:lvlJc w:val="left"/>
      <w:pPr>
        <w:ind w:left="106" w:hanging="271"/>
      </w:pPr>
      <w:rPr>
        <w:rFonts w:ascii="Century Gothic" w:eastAsia="Century Gothic" w:hAnsi="Century Gothic" w:cs="Century Gothic" w:hint="default"/>
        <w:spacing w:val="-1"/>
        <w:w w:val="99"/>
        <w:sz w:val="20"/>
        <w:szCs w:val="20"/>
        <w:lang w:val="es-MX" w:eastAsia="es-MX" w:bidi="es-MX"/>
      </w:rPr>
    </w:lvl>
    <w:lvl w:ilvl="1" w:tplc="CB309350">
      <w:numFmt w:val="bullet"/>
      <w:lvlText w:val="•"/>
      <w:lvlJc w:val="left"/>
      <w:pPr>
        <w:ind w:left="840" w:hanging="271"/>
      </w:pPr>
      <w:rPr>
        <w:rFonts w:hint="default"/>
        <w:lang w:val="es-MX" w:eastAsia="es-MX" w:bidi="es-MX"/>
      </w:rPr>
    </w:lvl>
    <w:lvl w:ilvl="2" w:tplc="C682FBF4">
      <w:numFmt w:val="bullet"/>
      <w:lvlText w:val="•"/>
      <w:lvlJc w:val="left"/>
      <w:pPr>
        <w:ind w:left="1580" w:hanging="271"/>
      </w:pPr>
      <w:rPr>
        <w:rFonts w:hint="default"/>
        <w:lang w:val="es-MX" w:eastAsia="es-MX" w:bidi="es-MX"/>
      </w:rPr>
    </w:lvl>
    <w:lvl w:ilvl="3" w:tplc="6B18F680">
      <w:numFmt w:val="bullet"/>
      <w:lvlText w:val="•"/>
      <w:lvlJc w:val="left"/>
      <w:pPr>
        <w:ind w:left="2320" w:hanging="271"/>
      </w:pPr>
      <w:rPr>
        <w:rFonts w:hint="default"/>
        <w:lang w:val="es-MX" w:eastAsia="es-MX" w:bidi="es-MX"/>
      </w:rPr>
    </w:lvl>
    <w:lvl w:ilvl="4" w:tplc="268639D0">
      <w:numFmt w:val="bullet"/>
      <w:lvlText w:val="•"/>
      <w:lvlJc w:val="left"/>
      <w:pPr>
        <w:ind w:left="3060" w:hanging="271"/>
      </w:pPr>
      <w:rPr>
        <w:rFonts w:hint="default"/>
        <w:lang w:val="es-MX" w:eastAsia="es-MX" w:bidi="es-MX"/>
      </w:rPr>
    </w:lvl>
    <w:lvl w:ilvl="5" w:tplc="648CC65E">
      <w:numFmt w:val="bullet"/>
      <w:lvlText w:val="•"/>
      <w:lvlJc w:val="left"/>
      <w:pPr>
        <w:ind w:left="3801" w:hanging="271"/>
      </w:pPr>
      <w:rPr>
        <w:rFonts w:hint="default"/>
        <w:lang w:val="es-MX" w:eastAsia="es-MX" w:bidi="es-MX"/>
      </w:rPr>
    </w:lvl>
    <w:lvl w:ilvl="6" w:tplc="7916E3C0">
      <w:numFmt w:val="bullet"/>
      <w:lvlText w:val="•"/>
      <w:lvlJc w:val="left"/>
      <w:pPr>
        <w:ind w:left="4541" w:hanging="271"/>
      </w:pPr>
      <w:rPr>
        <w:rFonts w:hint="default"/>
        <w:lang w:val="es-MX" w:eastAsia="es-MX" w:bidi="es-MX"/>
      </w:rPr>
    </w:lvl>
    <w:lvl w:ilvl="7" w:tplc="01CAEC02">
      <w:numFmt w:val="bullet"/>
      <w:lvlText w:val="•"/>
      <w:lvlJc w:val="left"/>
      <w:pPr>
        <w:ind w:left="5281" w:hanging="271"/>
      </w:pPr>
      <w:rPr>
        <w:rFonts w:hint="default"/>
        <w:lang w:val="es-MX" w:eastAsia="es-MX" w:bidi="es-MX"/>
      </w:rPr>
    </w:lvl>
    <w:lvl w:ilvl="8" w:tplc="8AB00FCE">
      <w:numFmt w:val="bullet"/>
      <w:lvlText w:val="•"/>
      <w:lvlJc w:val="left"/>
      <w:pPr>
        <w:ind w:left="6021" w:hanging="271"/>
      </w:pPr>
      <w:rPr>
        <w:rFonts w:hint="default"/>
        <w:lang w:val="es-MX" w:eastAsia="es-MX" w:bidi="es-MX"/>
      </w:rPr>
    </w:lvl>
  </w:abstractNum>
  <w:abstractNum w:abstractNumId="2" w15:restartNumberingAfterBreak="0">
    <w:nsid w:val="3F457A6A"/>
    <w:multiLevelType w:val="hybridMultilevel"/>
    <w:tmpl w:val="2E2CD7D0"/>
    <w:lvl w:ilvl="0" w:tplc="D53E3830">
      <w:start w:val="1"/>
      <w:numFmt w:val="decimal"/>
      <w:lvlText w:val="%1."/>
      <w:lvlJc w:val="left"/>
      <w:pPr>
        <w:ind w:left="106" w:hanging="247"/>
      </w:pPr>
      <w:rPr>
        <w:rFonts w:ascii="Century Gothic" w:eastAsia="Century Gothic" w:hAnsi="Century Gothic" w:cs="Century Gothic" w:hint="default"/>
        <w:spacing w:val="-1"/>
        <w:w w:val="99"/>
        <w:sz w:val="20"/>
        <w:szCs w:val="20"/>
        <w:lang w:val="es-MX" w:eastAsia="es-MX" w:bidi="es-MX"/>
      </w:rPr>
    </w:lvl>
    <w:lvl w:ilvl="1" w:tplc="08E6B6FC">
      <w:numFmt w:val="bullet"/>
      <w:lvlText w:val="•"/>
      <w:lvlJc w:val="left"/>
      <w:pPr>
        <w:ind w:left="840" w:hanging="247"/>
      </w:pPr>
      <w:rPr>
        <w:rFonts w:hint="default"/>
        <w:lang w:val="es-MX" w:eastAsia="es-MX" w:bidi="es-MX"/>
      </w:rPr>
    </w:lvl>
    <w:lvl w:ilvl="2" w:tplc="5C14FF86">
      <w:numFmt w:val="bullet"/>
      <w:lvlText w:val="•"/>
      <w:lvlJc w:val="left"/>
      <w:pPr>
        <w:ind w:left="1580" w:hanging="247"/>
      </w:pPr>
      <w:rPr>
        <w:rFonts w:hint="default"/>
        <w:lang w:val="es-MX" w:eastAsia="es-MX" w:bidi="es-MX"/>
      </w:rPr>
    </w:lvl>
    <w:lvl w:ilvl="3" w:tplc="576643B0">
      <w:numFmt w:val="bullet"/>
      <w:lvlText w:val="•"/>
      <w:lvlJc w:val="left"/>
      <w:pPr>
        <w:ind w:left="2320" w:hanging="247"/>
      </w:pPr>
      <w:rPr>
        <w:rFonts w:hint="default"/>
        <w:lang w:val="es-MX" w:eastAsia="es-MX" w:bidi="es-MX"/>
      </w:rPr>
    </w:lvl>
    <w:lvl w:ilvl="4" w:tplc="1908B62A">
      <w:numFmt w:val="bullet"/>
      <w:lvlText w:val="•"/>
      <w:lvlJc w:val="left"/>
      <w:pPr>
        <w:ind w:left="3060" w:hanging="247"/>
      </w:pPr>
      <w:rPr>
        <w:rFonts w:hint="default"/>
        <w:lang w:val="es-MX" w:eastAsia="es-MX" w:bidi="es-MX"/>
      </w:rPr>
    </w:lvl>
    <w:lvl w:ilvl="5" w:tplc="0A5E3B10">
      <w:numFmt w:val="bullet"/>
      <w:lvlText w:val="•"/>
      <w:lvlJc w:val="left"/>
      <w:pPr>
        <w:ind w:left="3801" w:hanging="247"/>
      </w:pPr>
      <w:rPr>
        <w:rFonts w:hint="default"/>
        <w:lang w:val="es-MX" w:eastAsia="es-MX" w:bidi="es-MX"/>
      </w:rPr>
    </w:lvl>
    <w:lvl w:ilvl="6" w:tplc="48708622">
      <w:numFmt w:val="bullet"/>
      <w:lvlText w:val="•"/>
      <w:lvlJc w:val="left"/>
      <w:pPr>
        <w:ind w:left="4541" w:hanging="247"/>
      </w:pPr>
      <w:rPr>
        <w:rFonts w:hint="default"/>
        <w:lang w:val="es-MX" w:eastAsia="es-MX" w:bidi="es-MX"/>
      </w:rPr>
    </w:lvl>
    <w:lvl w:ilvl="7" w:tplc="3FF4E6EC">
      <w:numFmt w:val="bullet"/>
      <w:lvlText w:val="•"/>
      <w:lvlJc w:val="left"/>
      <w:pPr>
        <w:ind w:left="5281" w:hanging="247"/>
      </w:pPr>
      <w:rPr>
        <w:rFonts w:hint="default"/>
        <w:lang w:val="es-MX" w:eastAsia="es-MX" w:bidi="es-MX"/>
      </w:rPr>
    </w:lvl>
    <w:lvl w:ilvl="8" w:tplc="6F78D8DA">
      <w:numFmt w:val="bullet"/>
      <w:lvlText w:val="•"/>
      <w:lvlJc w:val="left"/>
      <w:pPr>
        <w:ind w:left="6021" w:hanging="247"/>
      </w:pPr>
      <w:rPr>
        <w:rFonts w:hint="default"/>
        <w:lang w:val="es-MX" w:eastAsia="es-MX" w:bidi="es-MX"/>
      </w:rPr>
    </w:lvl>
  </w:abstractNum>
  <w:abstractNum w:abstractNumId="3" w15:restartNumberingAfterBreak="0">
    <w:nsid w:val="6B2953D5"/>
    <w:multiLevelType w:val="hybridMultilevel"/>
    <w:tmpl w:val="94D8D018"/>
    <w:lvl w:ilvl="0" w:tplc="D88C1BD0">
      <w:start w:val="1"/>
      <w:numFmt w:val="decimal"/>
      <w:lvlText w:val="%1."/>
      <w:lvlJc w:val="left"/>
      <w:pPr>
        <w:ind w:left="106" w:hanging="262"/>
      </w:pPr>
      <w:rPr>
        <w:rFonts w:ascii="Century Gothic" w:eastAsia="Century Gothic" w:hAnsi="Century Gothic" w:cs="Century Gothic" w:hint="default"/>
        <w:spacing w:val="-1"/>
        <w:w w:val="99"/>
        <w:sz w:val="20"/>
        <w:szCs w:val="20"/>
        <w:lang w:val="es-MX" w:eastAsia="es-MX" w:bidi="es-MX"/>
      </w:rPr>
    </w:lvl>
    <w:lvl w:ilvl="1" w:tplc="80EA2CCA">
      <w:numFmt w:val="bullet"/>
      <w:lvlText w:val="•"/>
      <w:lvlJc w:val="left"/>
      <w:pPr>
        <w:ind w:left="840" w:hanging="262"/>
      </w:pPr>
      <w:rPr>
        <w:rFonts w:hint="default"/>
        <w:lang w:val="es-MX" w:eastAsia="es-MX" w:bidi="es-MX"/>
      </w:rPr>
    </w:lvl>
    <w:lvl w:ilvl="2" w:tplc="964A2842">
      <w:numFmt w:val="bullet"/>
      <w:lvlText w:val="•"/>
      <w:lvlJc w:val="left"/>
      <w:pPr>
        <w:ind w:left="1580" w:hanging="262"/>
      </w:pPr>
      <w:rPr>
        <w:rFonts w:hint="default"/>
        <w:lang w:val="es-MX" w:eastAsia="es-MX" w:bidi="es-MX"/>
      </w:rPr>
    </w:lvl>
    <w:lvl w:ilvl="3" w:tplc="AEBC0EEC">
      <w:numFmt w:val="bullet"/>
      <w:lvlText w:val="•"/>
      <w:lvlJc w:val="left"/>
      <w:pPr>
        <w:ind w:left="2320" w:hanging="262"/>
      </w:pPr>
      <w:rPr>
        <w:rFonts w:hint="default"/>
        <w:lang w:val="es-MX" w:eastAsia="es-MX" w:bidi="es-MX"/>
      </w:rPr>
    </w:lvl>
    <w:lvl w:ilvl="4" w:tplc="E9D2D79A">
      <w:numFmt w:val="bullet"/>
      <w:lvlText w:val="•"/>
      <w:lvlJc w:val="left"/>
      <w:pPr>
        <w:ind w:left="3060" w:hanging="262"/>
      </w:pPr>
      <w:rPr>
        <w:rFonts w:hint="default"/>
        <w:lang w:val="es-MX" w:eastAsia="es-MX" w:bidi="es-MX"/>
      </w:rPr>
    </w:lvl>
    <w:lvl w:ilvl="5" w:tplc="D71E3BA2">
      <w:numFmt w:val="bullet"/>
      <w:lvlText w:val="•"/>
      <w:lvlJc w:val="left"/>
      <w:pPr>
        <w:ind w:left="3801" w:hanging="262"/>
      </w:pPr>
      <w:rPr>
        <w:rFonts w:hint="default"/>
        <w:lang w:val="es-MX" w:eastAsia="es-MX" w:bidi="es-MX"/>
      </w:rPr>
    </w:lvl>
    <w:lvl w:ilvl="6" w:tplc="0D445F30">
      <w:numFmt w:val="bullet"/>
      <w:lvlText w:val="•"/>
      <w:lvlJc w:val="left"/>
      <w:pPr>
        <w:ind w:left="4541" w:hanging="262"/>
      </w:pPr>
      <w:rPr>
        <w:rFonts w:hint="default"/>
        <w:lang w:val="es-MX" w:eastAsia="es-MX" w:bidi="es-MX"/>
      </w:rPr>
    </w:lvl>
    <w:lvl w:ilvl="7" w:tplc="3A8C8AEA">
      <w:numFmt w:val="bullet"/>
      <w:lvlText w:val="•"/>
      <w:lvlJc w:val="left"/>
      <w:pPr>
        <w:ind w:left="5281" w:hanging="262"/>
      </w:pPr>
      <w:rPr>
        <w:rFonts w:hint="default"/>
        <w:lang w:val="es-MX" w:eastAsia="es-MX" w:bidi="es-MX"/>
      </w:rPr>
    </w:lvl>
    <w:lvl w:ilvl="8" w:tplc="CED6A696">
      <w:numFmt w:val="bullet"/>
      <w:lvlText w:val="•"/>
      <w:lvlJc w:val="left"/>
      <w:pPr>
        <w:ind w:left="6021" w:hanging="262"/>
      </w:pPr>
      <w:rPr>
        <w:rFonts w:hint="default"/>
        <w:lang w:val="es-MX" w:eastAsia="es-MX" w:bidi="es-MX"/>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1EE"/>
    <w:rsid w:val="000150CD"/>
    <w:rsid w:val="000505DF"/>
    <w:rsid w:val="000B7300"/>
    <w:rsid w:val="000D4007"/>
    <w:rsid w:val="001511EE"/>
    <w:rsid w:val="002953DC"/>
    <w:rsid w:val="003C22B0"/>
    <w:rsid w:val="00480DEE"/>
    <w:rsid w:val="00616A9F"/>
    <w:rsid w:val="00751B59"/>
    <w:rsid w:val="007D7CDE"/>
    <w:rsid w:val="00804530"/>
    <w:rsid w:val="00846D6B"/>
    <w:rsid w:val="00874B94"/>
    <w:rsid w:val="008D023F"/>
    <w:rsid w:val="00B9165D"/>
    <w:rsid w:val="00C17978"/>
    <w:rsid w:val="00E16D8A"/>
    <w:rsid w:val="00F23F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9F537"/>
  <w15:docId w15:val="{55BE674C-72D1-43CB-A00B-06E3E67A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es-MX" w:eastAsia="es-MX" w:bidi="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rFonts w:ascii="Arial" w:eastAsia="Arial" w:hAnsi="Arial" w:cs="Arial"/>
      <w:b/>
      <w:bCs/>
      <w:i/>
      <w:sz w:val="18"/>
      <w:szCs w:val="1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3C22B0"/>
    <w:rPr>
      <w:strike w:val="0"/>
      <w:dstrike w:val="0"/>
      <w:color w:val="24135F"/>
      <w:u w:val="none"/>
      <w:effect w:val="none"/>
      <w:shd w:val="clear" w:color="auto" w:fill="auto"/>
    </w:rPr>
  </w:style>
  <w:style w:type="character" w:styleId="Mencinsinresolver">
    <w:name w:val="Unresolved Mention"/>
    <w:basedOn w:val="Fuentedeprrafopredeter"/>
    <w:uiPriority w:val="99"/>
    <w:semiHidden/>
    <w:unhideWhenUsed/>
    <w:rsid w:val="00751B59"/>
    <w:rPr>
      <w:color w:val="605E5C"/>
      <w:shd w:val="clear" w:color="auto" w:fill="E1DFDD"/>
    </w:rPr>
  </w:style>
  <w:style w:type="character" w:styleId="Hipervnculovisitado">
    <w:name w:val="FollowedHyperlink"/>
    <w:basedOn w:val="Fuentedeprrafopredeter"/>
    <w:uiPriority w:val="99"/>
    <w:semiHidden/>
    <w:unhideWhenUsed/>
    <w:rsid w:val="00F23F75"/>
    <w:rPr>
      <w:color w:val="800080" w:themeColor="followedHyperlink"/>
      <w:u w:val="single"/>
    </w:rPr>
  </w:style>
  <w:style w:type="paragraph" w:styleId="Encabezado">
    <w:name w:val="header"/>
    <w:basedOn w:val="Normal"/>
    <w:link w:val="EncabezadoCar"/>
    <w:uiPriority w:val="99"/>
    <w:unhideWhenUsed/>
    <w:rsid w:val="00F23F75"/>
    <w:pPr>
      <w:tabs>
        <w:tab w:val="center" w:pos="4419"/>
        <w:tab w:val="right" w:pos="8838"/>
      </w:tabs>
    </w:pPr>
  </w:style>
  <w:style w:type="character" w:customStyle="1" w:styleId="EncabezadoCar">
    <w:name w:val="Encabezado Car"/>
    <w:basedOn w:val="Fuentedeprrafopredeter"/>
    <w:link w:val="Encabezado"/>
    <w:uiPriority w:val="99"/>
    <w:rsid w:val="00F23F75"/>
    <w:rPr>
      <w:rFonts w:ascii="Century Gothic" w:eastAsia="Century Gothic" w:hAnsi="Century Gothic" w:cs="Century Gothic"/>
      <w:lang w:val="es-MX" w:eastAsia="es-MX" w:bidi="es-MX"/>
    </w:rPr>
  </w:style>
  <w:style w:type="paragraph" w:styleId="Piedepgina">
    <w:name w:val="footer"/>
    <w:basedOn w:val="Normal"/>
    <w:link w:val="PiedepginaCar"/>
    <w:uiPriority w:val="99"/>
    <w:unhideWhenUsed/>
    <w:rsid w:val="00F23F75"/>
    <w:pPr>
      <w:tabs>
        <w:tab w:val="center" w:pos="4419"/>
        <w:tab w:val="right" w:pos="8838"/>
      </w:tabs>
    </w:pPr>
  </w:style>
  <w:style w:type="character" w:customStyle="1" w:styleId="PiedepginaCar">
    <w:name w:val="Pie de página Car"/>
    <w:basedOn w:val="Fuentedeprrafopredeter"/>
    <w:link w:val="Piedepgina"/>
    <w:uiPriority w:val="99"/>
    <w:rsid w:val="00F23F75"/>
    <w:rPr>
      <w:rFonts w:ascii="Century Gothic" w:eastAsia="Century Gothic" w:hAnsi="Century Gothic" w:cs="Century Gothic"/>
      <w:lang w:val="es-MX" w:eastAsia="es-MX" w:bidi="es-MX"/>
    </w:rPr>
  </w:style>
  <w:style w:type="character" w:customStyle="1" w:styleId="TextoindependienteCar">
    <w:name w:val="Texto independiente Car"/>
    <w:basedOn w:val="Fuentedeprrafopredeter"/>
    <w:link w:val="Textoindependiente"/>
    <w:uiPriority w:val="1"/>
    <w:rsid w:val="000B7300"/>
    <w:rPr>
      <w:rFonts w:ascii="Arial" w:eastAsia="Arial" w:hAnsi="Arial" w:cs="Arial"/>
      <w:b/>
      <w:bCs/>
      <w:i/>
      <w:sz w:val="18"/>
      <w:szCs w:val="18"/>
      <w:lang w:val="es-MX" w:eastAsia="es-MX" w:bidi="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ngresocoahuila.gob.mx/transparencia/03/Leyes_Coahuila/coa01.pdf"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D://OneDrive%20-%20Tribunal%20Electoral%20del%20Poder%20Judicial%20de%20la%20Federaci%C3%B3n/vanessa.rojas/Downloads/consulta.cleaned%20(5).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bovmsilap.scjn.pjf.gob.mx/Buscador/Paginas/wfOrdenamientoDetalle.aspx?q=HyhCeKoVXreNENmlWqWmGTitHttpvR3KSMJbuXR4bqrH4nBJZma6lqULfL00rAAC"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te.gob.mx/legislacion/page/seleccion/14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12</Pages>
  <Words>2156</Words>
  <Characters>11863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Iván Isay Martínez Flores</dc:creator>
  <cp:lastModifiedBy>Luis Enrique González Ortega</cp:lastModifiedBy>
  <cp:revision>12</cp:revision>
  <dcterms:created xsi:type="dcterms:W3CDTF">2021-11-02T17:35:00Z</dcterms:created>
  <dcterms:modified xsi:type="dcterms:W3CDTF">2021-11-09T22:46:00Z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2017-01-19T00:00:00Z</vt:filetime>
  </property>
  <property fmtid="{D5CDD505-2E9C-101B-9397-08002B2CF9AE}" pid="3" name="Creator">
    <vt:lpwstr>Microsoft® Word 2016</vt:lpwstr>
  </property>
  <property fmtid="{D5CDD505-2E9C-101B-9397-08002B2CF9AE}" pid="4" name="LastSaved">
    <vt:filetime>2021-11-01T00:00:00Z</vt:filetime>
  </property>
</Properties>
</file>