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581" w:type="dxa"/>
        <w:tblInd w:w="1133" w:type="dxa"/>
        <w:tblCellMar>
          <w:top w:w="58" w:type="dxa"/>
          <w:left w:w="108" w:type="dxa"/>
          <w:right w:w="52" w:type="dxa"/>
        </w:tblCellMar>
        <w:tblLook w:val="04A0" w:firstRow="1" w:lastRow="0" w:firstColumn="1" w:lastColumn="0" w:noHBand="0" w:noVBand="1"/>
      </w:tblPr>
      <w:tblGrid>
        <w:gridCol w:w="841"/>
        <w:gridCol w:w="1223"/>
        <w:gridCol w:w="2477"/>
        <w:gridCol w:w="12040"/>
      </w:tblGrid>
      <w:tr w:rsidR="004F01CB" w14:paraId="0C50D80B" w14:textId="77777777" w:rsidTr="004F01CB">
        <w:trPr>
          <w:trHeight w:val="493"/>
          <w:tblHeader/>
        </w:trPr>
        <w:tc>
          <w:tcPr>
            <w:tcW w:w="841" w:type="dxa"/>
            <w:tcBorders>
              <w:top w:val="single" w:sz="4" w:space="0" w:color="BFBFBF"/>
              <w:left w:val="single" w:sz="4" w:space="0" w:color="BFBFBF"/>
              <w:bottom w:val="single" w:sz="4" w:space="0" w:color="BFBFBF"/>
              <w:right w:val="single" w:sz="4" w:space="0" w:color="BFBFBF"/>
            </w:tcBorders>
            <w:shd w:val="clear" w:color="auto" w:fill="76923C"/>
            <w:vAlign w:val="center"/>
          </w:tcPr>
          <w:p w14:paraId="74EE011A" w14:textId="77777777" w:rsidR="004F01CB" w:rsidRDefault="004F01CB">
            <w:pPr>
              <w:ind w:left="387"/>
              <w:jc w:val="center"/>
            </w:pPr>
            <w:r>
              <w:t xml:space="preserve"> </w:t>
            </w:r>
            <w:r>
              <w:rPr>
                <w:rFonts w:ascii="Century Gothic" w:eastAsia="Century Gothic" w:hAnsi="Century Gothic" w:cs="Century Gothic"/>
                <w:b/>
                <w:color w:val="FFFFFF"/>
                <w:sz w:val="20"/>
              </w:rPr>
              <w:t xml:space="preserve"> </w:t>
            </w:r>
          </w:p>
        </w:tc>
        <w:tc>
          <w:tcPr>
            <w:tcW w:w="1223" w:type="dxa"/>
            <w:tcBorders>
              <w:top w:val="single" w:sz="4" w:space="0" w:color="BFBFBF"/>
              <w:left w:val="single" w:sz="4" w:space="0" w:color="BFBFBF"/>
              <w:bottom w:val="single" w:sz="4" w:space="0" w:color="BFBFBF"/>
              <w:right w:val="single" w:sz="4" w:space="0" w:color="BFBFBF"/>
            </w:tcBorders>
            <w:shd w:val="clear" w:color="auto" w:fill="76923C"/>
            <w:vAlign w:val="center"/>
          </w:tcPr>
          <w:p w14:paraId="69AD4A83" w14:textId="77777777" w:rsidR="004F01CB" w:rsidRDefault="004F01CB">
            <w:pPr>
              <w:ind w:right="59"/>
              <w:jc w:val="center"/>
            </w:pPr>
            <w:r>
              <w:rPr>
                <w:rFonts w:ascii="Century Gothic" w:eastAsia="Century Gothic" w:hAnsi="Century Gothic" w:cs="Century Gothic"/>
                <w:b/>
                <w:color w:val="FFFFFF"/>
                <w:sz w:val="20"/>
              </w:rPr>
              <w:t xml:space="preserve">ESTADO </w:t>
            </w:r>
          </w:p>
        </w:tc>
        <w:tc>
          <w:tcPr>
            <w:tcW w:w="2477" w:type="dxa"/>
            <w:tcBorders>
              <w:top w:val="single" w:sz="4" w:space="0" w:color="BFBFBF"/>
              <w:left w:val="single" w:sz="4" w:space="0" w:color="BFBFBF"/>
              <w:bottom w:val="single" w:sz="4" w:space="0" w:color="BFBFBF"/>
              <w:right w:val="single" w:sz="4" w:space="0" w:color="BFBFBF"/>
            </w:tcBorders>
            <w:shd w:val="clear" w:color="auto" w:fill="76923C"/>
            <w:vAlign w:val="center"/>
          </w:tcPr>
          <w:p w14:paraId="38107E66" w14:textId="77777777" w:rsidR="004F01CB" w:rsidRDefault="004F01CB">
            <w:pPr>
              <w:ind w:right="59"/>
              <w:jc w:val="center"/>
            </w:pPr>
            <w:r>
              <w:rPr>
                <w:rFonts w:ascii="Century Gothic" w:eastAsia="Century Gothic" w:hAnsi="Century Gothic" w:cs="Century Gothic"/>
                <w:b/>
                <w:color w:val="FFFFFF"/>
                <w:sz w:val="20"/>
              </w:rPr>
              <w:t xml:space="preserve">LEY </w:t>
            </w:r>
          </w:p>
        </w:tc>
        <w:tc>
          <w:tcPr>
            <w:tcW w:w="12040" w:type="dxa"/>
            <w:tcBorders>
              <w:top w:val="single" w:sz="4" w:space="0" w:color="BFBFBF"/>
              <w:left w:val="single" w:sz="4" w:space="0" w:color="BFBFBF"/>
              <w:bottom w:val="single" w:sz="4" w:space="0" w:color="BFBFBF"/>
              <w:right w:val="single" w:sz="4" w:space="0" w:color="BFBFBF"/>
            </w:tcBorders>
            <w:shd w:val="clear" w:color="auto" w:fill="76923C"/>
          </w:tcPr>
          <w:p w14:paraId="53C01E22" w14:textId="7E9C4A8E" w:rsidR="004F01CB" w:rsidRDefault="004F01CB">
            <w:pPr>
              <w:ind w:right="61"/>
              <w:jc w:val="center"/>
              <w:rPr>
                <w:rFonts w:ascii="Century Gothic" w:eastAsia="Century Gothic" w:hAnsi="Century Gothic" w:cs="Century Gothic"/>
                <w:b/>
                <w:color w:val="FFFFFF"/>
                <w:sz w:val="20"/>
              </w:rPr>
            </w:pPr>
            <w:r w:rsidRPr="00130288">
              <w:rPr>
                <w:rFonts w:ascii="Century Gothic" w:eastAsia="Century Gothic" w:hAnsi="Century Gothic" w:cs="Century Gothic"/>
                <w:b/>
                <w:color w:val="FFFFFF"/>
                <w:sz w:val="20"/>
              </w:rPr>
              <w:t>ARTÍCULO</w:t>
            </w:r>
            <w:r>
              <w:rPr>
                <w:rFonts w:ascii="Century Gothic" w:eastAsia="Century Gothic" w:hAnsi="Century Gothic" w:cs="Century Gothic"/>
                <w:b/>
                <w:color w:val="FFFFFF"/>
                <w:sz w:val="20"/>
              </w:rPr>
              <w:t xml:space="preserve"> </w:t>
            </w:r>
            <w:r w:rsidRPr="00130288">
              <w:rPr>
                <w:rFonts w:ascii="Century Gothic" w:eastAsia="Century Gothic" w:hAnsi="Century Gothic" w:cs="Century Gothic"/>
                <w:b/>
                <w:color w:val="FFFFFF"/>
                <w:sz w:val="20"/>
              </w:rPr>
              <w:t>(TRANSCRIPCIÓN)</w:t>
            </w:r>
          </w:p>
        </w:tc>
      </w:tr>
      <w:tr w:rsidR="004F01CB" w14:paraId="7EF6FB5A" w14:textId="77777777" w:rsidTr="004F01CB">
        <w:trPr>
          <w:trHeight w:val="7858"/>
        </w:trPr>
        <w:tc>
          <w:tcPr>
            <w:tcW w:w="841"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147CE1BC" w14:textId="77777777" w:rsidR="004F01CB" w:rsidRDefault="004F01CB" w:rsidP="00130288">
            <w:pPr>
              <w:jc w:val="center"/>
            </w:pPr>
            <w:r>
              <w:rPr>
                <w:rFonts w:ascii="Century Gothic" w:eastAsia="Century Gothic" w:hAnsi="Century Gothic" w:cs="Century Gothic"/>
                <w:b/>
                <w:sz w:val="20"/>
              </w:rPr>
              <w:t>1.</w:t>
            </w:r>
          </w:p>
        </w:tc>
        <w:tc>
          <w:tcPr>
            <w:tcW w:w="1223"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15ECA491" w14:textId="77777777" w:rsidR="004F01CB" w:rsidRDefault="004F01CB">
            <w:pPr>
              <w:ind w:right="62"/>
              <w:jc w:val="center"/>
            </w:pPr>
            <w:r>
              <w:rPr>
                <w:rFonts w:ascii="Century Gothic" w:eastAsia="Century Gothic" w:hAnsi="Century Gothic" w:cs="Century Gothic"/>
                <w:b/>
                <w:sz w:val="20"/>
              </w:rPr>
              <w:t xml:space="preserve">HIDALGO </w:t>
            </w:r>
          </w:p>
        </w:tc>
        <w:tc>
          <w:tcPr>
            <w:tcW w:w="2477"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32721C27" w14:textId="0FD8DC85" w:rsidR="004F01CB" w:rsidRDefault="004F01CB">
            <w:pPr>
              <w:ind w:right="59"/>
              <w:jc w:val="center"/>
            </w:pPr>
            <w:hyperlink r:id="rId6" w:history="1">
              <w:r w:rsidRPr="00193F27">
                <w:rPr>
                  <w:rStyle w:val="Hipervnculo"/>
                  <w:rFonts w:ascii="Century Gothic" w:eastAsia="Century Gothic" w:hAnsi="Century Gothic" w:cs="Century Gothic"/>
                  <w:b/>
                  <w:sz w:val="20"/>
                </w:rPr>
                <w:t>Código Electoral del Estado de Hidalgo</w:t>
              </w:r>
            </w:hyperlink>
          </w:p>
        </w:tc>
        <w:tc>
          <w:tcPr>
            <w:tcW w:w="12040" w:type="dxa"/>
            <w:tcBorders>
              <w:top w:val="single" w:sz="4" w:space="0" w:color="BFBFBF"/>
              <w:left w:val="single" w:sz="4" w:space="0" w:color="BFBFBF"/>
              <w:bottom w:val="single" w:sz="4" w:space="0" w:color="BFBFBF"/>
              <w:right w:val="single" w:sz="4" w:space="0" w:color="BFBFBF"/>
            </w:tcBorders>
            <w:shd w:val="clear" w:color="auto" w:fill="F2F2F2"/>
          </w:tcPr>
          <w:p w14:paraId="4332484D" w14:textId="77777777" w:rsidR="004F01CB" w:rsidRPr="006F0FDD" w:rsidRDefault="004F01CB" w:rsidP="003F0FD1">
            <w:pPr>
              <w:spacing w:line="241" w:lineRule="auto"/>
              <w:ind w:right="56"/>
              <w:jc w:val="both"/>
              <w:rPr>
                <w:bCs/>
              </w:rPr>
            </w:pPr>
            <w:r w:rsidRPr="00D4212E">
              <w:rPr>
                <w:rFonts w:ascii="Century Gothic" w:eastAsia="Century Gothic" w:hAnsi="Century Gothic" w:cs="Century Gothic"/>
                <w:b/>
                <w:sz w:val="20"/>
              </w:rPr>
              <w:t>Artículo 1.</w:t>
            </w:r>
            <w:r w:rsidRPr="006F0FDD">
              <w:rPr>
                <w:rFonts w:ascii="Century Gothic" w:eastAsia="Century Gothic" w:hAnsi="Century Gothic" w:cs="Century Gothic"/>
                <w:bCs/>
                <w:sz w:val="20"/>
              </w:rPr>
              <w:t xml:space="preserve"> Las disposiciones de este Código son de orden público y de observancia general en el Estado Libre y Soberano de Hidalgo, que atiende a los principios en la materia electoral consagrados en la Constitución Política de los Estados Unidos Mexicanos y la Constitución Política del Estado de Hidalgo, que regula lo relativo a: </w:t>
            </w:r>
          </w:p>
          <w:p w14:paraId="7B0C93C0" w14:textId="77777777" w:rsidR="004F01CB" w:rsidRPr="006F0FDD" w:rsidRDefault="004F01CB" w:rsidP="003F0FD1">
            <w:pPr>
              <w:rPr>
                <w:bCs/>
              </w:rPr>
            </w:pPr>
            <w:r w:rsidRPr="006F0FDD">
              <w:rPr>
                <w:rFonts w:ascii="Century Gothic" w:eastAsia="Century Gothic" w:hAnsi="Century Gothic" w:cs="Century Gothic"/>
                <w:bCs/>
                <w:sz w:val="20"/>
              </w:rPr>
              <w:t xml:space="preserve"> </w:t>
            </w:r>
          </w:p>
          <w:p w14:paraId="2C8D2E87" w14:textId="77777777" w:rsidR="004F01CB" w:rsidRPr="006F0FDD" w:rsidRDefault="004F01CB" w:rsidP="003F0FD1">
            <w:pPr>
              <w:rPr>
                <w:bCs/>
              </w:rPr>
            </w:pPr>
            <w:r w:rsidRPr="006F0FDD">
              <w:rPr>
                <w:rFonts w:ascii="Century Gothic" w:eastAsia="Century Gothic" w:hAnsi="Century Gothic" w:cs="Century Gothic"/>
                <w:bCs/>
                <w:sz w:val="20"/>
              </w:rPr>
              <w:t xml:space="preserve">[…] </w:t>
            </w:r>
          </w:p>
          <w:p w14:paraId="3F3EBB99" w14:textId="77777777" w:rsidR="004F01CB" w:rsidRPr="006F0FDD" w:rsidRDefault="004F01CB" w:rsidP="003F0FD1">
            <w:pPr>
              <w:rPr>
                <w:bCs/>
              </w:rPr>
            </w:pPr>
            <w:r w:rsidRPr="006F0FDD">
              <w:rPr>
                <w:rFonts w:ascii="Century Gothic" w:eastAsia="Century Gothic" w:hAnsi="Century Gothic" w:cs="Century Gothic"/>
                <w:bCs/>
                <w:sz w:val="20"/>
              </w:rPr>
              <w:t xml:space="preserve"> </w:t>
            </w:r>
          </w:p>
          <w:p w14:paraId="64AFAC27" w14:textId="77777777" w:rsidR="004F01CB" w:rsidRPr="006F0FDD" w:rsidRDefault="004F01CB" w:rsidP="003F0FD1">
            <w:pPr>
              <w:jc w:val="both"/>
              <w:rPr>
                <w:bCs/>
              </w:rPr>
            </w:pPr>
            <w:r w:rsidRPr="00D4212E">
              <w:rPr>
                <w:rFonts w:ascii="Century Gothic" w:eastAsia="Century Gothic" w:hAnsi="Century Gothic" w:cs="Century Gothic"/>
                <w:b/>
                <w:sz w:val="20"/>
              </w:rPr>
              <w:t>VIII.</w:t>
            </w:r>
            <w:r w:rsidRPr="006F0FDD">
              <w:rPr>
                <w:rFonts w:ascii="Century Gothic" w:eastAsia="Century Gothic" w:hAnsi="Century Gothic" w:cs="Century Gothic"/>
                <w:bCs/>
                <w:sz w:val="20"/>
              </w:rPr>
              <w:t xml:space="preserve"> Los procedimientos de investigación y fiscalización electoral, en el supuesto de que el Instituto Nacional Electoral delegue dicha facultad; y </w:t>
            </w:r>
          </w:p>
          <w:p w14:paraId="426C50A0" w14:textId="77777777" w:rsidR="004F01CB" w:rsidRPr="006F0FDD" w:rsidRDefault="004F01CB" w:rsidP="003F0FD1">
            <w:pPr>
              <w:rPr>
                <w:bCs/>
              </w:rPr>
            </w:pPr>
            <w:r w:rsidRPr="006F0FDD">
              <w:rPr>
                <w:rFonts w:ascii="Century Gothic" w:eastAsia="Century Gothic" w:hAnsi="Century Gothic" w:cs="Century Gothic"/>
                <w:bCs/>
                <w:sz w:val="20"/>
              </w:rPr>
              <w:t xml:space="preserve"> </w:t>
            </w:r>
          </w:p>
          <w:p w14:paraId="505DD8A6" w14:textId="77777777" w:rsidR="004F01CB" w:rsidRPr="006F0FDD" w:rsidRDefault="004F01CB" w:rsidP="003F0FD1">
            <w:pPr>
              <w:rPr>
                <w:bCs/>
              </w:rPr>
            </w:pPr>
            <w:r w:rsidRPr="006F0FDD">
              <w:rPr>
                <w:rFonts w:ascii="Century Gothic" w:eastAsia="Century Gothic" w:hAnsi="Century Gothic" w:cs="Century Gothic"/>
                <w:bCs/>
                <w:sz w:val="20"/>
              </w:rPr>
              <w:t xml:space="preserve">[…] </w:t>
            </w:r>
          </w:p>
          <w:p w14:paraId="3B4D3FEE" w14:textId="77777777" w:rsidR="004F01CB" w:rsidRPr="006F0FDD" w:rsidRDefault="004F01CB">
            <w:pPr>
              <w:spacing w:line="241" w:lineRule="auto"/>
              <w:ind w:right="56"/>
              <w:jc w:val="both"/>
              <w:rPr>
                <w:rFonts w:ascii="Century Gothic" w:eastAsia="Century Gothic" w:hAnsi="Century Gothic" w:cs="Century Gothic"/>
                <w:bCs/>
                <w:sz w:val="20"/>
                <w:highlight w:val="yellow"/>
              </w:rPr>
            </w:pPr>
          </w:p>
          <w:p w14:paraId="1D9A6F52" w14:textId="77777777" w:rsidR="004F01CB" w:rsidRPr="004F01CB" w:rsidRDefault="004F01CB">
            <w:pPr>
              <w:spacing w:line="241" w:lineRule="auto"/>
              <w:ind w:right="56"/>
              <w:jc w:val="both"/>
              <w:rPr>
                <w:rFonts w:ascii="Century Gothic" w:eastAsia="Century Gothic" w:hAnsi="Century Gothic" w:cs="Century Gothic"/>
                <w:bCs/>
                <w:sz w:val="20"/>
              </w:rPr>
            </w:pPr>
            <w:r w:rsidRPr="004F01CB">
              <w:rPr>
                <w:rFonts w:ascii="Century Gothic" w:eastAsia="Century Gothic" w:hAnsi="Century Gothic" w:cs="Century Gothic"/>
                <w:b/>
                <w:sz w:val="20"/>
              </w:rPr>
              <w:t>Artículo 30.</w:t>
            </w:r>
            <w:r w:rsidRPr="004F01CB">
              <w:rPr>
                <w:rFonts w:ascii="Century Gothic" w:eastAsia="Century Gothic" w:hAnsi="Century Gothic" w:cs="Century Gothic"/>
                <w:bCs/>
                <w:sz w:val="20"/>
              </w:rPr>
              <w:t xml:space="preserve"> Los partidos políticos tendrán derecho al financiamiento público de sus actividades, estructura, sueldos y salarios, independientemente de las demás prerrogativas otorgadas en este Código, conforme a las disposiciones siguientes:</w:t>
            </w:r>
          </w:p>
          <w:p w14:paraId="48AD58CE" w14:textId="77777777" w:rsidR="004F01CB" w:rsidRPr="004F01CB" w:rsidRDefault="004F01CB">
            <w:pPr>
              <w:spacing w:line="241" w:lineRule="auto"/>
              <w:ind w:right="56"/>
              <w:jc w:val="both"/>
              <w:rPr>
                <w:rFonts w:ascii="Century Gothic" w:eastAsia="Century Gothic" w:hAnsi="Century Gothic" w:cs="Century Gothic"/>
                <w:bCs/>
                <w:sz w:val="20"/>
              </w:rPr>
            </w:pPr>
          </w:p>
          <w:p w14:paraId="3D34C3A2" w14:textId="77777777" w:rsidR="004F01CB" w:rsidRPr="004F01CB" w:rsidRDefault="004F01CB">
            <w:pPr>
              <w:spacing w:line="241" w:lineRule="auto"/>
              <w:ind w:right="56"/>
              <w:jc w:val="both"/>
              <w:rPr>
                <w:rFonts w:ascii="Century Gothic" w:eastAsia="Century Gothic" w:hAnsi="Century Gothic" w:cs="Century Gothic"/>
                <w:bCs/>
                <w:sz w:val="20"/>
              </w:rPr>
            </w:pPr>
            <w:r w:rsidRPr="004F01CB">
              <w:rPr>
                <w:rFonts w:ascii="Century Gothic" w:eastAsia="Century Gothic" w:hAnsi="Century Gothic" w:cs="Century Gothic"/>
                <w:bCs/>
                <w:sz w:val="20"/>
              </w:rPr>
              <w:t>[…]</w:t>
            </w:r>
          </w:p>
          <w:p w14:paraId="2C41EDCD" w14:textId="77777777" w:rsidR="004F01CB" w:rsidRPr="004F01CB" w:rsidRDefault="004F01CB">
            <w:pPr>
              <w:spacing w:line="241" w:lineRule="auto"/>
              <w:ind w:right="56"/>
              <w:jc w:val="both"/>
              <w:rPr>
                <w:rFonts w:ascii="Century Gothic" w:eastAsia="Century Gothic" w:hAnsi="Century Gothic" w:cs="Century Gothic"/>
                <w:bCs/>
                <w:sz w:val="20"/>
              </w:rPr>
            </w:pPr>
          </w:p>
          <w:p w14:paraId="784CA40A" w14:textId="77777777" w:rsidR="004F01CB" w:rsidRDefault="004F01CB">
            <w:pPr>
              <w:spacing w:line="241" w:lineRule="auto"/>
              <w:ind w:right="56"/>
              <w:jc w:val="both"/>
              <w:rPr>
                <w:rFonts w:ascii="Century Gothic" w:eastAsia="Century Gothic" w:hAnsi="Century Gothic" w:cs="Century Gothic"/>
                <w:bCs/>
                <w:sz w:val="20"/>
              </w:rPr>
            </w:pPr>
            <w:r w:rsidRPr="004F01CB">
              <w:rPr>
                <w:rFonts w:ascii="Century Gothic" w:eastAsia="Century Gothic" w:hAnsi="Century Gothic" w:cs="Century Gothic"/>
                <w:bCs/>
                <w:sz w:val="20"/>
              </w:rPr>
              <w:t>El financiamiento de campaña será administrado en su totalidad por los partidos políticos; estableciendo el prorrateo conforme lo previsto en este Código; teniendo que informarlas (sic) a la Unidad de Fiscalización del Instituto Nacional Electoral diez días antes del inicio de la campaña electoral, la cual lo hará del conocimiento de su Consejo General en la siguiente sesión, sin que dichos porcentajes de prorrateo puedan ser modificados.</w:t>
            </w:r>
          </w:p>
          <w:p w14:paraId="2F3E1A48" w14:textId="77777777" w:rsidR="004F01CB" w:rsidRPr="006F0FDD" w:rsidRDefault="004F01CB">
            <w:pPr>
              <w:spacing w:line="241" w:lineRule="auto"/>
              <w:ind w:right="56"/>
              <w:jc w:val="both"/>
              <w:rPr>
                <w:rFonts w:ascii="Century Gothic" w:eastAsia="Century Gothic" w:hAnsi="Century Gothic" w:cs="Century Gothic"/>
                <w:bCs/>
                <w:sz w:val="20"/>
              </w:rPr>
            </w:pPr>
          </w:p>
          <w:p w14:paraId="7C82FF5D" w14:textId="77777777" w:rsidR="004F01CB" w:rsidRPr="006F0FDD" w:rsidRDefault="004F01CB" w:rsidP="003F0FD1">
            <w:pPr>
              <w:spacing w:line="241" w:lineRule="auto"/>
              <w:ind w:right="56"/>
              <w:jc w:val="both"/>
              <w:rPr>
                <w:rFonts w:ascii="Century Gothic" w:eastAsia="Century Gothic" w:hAnsi="Century Gothic" w:cs="Century Gothic"/>
                <w:bCs/>
                <w:sz w:val="20"/>
              </w:rPr>
            </w:pPr>
            <w:r w:rsidRPr="006F0FDD">
              <w:rPr>
                <w:rFonts w:ascii="Century Gothic" w:eastAsia="Century Gothic" w:hAnsi="Century Gothic" w:cs="Century Gothic"/>
                <w:b/>
                <w:sz w:val="20"/>
              </w:rPr>
              <w:t>Artículo 34.</w:t>
            </w:r>
            <w:r w:rsidRPr="006F0FDD">
              <w:rPr>
                <w:rFonts w:ascii="Century Gothic" w:eastAsia="Century Gothic" w:hAnsi="Century Gothic" w:cs="Century Gothic"/>
                <w:bCs/>
                <w:sz w:val="20"/>
              </w:rPr>
              <w:t xml:space="preserve"> En cuanto a su régimen financiero, los partidos políticos deberán cumplir con lo dispuesto por la Constitución Política de los Estados Unidos Mexicanos y las demás disposiciones aplicables, así como la normatividad que emita el Consejo General del Instituto Nacional </w:t>
            </w:r>
          </w:p>
          <w:p w14:paraId="488B905D" w14:textId="77777777" w:rsidR="004F01CB" w:rsidRPr="006F0FDD" w:rsidRDefault="004F01CB" w:rsidP="003F0FD1">
            <w:pPr>
              <w:spacing w:line="241" w:lineRule="auto"/>
              <w:ind w:right="56"/>
              <w:jc w:val="both"/>
              <w:rPr>
                <w:rFonts w:ascii="Century Gothic" w:eastAsia="Century Gothic" w:hAnsi="Century Gothic" w:cs="Century Gothic"/>
                <w:bCs/>
                <w:sz w:val="20"/>
              </w:rPr>
            </w:pPr>
            <w:r w:rsidRPr="006F0FDD">
              <w:rPr>
                <w:rFonts w:ascii="Century Gothic" w:eastAsia="Century Gothic" w:hAnsi="Century Gothic" w:cs="Century Gothic"/>
                <w:bCs/>
                <w:sz w:val="20"/>
              </w:rPr>
              <w:t xml:space="preserve">Electoral. </w:t>
            </w:r>
          </w:p>
          <w:p w14:paraId="2D2E2A1C" w14:textId="77777777" w:rsidR="004F01CB" w:rsidRPr="006F0FDD" w:rsidRDefault="004F01CB" w:rsidP="003F0FD1">
            <w:pPr>
              <w:spacing w:line="241" w:lineRule="auto"/>
              <w:ind w:right="56"/>
              <w:jc w:val="both"/>
              <w:rPr>
                <w:rFonts w:ascii="Century Gothic" w:eastAsia="Century Gothic" w:hAnsi="Century Gothic" w:cs="Century Gothic"/>
                <w:bCs/>
                <w:sz w:val="20"/>
              </w:rPr>
            </w:pPr>
            <w:r w:rsidRPr="006F0FDD">
              <w:rPr>
                <w:rFonts w:ascii="Century Gothic" w:eastAsia="Century Gothic" w:hAnsi="Century Gothic" w:cs="Century Gothic"/>
                <w:bCs/>
                <w:sz w:val="20"/>
              </w:rPr>
              <w:t xml:space="preserve"> </w:t>
            </w:r>
          </w:p>
          <w:p w14:paraId="5F124458" w14:textId="77777777" w:rsidR="004F01CB" w:rsidRPr="006F0FDD" w:rsidRDefault="004F01CB" w:rsidP="003F0FD1">
            <w:pPr>
              <w:spacing w:line="241" w:lineRule="auto"/>
              <w:ind w:right="56"/>
              <w:jc w:val="both"/>
              <w:rPr>
                <w:rFonts w:ascii="Century Gothic" w:eastAsia="Century Gothic" w:hAnsi="Century Gothic" w:cs="Century Gothic"/>
                <w:bCs/>
                <w:sz w:val="20"/>
              </w:rPr>
            </w:pPr>
            <w:r w:rsidRPr="006F0FDD">
              <w:rPr>
                <w:rFonts w:ascii="Century Gothic" w:eastAsia="Century Gothic" w:hAnsi="Century Gothic" w:cs="Century Gothic"/>
                <w:bCs/>
                <w:sz w:val="20"/>
              </w:rPr>
              <w:t xml:space="preserve">El Instituto Estatal Electoral contará con una Unidad Técnica de Fiscalización, con el fin de auditar las finanzas de los partidos políticos, que ejercerá dichas facultades cuando el Instituto Nacional Electoral se las delegue, atendiendo al modelo, protocolos y lineamientos específicos que al efecto se emitan. </w:t>
            </w:r>
          </w:p>
          <w:p w14:paraId="5AD4CB72" w14:textId="77777777" w:rsidR="004F01CB" w:rsidRPr="006F0FDD" w:rsidRDefault="004F01CB" w:rsidP="003F0FD1">
            <w:pPr>
              <w:spacing w:line="241" w:lineRule="auto"/>
              <w:ind w:right="56"/>
              <w:jc w:val="both"/>
              <w:rPr>
                <w:rFonts w:ascii="Century Gothic" w:eastAsia="Century Gothic" w:hAnsi="Century Gothic" w:cs="Century Gothic"/>
                <w:bCs/>
                <w:sz w:val="20"/>
              </w:rPr>
            </w:pPr>
            <w:r w:rsidRPr="006F0FDD">
              <w:rPr>
                <w:rFonts w:ascii="Century Gothic" w:eastAsia="Century Gothic" w:hAnsi="Century Gothic" w:cs="Century Gothic"/>
                <w:bCs/>
                <w:sz w:val="20"/>
              </w:rPr>
              <w:t xml:space="preserve"> </w:t>
            </w:r>
          </w:p>
          <w:p w14:paraId="308DA856" w14:textId="77777777" w:rsidR="004F01CB" w:rsidRPr="006F0FDD" w:rsidRDefault="004F01CB" w:rsidP="003F0FD1">
            <w:pPr>
              <w:spacing w:line="241" w:lineRule="auto"/>
              <w:ind w:right="56"/>
              <w:jc w:val="both"/>
              <w:rPr>
                <w:rFonts w:ascii="Century Gothic" w:eastAsia="Century Gothic" w:hAnsi="Century Gothic" w:cs="Century Gothic"/>
                <w:bCs/>
                <w:sz w:val="20"/>
              </w:rPr>
            </w:pPr>
            <w:r w:rsidRPr="006F0FDD">
              <w:rPr>
                <w:rFonts w:ascii="Century Gothic" w:eastAsia="Century Gothic" w:hAnsi="Century Gothic" w:cs="Century Gothic"/>
                <w:bCs/>
                <w:sz w:val="20"/>
              </w:rPr>
              <w:t xml:space="preserve">[…] </w:t>
            </w:r>
          </w:p>
          <w:p w14:paraId="457FAF80" w14:textId="77777777" w:rsidR="004F01CB" w:rsidRPr="006F0FDD" w:rsidRDefault="004F01CB" w:rsidP="003F0FD1">
            <w:pPr>
              <w:spacing w:line="241" w:lineRule="auto"/>
              <w:ind w:right="56"/>
              <w:jc w:val="both"/>
              <w:rPr>
                <w:rFonts w:ascii="Century Gothic" w:eastAsia="Century Gothic" w:hAnsi="Century Gothic" w:cs="Century Gothic"/>
                <w:bCs/>
                <w:sz w:val="20"/>
              </w:rPr>
            </w:pPr>
          </w:p>
          <w:p w14:paraId="4E7CAD8C" w14:textId="77777777" w:rsidR="004F01CB" w:rsidRPr="004F01CB" w:rsidRDefault="004F01CB" w:rsidP="003F0FD1">
            <w:pPr>
              <w:spacing w:line="241" w:lineRule="auto"/>
              <w:ind w:right="56"/>
              <w:jc w:val="both"/>
              <w:rPr>
                <w:rFonts w:ascii="Century Gothic" w:eastAsia="Century Gothic" w:hAnsi="Century Gothic" w:cs="Century Gothic"/>
                <w:bCs/>
                <w:sz w:val="20"/>
              </w:rPr>
            </w:pPr>
            <w:r w:rsidRPr="004F01CB">
              <w:rPr>
                <w:rFonts w:ascii="Century Gothic" w:eastAsia="Century Gothic" w:hAnsi="Century Gothic" w:cs="Century Gothic"/>
                <w:b/>
                <w:sz w:val="20"/>
              </w:rPr>
              <w:lastRenderedPageBreak/>
              <w:t>Artículo 40.</w:t>
            </w:r>
            <w:r w:rsidRPr="004F01CB">
              <w:rPr>
                <w:rFonts w:ascii="Century Gothic" w:eastAsia="Century Gothic" w:hAnsi="Century Gothic" w:cs="Century Gothic"/>
                <w:bCs/>
                <w:sz w:val="20"/>
              </w:rPr>
              <w:t xml:space="preserve"> La pérdida del registro como partido político local, deberá pronunciarse mediante resolución motivada y fundada por el Instituto Estatal Electoral, la que se publicará en el Periódico Oficial del Estado. La declaratoria de pérdida de registro de un partido político no tendrá efectos en relación con los triunfos que sus candidatos hubieren obtenido en las elecciones según el principio de mayoría relativa, ni en la asignación de síndicos o regidores en las elecciones de Ayuntamientos por el principio de representación proporcional y será recurrible en los términos de este Código. </w:t>
            </w:r>
          </w:p>
          <w:p w14:paraId="201AAADA" w14:textId="77777777" w:rsidR="004F01CB" w:rsidRPr="004F01CB" w:rsidRDefault="004F01CB" w:rsidP="003F0FD1">
            <w:pPr>
              <w:spacing w:line="241" w:lineRule="auto"/>
              <w:ind w:right="56"/>
              <w:jc w:val="both"/>
              <w:rPr>
                <w:rFonts w:ascii="Century Gothic" w:eastAsia="Century Gothic" w:hAnsi="Century Gothic" w:cs="Century Gothic"/>
                <w:bCs/>
                <w:sz w:val="20"/>
              </w:rPr>
            </w:pPr>
          </w:p>
          <w:p w14:paraId="3A19429D" w14:textId="77777777" w:rsidR="004F01CB" w:rsidRPr="004F01CB" w:rsidRDefault="004F01CB" w:rsidP="003F0FD1">
            <w:pPr>
              <w:spacing w:line="241" w:lineRule="auto"/>
              <w:ind w:right="56"/>
              <w:jc w:val="both"/>
              <w:rPr>
                <w:rFonts w:ascii="Century Gothic" w:eastAsia="Century Gothic" w:hAnsi="Century Gothic" w:cs="Century Gothic"/>
                <w:bCs/>
                <w:sz w:val="20"/>
              </w:rPr>
            </w:pPr>
            <w:r w:rsidRPr="004F01CB">
              <w:rPr>
                <w:rFonts w:ascii="Century Gothic" w:eastAsia="Century Gothic" w:hAnsi="Century Gothic" w:cs="Century Gothic"/>
                <w:bCs/>
                <w:sz w:val="20"/>
              </w:rPr>
              <w:t>[…]</w:t>
            </w:r>
          </w:p>
          <w:p w14:paraId="761D5D92" w14:textId="77777777" w:rsidR="004F01CB" w:rsidRPr="004F01CB" w:rsidRDefault="004F01CB" w:rsidP="003F0FD1">
            <w:pPr>
              <w:spacing w:line="241" w:lineRule="auto"/>
              <w:ind w:right="56"/>
              <w:jc w:val="both"/>
              <w:rPr>
                <w:rFonts w:ascii="Century Gothic" w:eastAsia="Century Gothic" w:hAnsi="Century Gothic" w:cs="Century Gothic"/>
                <w:bCs/>
                <w:sz w:val="20"/>
              </w:rPr>
            </w:pPr>
          </w:p>
          <w:p w14:paraId="5F9B9064" w14:textId="77777777" w:rsidR="004F01CB" w:rsidRPr="006F0FDD" w:rsidRDefault="004F01CB" w:rsidP="003F0FD1">
            <w:pPr>
              <w:spacing w:line="241" w:lineRule="auto"/>
              <w:ind w:right="56"/>
              <w:jc w:val="both"/>
              <w:rPr>
                <w:rFonts w:ascii="Century Gothic" w:eastAsia="Century Gothic" w:hAnsi="Century Gothic" w:cs="Century Gothic"/>
                <w:bCs/>
                <w:sz w:val="20"/>
              </w:rPr>
            </w:pPr>
            <w:r w:rsidRPr="004F01CB">
              <w:rPr>
                <w:rFonts w:ascii="Century Gothic" w:eastAsia="Century Gothic" w:hAnsi="Century Gothic" w:cs="Century Gothic"/>
                <w:bCs/>
                <w:sz w:val="20"/>
              </w:rPr>
              <w:t>Independientemente de la cancelación o pérdida del registro, quienes hayan sido sus dirigentes y candidatos deberán cumplir las obligaciones que en materia de fiscalización establece este Código hasta la conclusión de los procedimientos respectivos y de liquidación y adjudicación de su patrimonio.</w:t>
            </w:r>
          </w:p>
          <w:p w14:paraId="6DFF2AF6" w14:textId="77777777" w:rsidR="004F01CB" w:rsidRPr="006F0FDD" w:rsidRDefault="004F01CB" w:rsidP="003F0FD1">
            <w:pPr>
              <w:spacing w:line="241" w:lineRule="auto"/>
              <w:ind w:right="56"/>
              <w:jc w:val="both"/>
              <w:rPr>
                <w:rFonts w:ascii="Century Gothic" w:eastAsia="Century Gothic" w:hAnsi="Century Gothic" w:cs="Century Gothic"/>
                <w:bCs/>
                <w:sz w:val="20"/>
              </w:rPr>
            </w:pPr>
          </w:p>
          <w:p w14:paraId="71200903" w14:textId="77777777" w:rsidR="004F01CB" w:rsidRPr="006F0FDD" w:rsidRDefault="004F01CB" w:rsidP="003F0FD1">
            <w:pPr>
              <w:jc w:val="both"/>
              <w:rPr>
                <w:bCs/>
              </w:rPr>
            </w:pPr>
            <w:r w:rsidRPr="006F0FDD">
              <w:rPr>
                <w:rFonts w:ascii="Century Gothic" w:eastAsia="Century Gothic" w:hAnsi="Century Gothic" w:cs="Century Gothic"/>
                <w:b/>
                <w:sz w:val="20"/>
              </w:rPr>
              <w:t>Artículo 105.</w:t>
            </w:r>
            <w:r w:rsidRPr="006F0FDD">
              <w:rPr>
                <w:rFonts w:ascii="Century Gothic" w:eastAsia="Century Gothic" w:hAnsi="Century Gothic" w:cs="Century Gothic"/>
                <w:bCs/>
                <w:sz w:val="20"/>
              </w:rPr>
              <w:t xml:space="preserve"> A más tardar en el mes de septiembre del año previo al de la elección, el Consejo General determinará los topes de gastos de precampaña por precandidato y tipo de elección para la que pretenda ser postulado. El tope será equivalente al veinte por ciento del establecido para las campañas inmediatas anteriores, según la elección de que se trate. </w:t>
            </w:r>
          </w:p>
          <w:p w14:paraId="7506BCC9" w14:textId="77777777" w:rsidR="004F01CB" w:rsidRPr="006F0FDD" w:rsidRDefault="004F01CB" w:rsidP="003F0FD1">
            <w:pPr>
              <w:rPr>
                <w:bCs/>
              </w:rPr>
            </w:pPr>
            <w:r w:rsidRPr="006F0FDD">
              <w:rPr>
                <w:rFonts w:ascii="Century Gothic" w:eastAsia="Century Gothic" w:hAnsi="Century Gothic" w:cs="Century Gothic"/>
                <w:bCs/>
                <w:sz w:val="20"/>
              </w:rPr>
              <w:t xml:space="preserve"> </w:t>
            </w:r>
          </w:p>
          <w:p w14:paraId="1E855F3C" w14:textId="77777777" w:rsidR="004F01CB" w:rsidRPr="006F0FDD" w:rsidRDefault="004F01CB" w:rsidP="003F0FD1">
            <w:pPr>
              <w:ind w:right="55"/>
              <w:jc w:val="both"/>
              <w:rPr>
                <w:bCs/>
              </w:rPr>
            </w:pPr>
            <w:r w:rsidRPr="006F0FDD">
              <w:rPr>
                <w:rFonts w:ascii="Century Gothic" w:eastAsia="Century Gothic" w:hAnsi="Century Gothic" w:cs="Century Gothic"/>
                <w:bCs/>
                <w:sz w:val="20"/>
              </w:rPr>
              <w:t xml:space="preserve">El Consejo General, a propuesta de la Unidad Técnica de Fiscalización, determinará los requisitos que cada precandidato debe cubrir al presentar su informe de ingresos y gastos de precampaña. En todo caso, el informe respectivo deberá ser entregado al órgano interno del partido competente a más tardar dentro de los siete días siguientes al de la jornada comicial interna o celebración de la asamblea respectiva. </w:t>
            </w:r>
          </w:p>
          <w:p w14:paraId="7DA35024" w14:textId="77777777" w:rsidR="004F01CB" w:rsidRPr="006F0FDD" w:rsidRDefault="004F01CB" w:rsidP="003F0FD1">
            <w:pPr>
              <w:rPr>
                <w:bCs/>
              </w:rPr>
            </w:pPr>
            <w:r w:rsidRPr="006F0FDD">
              <w:rPr>
                <w:rFonts w:ascii="Century Gothic" w:eastAsia="Century Gothic" w:hAnsi="Century Gothic" w:cs="Century Gothic"/>
                <w:bCs/>
                <w:sz w:val="20"/>
              </w:rPr>
              <w:t xml:space="preserve"> </w:t>
            </w:r>
          </w:p>
          <w:p w14:paraId="7D4682FD" w14:textId="77777777" w:rsidR="004F01CB" w:rsidRPr="006F0FDD" w:rsidRDefault="004F01CB" w:rsidP="003F0FD1">
            <w:pPr>
              <w:rPr>
                <w:bCs/>
              </w:rPr>
            </w:pPr>
            <w:r w:rsidRPr="006F0FDD">
              <w:rPr>
                <w:rFonts w:ascii="Century Gothic" w:eastAsia="Century Gothic" w:hAnsi="Century Gothic" w:cs="Century Gothic"/>
                <w:bCs/>
                <w:sz w:val="20"/>
              </w:rPr>
              <w:t xml:space="preserve">[…] </w:t>
            </w:r>
          </w:p>
          <w:p w14:paraId="151C2550" w14:textId="77777777" w:rsidR="004F01CB" w:rsidRPr="006F0FDD" w:rsidRDefault="004F01CB" w:rsidP="003F0FD1">
            <w:pPr>
              <w:spacing w:line="241" w:lineRule="auto"/>
              <w:ind w:right="56"/>
              <w:jc w:val="both"/>
              <w:rPr>
                <w:rFonts w:ascii="Century Gothic" w:eastAsia="Century Gothic" w:hAnsi="Century Gothic" w:cs="Century Gothic"/>
                <w:bCs/>
                <w:sz w:val="20"/>
              </w:rPr>
            </w:pPr>
            <w:r w:rsidRPr="006F0FDD">
              <w:rPr>
                <w:rFonts w:ascii="Century Gothic" w:eastAsia="Century Gothic" w:hAnsi="Century Gothic" w:cs="Century Gothic"/>
                <w:bCs/>
                <w:sz w:val="20"/>
              </w:rPr>
              <w:t xml:space="preserve"> </w:t>
            </w:r>
          </w:p>
          <w:p w14:paraId="73D03C36" w14:textId="77777777" w:rsidR="004F01CB" w:rsidRPr="006F0FDD" w:rsidRDefault="004F01CB" w:rsidP="003F0FD1">
            <w:pPr>
              <w:spacing w:line="241" w:lineRule="auto"/>
              <w:ind w:right="56"/>
              <w:jc w:val="both"/>
              <w:rPr>
                <w:rFonts w:ascii="Century Gothic" w:eastAsia="Century Gothic" w:hAnsi="Century Gothic" w:cs="Century Gothic"/>
                <w:bCs/>
                <w:sz w:val="20"/>
              </w:rPr>
            </w:pPr>
            <w:r w:rsidRPr="00D4212E">
              <w:rPr>
                <w:rFonts w:ascii="Century Gothic" w:eastAsia="Century Gothic" w:hAnsi="Century Gothic" w:cs="Century Gothic"/>
                <w:b/>
                <w:sz w:val="20"/>
              </w:rPr>
              <w:t>Artículo 241.</w:t>
            </w:r>
            <w:r w:rsidRPr="006F0FDD">
              <w:rPr>
                <w:rFonts w:ascii="Century Gothic" w:eastAsia="Century Gothic" w:hAnsi="Century Gothic" w:cs="Century Gothic"/>
                <w:bCs/>
                <w:sz w:val="20"/>
              </w:rPr>
              <w:t xml:space="preserve"> La Unidad de Fiscalización del Instituto Nacional Electoral y, de ser el caso, el área competente del Instituto Estatal </w:t>
            </w:r>
            <w:proofErr w:type="gramStart"/>
            <w:r w:rsidRPr="006F0FDD">
              <w:rPr>
                <w:rFonts w:ascii="Century Gothic" w:eastAsia="Century Gothic" w:hAnsi="Century Gothic" w:cs="Century Gothic"/>
                <w:bCs/>
                <w:sz w:val="20"/>
              </w:rPr>
              <w:t>Electoral,</w:t>
            </w:r>
            <w:proofErr w:type="gramEnd"/>
            <w:r w:rsidRPr="006F0FDD">
              <w:rPr>
                <w:rFonts w:ascii="Century Gothic" w:eastAsia="Century Gothic" w:hAnsi="Century Gothic" w:cs="Century Gothic"/>
                <w:bCs/>
                <w:sz w:val="20"/>
              </w:rPr>
              <w:t xml:space="preserve"> determinará los requisitos que los aspirantes deben cubrir al presentar su informe de ingresos y egresos de actos tendentes a recabar el apoyo ciudadano, en los términos de la legislación general aplicable. </w:t>
            </w:r>
          </w:p>
          <w:p w14:paraId="16A2CEC4" w14:textId="77777777" w:rsidR="004F01CB" w:rsidRPr="006F0FDD" w:rsidRDefault="004F01CB" w:rsidP="003F0FD1">
            <w:pPr>
              <w:spacing w:line="241" w:lineRule="auto"/>
              <w:ind w:right="56"/>
              <w:jc w:val="both"/>
              <w:rPr>
                <w:rFonts w:ascii="Century Gothic" w:eastAsia="Century Gothic" w:hAnsi="Century Gothic" w:cs="Century Gothic"/>
                <w:bCs/>
                <w:sz w:val="20"/>
              </w:rPr>
            </w:pPr>
            <w:r w:rsidRPr="006F0FDD">
              <w:rPr>
                <w:rFonts w:ascii="Century Gothic" w:eastAsia="Century Gothic" w:hAnsi="Century Gothic" w:cs="Century Gothic"/>
                <w:bCs/>
                <w:sz w:val="20"/>
              </w:rPr>
              <w:t xml:space="preserve"> </w:t>
            </w:r>
          </w:p>
          <w:p w14:paraId="7EE30573" w14:textId="77777777" w:rsidR="004F01CB" w:rsidRPr="006F0FDD" w:rsidRDefault="004F01CB" w:rsidP="003F0FD1">
            <w:pPr>
              <w:spacing w:line="241" w:lineRule="auto"/>
              <w:ind w:right="56"/>
              <w:jc w:val="both"/>
              <w:rPr>
                <w:rFonts w:ascii="Century Gothic" w:eastAsia="Century Gothic" w:hAnsi="Century Gothic" w:cs="Century Gothic"/>
                <w:bCs/>
                <w:sz w:val="20"/>
              </w:rPr>
            </w:pPr>
            <w:r w:rsidRPr="006F0FDD">
              <w:rPr>
                <w:rFonts w:ascii="Century Gothic" w:eastAsia="Century Gothic" w:hAnsi="Century Gothic" w:cs="Century Gothic"/>
                <w:bCs/>
                <w:sz w:val="20"/>
              </w:rPr>
              <w:t xml:space="preserve">[…] </w:t>
            </w:r>
          </w:p>
          <w:p w14:paraId="6654FB38" w14:textId="77777777" w:rsidR="004F01CB" w:rsidRPr="006F0FDD" w:rsidRDefault="004F01CB" w:rsidP="003F0FD1">
            <w:pPr>
              <w:spacing w:line="241" w:lineRule="auto"/>
              <w:ind w:right="56"/>
              <w:jc w:val="both"/>
              <w:rPr>
                <w:rFonts w:ascii="Century Gothic" w:eastAsia="Century Gothic" w:hAnsi="Century Gothic" w:cs="Century Gothic"/>
                <w:bCs/>
                <w:sz w:val="20"/>
              </w:rPr>
            </w:pPr>
            <w:r w:rsidRPr="006F0FDD">
              <w:rPr>
                <w:rFonts w:ascii="Century Gothic" w:eastAsia="Century Gothic" w:hAnsi="Century Gothic" w:cs="Century Gothic"/>
                <w:bCs/>
                <w:sz w:val="20"/>
              </w:rPr>
              <w:t xml:space="preserve"> </w:t>
            </w:r>
          </w:p>
          <w:p w14:paraId="653689A7" w14:textId="77777777" w:rsidR="004F01CB" w:rsidRPr="006F0FDD" w:rsidRDefault="004F01CB" w:rsidP="003F0FD1">
            <w:pPr>
              <w:spacing w:line="241" w:lineRule="auto"/>
              <w:ind w:right="56"/>
              <w:jc w:val="both"/>
              <w:rPr>
                <w:rFonts w:ascii="Century Gothic" w:eastAsia="Century Gothic" w:hAnsi="Century Gothic" w:cs="Century Gothic"/>
                <w:bCs/>
                <w:sz w:val="20"/>
              </w:rPr>
            </w:pPr>
            <w:r w:rsidRPr="00D4212E">
              <w:rPr>
                <w:rFonts w:ascii="Century Gothic" w:eastAsia="Century Gothic" w:hAnsi="Century Gothic" w:cs="Century Gothic"/>
                <w:b/>
                <w:sz w:val="20"/>
              </w:rPr>
              <w:t>Artículo 261.</w:t>
            </w:r>
            <w:r w:rsidRPr="006F0FDD">
              <w:rPr>
                <w:rFonts w:ascii="Century Gothic" w:eastAsia="Century Gothic" w:hAnsi="Century Gothic" w:cs="Century Gothic"/>
                <w:bCs/>
                <w:sz w:val="20"/>
              </w:rPr>
              <w:t xml:space="preserve"> Son obligaciones de los Candidatos Independientes registrados: </w:t>
            </w:r>
          </w:p>
          <w:p w14:paraId="784BC499" w14:textId="77777777" w:rsidR="004F01CB" w:rsidRPr="006F0FDD" w:rsidRDefault="004F01CB" w:rsidP="003F0FD1">
            <w:pPr>
              <w:spacing w:line="241" w:lineRule="auto"/>
              <w:ind w:right="56"/>
              <w:jc w:val="both"/>
              <w:rPr>
                <w:rFonts w:ascii="Century Gothic" w:eastAsia="Century Gothic" w:hAnsi="Century Gothic" w:cs="Century Gothic"/>
                <w:bCs/>
                <w:sz w:val="20"/>
              </w:rPr>
            </w:pPr>
            <w:r w:rsidRPr="006F0FDD">
              <w:rPr>
                <w:rFonts w:ascii="Century Gothic" w:eastAsia="Century Gothic" w:hAnsi="Century Gothic" w:cs="Century Gothic"/>
                <w:bCs/>
                <w:sz w:val="20"/>
              </w:rPr>
              <w:t xml:space="preserve"> </w:t>
            </w:r>
          </w:p>
          <w:p w14:paraId="0DC2283B" w14:textId="77777777" w:rsidR="004F01CB" w:rsidRPr="006F0FDD" w:rsidRDefault="004F01CB" w:rsidP="003F0FD1">
            <w:pPr>
              <w:spacing w:line="241" w:lineRule="auto"/>
              <w:ind w:right="56"/>
              <w:jc w:val="both"/>
              <w:rPr>
                <w:rFonts w:ascii="Century Gothic" w:eastAsia="Century Gothic" w:hAnsi="Century Gothic" w:cs="Century Gothic"/>
                <w:bCs/>
                <w:sz w:val="20"/>
              </w:rPr>
            </w:pPr>
            <w:r w:rsidRPr="006F0FDD">
              <w:rPr>
                <w:rFonts w:ascii="Century Gothic" w:eastAsia="Century Gothic" w:hAnsi="Century Gothic" w:cs="Century Gothic"/>
                <w:bCs/>
                <w:sz w:val="20"/>
              </w:rPr>
              <w:t xml:space="preserve">[…] </w:t>
            </w:r>
          </w:p>
          <w:p w14:paraId="6C8E22A4" w14:textId="77777777" w:rsidR="004F01CB" w:rsidRPr="006F0FDD" w:rsidRDefault="004F01CB" w:rsidP="003F0FD1">
            <w:pPr>
              <w:spacing w:line="241" w:lineRule="auto"/>
              <w:ind w:right="56"/>
              <w:jc w:val="both"/>
              <w:rPr>
                <w:rFonts w:ascii="Century Gothic" w:eastAsia="Century Gothic" w:hAnsi="Century Gothic" w:cs="Century Gothic"/>
                <w:bCs/>
                <w:sz w:val="20"/>
              </w:rPr>
            </w:pPr>
          </w:p>
          <w:p w14:paraId="23D3EB29" w14:textId="77777777" w:rsidR="004F01CB" w:rsidRPr="006F0FDD" w:rsidRDefault="004F01CB" w:rsidP="00AF0654">
            <w:pPr>
              <w:spacing w:line="241" w:lineRule="auto"/>
              <w:ind w:right="61"/>
              <w:jc w:val="both"/>
              <w:rPr>
                <w:bCs/>
              </w:rPr>
            </w:pPr>
            <w:r w:rsidRPr="006F0FDD">
              <w:rPr>
                <w:rFonts w:ascii="Century Gothic" w:eastAsia="Century Gothic" w:hAnsi="Century Gothic" w:cs="Century Gothic"/>
                <w:bCs/>
                <w:sz w:val="20"/>
              </w:rPr>
              <w:lastRenderedPageBreak/>
              <w:t xml:space="preserve">XV. Ser responsable solidario, junto con el encargado de la administración de sus recursos financieros, dentro de los procedimientos de fiscalización de los recursos correspondientes; y </w:t>
            </w:r>
          </w:p>
          <w:p w14:paraId="13F147DC" w14:textId="77777777" w:rsidR="004F01CB" w:rsidRPr="006F0FDD" w:rsidRDefault="004F01CB" w:rsidP="00AF0654">
            <w:pPr>
              <w:ind w:right="59"/>
              <w:jc w:val="both"/>
              <w:rPr>
                <w:bCs/>
              </w:rPr>
            </w:pPr>
          </w:p>
          <w:p w14:paraId="2A5E6CBC" w14:textId="77777777" w:rsidR="004F01CB" w:rsidRPr="006F0FDD" w:rsidRDefault="004F01CB" w:rsidP="00AF0654">
            <w:pPr>
              <w:rPr>
                <w:bCs/>
              </w:rPr>
            </w:pPr>
            <w:r w:rsidRPr="006F0FDD">
              <w:rPr>
                <w:rFonts w:ascii="Century Gothic" w:eastAsia="Century Gothic" w:hAnsi="Century Gothic" w:cs="Century Gothic"/>
                <w:bCs/>
                <w:sz w:val="20"/>
              </w:rPr>
              <w:t xml:space="preserve">[…] </w:t>
            </w:r>
          </w:p>
          <w:p w14:paraId="037E296A" w14:textId="77777777" w:rsidR="004F01CB" w:rsidRPr="006F0FDD" w:rsidRDefault="004F01CB" w:rsidP="00AF0654">
            <w:pPr>
              <w:rPr>
                <w:bCs/>
              </w:rPr>
            </w:pPr>
            <w:r w:rsidRPr="006F0FDD">
              <w:rPr>
                <w:rFonts w:ascii="Century Gothic" w:eastAsia="Century Gothic" w:hAnsi="Century Gothic" w:cs="Century Gothic"/>
                <w:bCs/>
                <w:sz w:val="20"/>
              </w:rPr>
              <w:t xml:space="preserve"> </w:t>
            </w:r>
          </w:p>
          <w:p w14:paraId="1A077511" w14:textId="77777777" w:rsidR="004F01CB" w:rsidRPr="006F0FDD" w:rsidRDefault="004F01CB" w:rsidP="00AF0654">
            <w:pPr>
              <w:spacing w:line="241" w:lineRule="auto"/>
              <w:ind w:right="56"/>
              <w:jc w:val="both"/>
              <w:rPr>
                <w:bCs/>
              </w:rPr>
            </w:pPr>
            <w:r w:rsidRPr="00D4212E">
              <w:rPr>
                <w:rFonts w:ascii="Century Gothic" w:eastAsia="Century Gothic" w:hAnsi="Century Gothic" w:cs="Century Gothic"/>
                <w:b/>
                <w:sz w:val="20"/>
              </w:rPr>
              <w:t>Artículo 271.</w:t>
            </w:r>
            <w:r w:rsidRPr="006F0FDD">
              <w:rPr>
                <w:rFonts w:ascii="Century Gothic" w:eastAsia="Century Gothic" w:hAnsi="Century Gothic" w:cs="Century Gothic"/>
                <w:bCs/>
                <w:sz w:val="20"/>
              </w:rPr>
              <w:t xml:space="preserve"> Todo egreso deberá cubrirse con cheque nominativo o transferencia electrónica. En el caso de los pagos por la prestación de bienes o servicios, adicionalmente el cheque deberá contener la leyenda "para abono a cuenta del beneficiario". Las pólizas de los cheques deberán conservarse anexas a la documentación comprobatoria junto con la copia del cheque a que se hace referencia. </w:t>
            </w:r>
          </w:p>
          <w:p w14:paraId="2B22D170" w14:textId="77777777" w:rsidR="004F01CB" w:rsidRPr="006F0FDD" w:rsidRDefault="004F01CB" w:rsidP="00AF0654">
            <w:pPr>
              <w:rPr>
                <w:bCs/>
              </w:rPr>
            </w:pPr>
            <w:r w:rsidRPr="006F0FDD">
              <w:rPr>
                <w:rFonts w:ascii="Century Gothic" w:eastAsia="Century Gothic" w:hAnsi="Century Gothic" w:cs="Century Gothic"/>
                <w:bCs/>
                <w:sz w:val="20"/>
              </w:rPr>
              <w:t xml:space="preserve"> </w:t>
            </w:r>
          </w:p>
          <w:p w14:paraId="71C97B5E" w14:textId="77777777" w:rsidR="004F01CB" w:rsidRPr="006F0FDD" w:rsidRDefault="004F01CB" w:rsidP="00AF0654">
            <w:pPr>
              <w:spacing w:line="241" w:lineRule="auto"/>
              <w:ind w:right="55"/>
              <w:jc w:val="both"/>
              <w:rPr>
                <w:bCs/>
              </w:rPr>
            </w:pPr>
            <w:r w:rsidRPr="006F0FDD">
              <w:rPr>
                <w:rFonts w:ascii="Century Gothic" w:eastAsia="Century Gothic" w:hAnsi="Century Gothic" w:cs="Century Gothic"/>
                <w:bCs/>
                <w:sz w:val="20"/>
              </w:rPr>
              <w:t xml:space="preserve">Los comprobantes que amparen los egresos que realicen los Candidatos Independientes deberán ser expedidos a nombre de la Asociación Civil y constar en original, como soporte a los informes financieros de las campañas electorales, los cuales estarán a disposición de la Unidad de Fiscalización de la Comisión de Fiscalización del Instituto Nacional Electoral para su revisión o, en su caso, del área competente del Instituto Estatal Electoral, de conformidad con lo dispuesto en este Código. Dicha documentación deberá cumplir con los requisitos que exigen las disposiciones fiscales aplicables, así como las establecidas por el Reglamento de Fiscalización de la unidad referida, y la normatividad aplicable. </w:t>
            </w:r>
          </w:p>
          <w:p w14:paraId="598EC281" w14:textId="77777777" w:rsidR="004F01CB" w:rsidRPr="006F0FDD" w:rsidRDefault="004F01CB" w:rsidP="00AF0654">
            <w:pPr>
              <w:rPr>
                <w:bCs/>
              </w:rPr>
            </w:pPr>
            <w:r w:rsidRPr="006F0FDD">
              <w:rPr>
                <w:rFonts w:ascii="Century Gothic" w:eastAsia="Century Gothic" w:hAnsi="Century Gothic" w:cs="Century Gothic"/>
                <w:bCs/>
                <w:sz w:val="20"/>
              </w:rPr>
              <w:t xml:space="preserve"> </w:t>
            </w:r>
          </w:p>
          <w:p w14:paraId="54C8A45B" w14:textId="77777777" w:rsidR="004F01CB" w:rsidRPr="006F0FDD" w:rsidRDefault="004F01CB" w:rsidP="00AF0654">
            <w:pPr>
              <w:rPr>
                <w:bCs/>
              </w:rPr>
            </w:pPr>
            <w:r w:rsidRPr="006F0FDD">
              <w:rPr>
                <w:rFonts w:ascii="Century Gothic" w:eastAsia="Century Gothic" w:hAnsi="Century Gothic" w:cs="Century Gothic"/>
                <w:bCs/>
                <w:sz w:val="20"/>
              </w:rPr>
              <w:t xml:space="preserve">[…] </w:t>
            </w:r>
          </w:p>
          <w:p w14:paraId="30561A91" w14:textId="77777777" w:rsidR="004F01CB" w:rsidRPr="006F0FDD" w:rsidRDefault="004F01CB" w:rsidP="00AF0654">
            <w:pPr>
              <w:rPr>
                <w:bCs/>
              </w:rPr>
            </w:pPr>
            <w:r w:rsidRPr="006F0FDD">
              <w:rPr>
                <w:rFonts w:ascii="Century Gothic" w:eastAsia="Century Gothic" w:hAnsi="Century Gothic" w:cs="Century Gothic"/>
                <w:bCs/>
                <w:sz w:val="20"/>
              </w:rPr>
              <w:t xml:space="preserve"> </w:t>
            </w:r>
          </w:p>
          <w:p w14:paraId="7245E88A" w14:textId="77777777" w:rsidR="004F01CB" w:rsidRPr="006F0FDD" w:rsidRDefault="004F01CB" w:rsidP="00A21F42">
            <w:pPr>
              <w:spacing w:line="241" w:lineRule="auto"/>
              <w:ind w:right="56"/>
              <w:jc w:val="both"/>
              <w:rPr>
                <w:rFonts w:ascii="Century Gothic" w:eastAsia="Century Gothic" w:hAnsi="Century Gothic" w:cs="Century Gothic"/>
                <w:bCs/>
                <w:sz w:val="20"/>
              </w:rPr>
            </w:pPr>
            <w:r w:rsidRPr="00D4212E">
              <w:rPr>
                <w:rFonts w:ascii="Century Gothic" w:eastAsia="Century Gothic" w:hAnsi="Century Gothic" w:cs="Century Gothic"/>
                <w:b/>
                <w:sz w:val="20"/>
              </w:rPr>
              <w:t>Artículo 289.</w:t>
            </w:r>
            <w:r w:rsidRPr="006F0FDD">
              <w:rPr>
                <w:rFonts w:ascii="Century Gothic" w:eastAsia="Century Gothic" w:hAnsi="Century Gothic" w:cs="Century Gothic"/>
                <w:bCs/>
                <w:sz w:val="20"/>
              </w:rPr>
              <w:t xml:space="preserve"> La revisión de los informes que los aspirantes y Candidatos Independientes presenten, así como la práctica de auditorías sobre el manejo de sus recursos estará a cargo de la Unidad de Fiscalización del Instituto Nacional Electoral, en los términos que establezca la ley o, de ser el caso, por el área competente del Instituto Estatal Electoral. </w:t>
            </w:r>
          </w:p>
        </w:tc>
      </w:tr>
    </w:tbl>
    <w:p w14:paraId="3BCC7A65" w14:textId="77777777" w:rsidR="004F01CB" w:rsidRDefault="004F01CB">
      <w:pPr>
        <w:spacing w:after="0" w:line="238" w:lineRule="auto"/>
        <w:ind w:left="-24" w:right="17248"/>
        <w:jc w:val="both"/>
        <w:rPr>
          <w:rFonts w:ascii="Century Gothic" w:eastAsia="Century Gothic" w:hAnsi="Century Gothic" w:cs="Century Gothic"/>
          <w:b/>
          <w:sz w:val="20"/>
        </w:rPr>
      </w:pPr>
    </w:p>
    <w:p w14:paraId="08CDA60D" w14:textId="77777777" w:rsidR="004F01CB" w:rsidRDefault="004F01CB">
      <w:pPr>
        <w:spacing w:after="0" w:line="238" w:lineRule="auto"/>
        <w:ind w:left="-24" w:right="17248"/>
        <w:jc w:val="both"/>
        <w:rPr>
          <w:rFonts w:ascii="Century Gothic" w:eastAsia="Century Gothic" w:hAnsi="Century Gothic" w:cs="Century Gothic"/>
          <w:b/>
          <w:sz w:val="20"/>
        </w:rPr>
      </w:pPr>
    </w:p>
    <w:p w14:paraId="335AD6D6" w14:textId="77777777" w:rsidR="004F01CB" w:rsidRDefault="004F01CB">
      <w:pPr>
        <w:spacing w:after="0" w:line="238" w:lineRule="auto"/>
        <w:ind w:left="-24" w:right="17248"/>
        <w:jc w:val="both"/>
        <w:rPr>
          <w:rFonts w:ascii="Century Gothic" w:eastAsia="Century Gothic" w:hAnsi="Century Gothic" w:cs="Century Gothic"/>
          <w:b/>
          <w:sz w:val="20"/>
        </w:rPr>
      </w:pPr>
    </w:p>
    <w:p w14:paraId="0CAAAC4C" w14:textId="5467F625" w:rsidR="00E0225B" w:rsidRDefault="00664E38">
      <w:pPr>
        <w:spacing w:after="0" w:line="238" w:lineRule="auto"/>
        <w:ind w:left="-24" w:right="17248"/>
        <w:jc w:val="both"/>
        <w:rPr>
          <w:rFonts w:ascii="Century Gothic" w:eastAsia="Century Gothic" w:hAnsi="Century Gothic" w:cs="Century Gothic"/>
          <w:sz w:val="20"/>
        </w:rPr>
      </w:pPr>
      <w:r>
        <w:rPr>
          <w:rFonts w:ascii="Century Gothic" w:eastAsia="Century Gothic" w:hAnsi="Century Gothic" w:cs="Century Gothic"/>
          <w:b/>
          <w:sz w:val="20"/>
        </w:rPr>
        <w:t xml:space="preserve"> </w:t>
      </w:r>
      <w:r>
        <w:rPr>
          <w:rFonts w:ascii="Century Gothic" w:eastAsia="Century Gothic" w:hAnsi="Century Gothic" w:cs="Century Gothic"/>
          <w:sz w:val="20"/>
        </w:rPr>
        <w:t xml:space="preserve"> </w:t>
      </w:r>
    </w:p>
    <w:tbl>
      <w:tblPr>
        <w:tblStyle w:val="TableGrid"/>
        <w:tblW w:w="16155" w:type="dxa"/>
        <w:tblInd w:w="1134" w:type="dxa"/>
        <w:tblCellMar>
          <w:top w:w="58" w:type="dxa"/>
          <w:left w:w="107" w:type="dxa"/>
          <w:right w:w="63" w:type="dxa"/>
        </w:tblCellMar>
        <w:tblLook w:val="04A0" w:firstRow="1" w:lastRow="0" w:firstColumn="1" w:lastColumn="0" w:noHBand="0" w:noVBand="1"/>
      </w:tblPr>
      <w:tblGrid>
        <w:gridCol w:w="1268"/>
        <w:gridCol w:w="2405"/>
        <w:gridCol w:w="12482"/>
      </w:tblGrid>
      <w:tr w:rsidR="004F01CB" w14:paraId="2CE1FE7F" w14:textId="77777777" w:rsidTr="004F01CB">
        <w:trPr>
          <w:trHeight w:val="492"/>
        </w:trPr>
        <w:tc>
          <w:tcPr>
            <w:tcW w:w="1268" w:type="dxa"/>
            <w:tcBorders>
              <w:top w:val="single" w:sz="4" w:space="0" w:color="BFBFBF"/>
              <w:left w:val="single" w:sz="4" w:space="0" w:color="BFBFBF"/>
              <w:bottom w:val="single" w:sz="4" w:space="0" w:color="BFBFBF"/>
              <w:right w:val="single" w:sz="4" w:space="0" w:color="BFBFBF"/>
            </w:tcBorders>
            <w:shd w:val="clear" w:color="auto" w:fill="76923C"/>
            <w:vAlign w:val="center"/>
          </w:tcPr>
          <w:p w14:paraId="0A9150F3" w14:textId="77777777" w:rsidR="004F01CB" w:rsidRDefault="004F01CB" w:rsidP="00095955">
            <w:pPr>
              <w:ind w:left="397"/>
              <w:jc w:val="center"/>
            </w:pPr>
          </w:p>
        </w:tc>
        <w:tc>
          <w:tcPr>
            <w:tcW w:w="2405" w:type="dxa"/>
            <w:tcBorders>
              <w:top w:val="single" w:sz="4" w:space="0" w:color="BFBFBF"/>
              <w:left w:val="single" w:sz="4" w:space="0" w:color="BFBFBF"/>
              <w:bottom w:val="single" w:sz="4" w:space="0" w:color="BFBFBF"/>
              <w:right w:val="single" w:sz="4" w:space="0" w:color="BFBFBF"/>
            </w:tcBorders>
            <w:shd w:val="clear" w:color="auto" w:fill="76923C"/>
            <w:vAlign w:val="center"/>
          </w:tcPr>
          <w:p w14:paraId="03DB3F84" w14:textId="77777777" w:rsidR="004F01CB" w:rsidRDefault="004F01CB" w:rsidP="00095955">
            <w:pPr>
              <w:ind w:right="47"/>
              <w:jc w:val="center"/>
            </w:pPr>
            <w:r>
              <w:rPr>
                <w:rFonts w:ascii="Century Gothic" w:eastAsia="Century Gothic" w:hAnsi="Century Gothic" w:cs="Century Gothic"/>
                <w:b/>
                <w:color w:val="FFFFFF"/>
                <w:sz w:val="20"/>
              </w:rPr>
              <w:t xml:space="preserve">ESTADO </w:t>
            </w:r>
          </w:p>
        </w:tc>
        <w:tc>
          <w:tcPr>
            <w:tcW w:w="12482" w:type="dxa"/>
            <w:tcBorders>
              <w:top w:val="single" w:sz="4" w:space="0" w:color="BFBFBF"/>
              <w:left w:val="single" w:sz="4" w:space="0" w:color="BFBFBF"/>
              <w:bottom w:val="single" w:sz="4" w:space="0" w:color="BFBFBF"/>
              <w:right w:val="single" w:sz="4" w:space="0" w:color="BFBFBF"/>
            </w:tcBorders>
            <w:shd w:val="clear" w:color="auto" w:fill="76923C"/>
            <w:vAlign w:val="center"/>
          </w:tcPr>
          <w:p w14:paraId="0D205823" w14:textId="77777777" w:rsidR="004F01CB" w:rsidRDefault="004F01CB" w:rsidP="00095955">
            <w:pPr>
              <w:ind w:right="51"/>
              <w:jc w:val="center"/>
            </w:pPr>
            <w:r>
              <w:rPr>
                <w:rFonts w:ascii="Century Gothic" w:eastAsia="Century Gothic" w:hAnsi="Century Gothic" w:cs="Century Gothic"/>
                <w:b/>
                <w:color w:val="FFFFFF"/>
                <w:sz w:val="20"/>
              </w:rPr>
              <w:t xml:space="preserve"> </w:t>
            </w:r>
          </w:p>
        </w:tc>
      </w:tr>
      <w:tr w:rsidR="004F01CB" w14:paraId="24E234B4" w14:textId="77777777" w:rsidTr="00E26900">
        <w:trPr>
          <w:trHeight w:val="658"/>
        </w:trPr>
        <w:tc>
          <w:tcPr>
            <w:tcW w:w="1268" w:type="dxa"/>
            <w:tcBorders>
              <w:top w:val="single" w:sz="4" w:space="0" w:color="BFBFBF"/>
              <w:left w:val="single" w:sz="4" w:space="0" w:color="BFBFBF"/>
              <w:bottom w:val="single" w:sz="4" w:space="0" w:color="BFBFBF"/>
              <w:right w:val="single" w:sz="4" w:space="0" w:color="BFBFBF"/>
            </w:tcBorders>
            <w:vAlign w:val="center"/>
          </w:tcPr>
          <w:p w14:paraId="74ED286C" w14:textId="7141018D" w:rsidR="004F01CB" w:rsidRDefault="004F01CB" w:rsidP="004F01CB">
            <w:r>
              <w:rPr>
                <w:rFonts w:ascii="Century Gothic" w:eastAsia="Century Gothic" w:hAnsi="Century Gothic" w:cs="Century Gothic"/>
                <w:b/>
                <w:sz w:val="20"/>
              </w:rPr>
              <w:t>2.</w:t>
            </w:r>
            <w:r>
              <w:rPr>
                <w:rFonts w:ascii="Arial" w:eastAsia="Arial" w:hAnsi="Arial" w:cs="Arial"/>
                <w:b/>
                <w:sz w:val="20"/>
              </w:rPr>
              <w:t xml:space="preserve"> </w:t>
            </w:r>
            <w:r>
              <w:rPr>
                <w:rFonts w:ascii="Century Gothic" w:eastAsia="Century Gothic" w:hAnsi="Century Gothic" w:cs="Century Gothic"/>
                <w:b/>
                <w:sz w:val="20"/>
              </w:rPr>
              <w:t xml:space="preserve"> </w:t>
            </w:r>
          </w:p>
        </w:tc>
        <w:tc>
          <w:tcPr>
            <w:tcW w:w="2405" w:type="dxa"/>
            <w:tcBorders>
              <w:top w:val="single" w:sz="4" w:space="0" w:color="BFBFBF"/>
              <w:left w:val="single" w:sz="4" w:space="0" w:color="BFBFBF"/>
              <w:bottom w:val="single" w:sz="4" w:space="0" w:color="BFBFBF"/>
              <w:right w:val="single" w:sz="4" w:space="0" w:color="BFBFBF"/>
            </w:tcBorders>
            <w:vAlign w:val="center"/>
          </w:tcPr>
          <w:p w14:paraId="4934B2B7" w14:textId="65E57728" w:rsidR="004F01CB" w:rsidRDefault="004F01CB" w:rsidP="004F01CB">
            <w:pPr>
              <w:ind w:left="1"/>
              <w:jc w:val="center"/>
            </w:pPr>
            <w:r>
              <w:rPr>
                <w:rFonts w:ascii="Century Gothic" w:eastAsia="Century Gothic" w:hAnsi="Century Gothic" w:cs="Century Gothic"/>
                <w:b/>
                <w:sz w:val="20"/>
              </w:rPr>
              <w:t>HIDALGO</w:t>
            </w:r>
            <w:r>
              <w:rPr>
                <w:rFonts w:ascii="Century Gothic" w:eastAsia="Century Gothic" w:hAnsi="Century Gothic" w:cs="Century Gothic"/>
                <w:sz w:val="20"/>
              </w:rPr>
              <w:t xml:space="preserve"> </w:t>
            </w:r>
          </w:p>
        </w:tc>
        <w:tc>
          <w:tcPr>
            <w:tcW w:w="12482" w:type="dxa"/>
            <w:tcBorders>
              <w:top w:val="single" w:sz="4" w:space="0" w:color="BFBFBF"/>
              <w:left w:val="single" w:sz="4" w:space="0" w:color="BFBFBF"/>
              <w:bottom w:val="single" w:sz="4" w:space="0" w:color="BFBFBF"/>
              <w:right w:val="single" w:sz="4" w:space="0" w:color="BFBFBF"/>
            </w:tcBorders>
            <w:vAlign w:val="center"/>
          </w:tcPr>
          <w:p w14:paraId="05B8FD83" w14:textId="7105E9CD" w:rsidR="004F01CB" w:rsidRDefault="004F01CB" w:rsidP="004F01CB">
            <w:pPr>
              <w:ind w:left="1"/>
              <w:jc w:val="center"/>
            </w:pPr>
            <w:hyperlink r:id="rId7" w:history="1">
              <w:r w:rsidRPr="0035412C">
                <w:rPr>
                  <w:rStyle w:val="Hipervnculo"/>
                </w:rPr>
                <w:t>Reglamento Interior del Instituto Estatal Electoral</w:t>
              </w:r>
            </w:hyperlink>
          </w:p>
        </w:tc>
      </w:tr>
    </w:tbl>
    <w:p w14:paraId="3832A92F" w14:textId="26D59097" w:rsidR="004F01CB" w:rsidRDefault="004F01CB">
      <w:pPr>
        <w:spacing w:after="0" w:line="238" w:lineRule="auto"/>
        <w:ind w:left="-24" w:right="17248"/>
        <w:jc w:val="both"/>
      </w:pPr>
      <w:r>
        <w:t xml:space="preserve"> </w:t>
      </w:r>
    </w:p>
    <w:sectPr w:rsidR="004F01CB">
      <w:headerReference w:type="even" r:id="rId8"/>
      <w:headerReference w:type="default" r:id="rId9"/>
      <w:headerReference w:type="first" r:id="rId10"/>
      <w:pgSz w:w="20160" w:h="12240" w:orient="landscape"/>
      <w:pgMar w:top="1440" w:right="1440" w:bottom="686" w:left="1440" w:header="76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6C045" w14:textId="77777777" w:rsidR="00A97571" w:rsidRDefault="00A97571">
      <w:pPr>
        <w:spacing w:after="0" w:line="240" w:lineRule="auto"/>
      </w:pPr>
      <w:r>
        <w:separator/>
      </w:r>
    </w:p>
  </w:endnote>
  <w:endnote w:type="continuationSeparator" w:id="0">
    <w:p w14:paraId="47705C41" w14:textId="77777777" w:rsidR="00A97571" w:rsidRDefault="00A97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09E2E" w14:textId="77777777" w:rsidR="00A97571" w:rsidRDefault="00A97571">
      <w:pPr>
        <w:spacing w:after="0" w:line="240" w:lineRule="auto"/>
      </w:pPr>
      <w:r>
        <w:separator/>
      </w:r>
    </w:p>
  </w:footnote>
  <w:footnote w:type="continuationSeparator" w:id="0">
    <w:p w14:paraId="269E7EF8" w14:textId="77777777" w:rsidR="00A97571" w:rsidRDefault="00A97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CAF56" w14:textId="77777777" w:rsidR="00E0225B" w:rsidRDefault="00664E38">
    <w:pPr>
      <w:spacing w:after="95"/>
      <w:ind w:right="188"/>
      <w:jc w:val="right"/>
    </w:pPr>
    <w:r>
      <w:rPr>
        <w:rFonts w:ascii="Malgun Gothic" w:eastAsia="Malgun Gothic" w:hAnsi="Malgun Gothic" w:cs="Malgun Gothic"/>
        <w:b/>
        <w:sz w:val="10"/>
      </w:rPr>
      <w:t xml:space="preserve"> </w:t>
    </w:r>
  </w:p>
  <w:p w14:paraId="795F6CC7" w14:textId="77777777" w:rsidR="00E0225B" w:rsidRDefault="00664E38">
    <w:pPr>
      <w:spacing w:after="18"/>
      <w:ind w:right="223"/>
      <w:jc w:val="right"/>
    </w:pPr>
    <w:r>
      <w:rPr>
        <w:rFonts w:ascii="Arial" w:eastAsia="Arial" w:hAnsi="Arial" w:cs="Arial"/>
        <w:b/>
        <w:i/>
      </w:rPr>
      <w:t>C</w:t>
    </w:r>
    <w:r>
      <w:rPr>
        <w:rFonts w:ascii="Arial" w:eastAsia="Arial" w:hAnsi="Arial" w:cs="Arial"/>
        <w:b/>
        <w:i/>
        <w:sz w:val="18"/>
      </w:rPr>
      <w:t xml:space="preserve">OORDINACIÓN DE </w:t>
    </w:r>
    <w:r>
      <w:rPr>
        <w:rFonts w:ascii="Arial" w:eastAsia="Arial" w:hAnsi="Arial" w:cs="Arial"/>
        <w:b/>
        <w:i/>
      </w:rPr>
      <w:t>J</w:t>
    </w:r>
    <w:r>
      <w:rPr>
        <w:rFonts w:ascii="Arial" w:eastAsia="Arial" w:hAnsi="Arial" w:cs="Arial"/>
        <w:b/>
        <w:i/>
        <w:sz w:val="18"/>
      </w:rPr>
      <w:t>URISPRUDENCIA</w:t>
    </w:r>
    <w:r>
      <w:rPr>
        <w:rFonts w:ascii="Arial" w:eastAsia="Arial" w:hAnsi="Arial" w:cs="Arial"/>
        <w:b/>
        <w:i/>
      </w:rPr>
      <w:t>,</w:t>
    </w:r>
    <w:r>
      <w:rPr>
        <w:rFonts w:ascii="Arial" w:eastAsia="Arial" w:hAnsi="Arial" w:cs="Arial"/>
        <w:b/>
        <w:i/>
        <w:sz w:val="18"/>
      </w:rPr>
      <w:t xml:space="preserve"> SEGUIMIENTO Y CONSULTA</w:t>
    </w:r>
    <w:r>
      <w:rPr>
        <w:rFonts w:ascii="Arial" w:eastAsia="Arial" w:hAnsi="Arial" w:cs="Arial"/>
        <w:b/>
        <w:i/>
      </w:rPr>
      <w:t xml:space="preserve"> </w:t>
    </w:r>
  </w:p>
  <w:p w14:paraId="5CDCF5EB" w14:textId="77777777" w:rsidR="00E0225B" w:rsidRDefault="00664E38">
    <w:pPr>
      <w:spacing w:after="0"/>
      <w:ind w:right="223"/>
      <w:jc w:val="right"/>
    </w:pPr>
    <w:r>
      <w:rPr>
        <w:rFonts w:ascii="Arial" w:eastAsia="Arial" w:hAnsi="Arial" w:cs="Arial"/>
        <w:b/>
        <w:i/>
      </w:rPr>
      <w:t>D</w:t>
    </w:r>
    <w:r>
      <w:rPr>
        <w:rFonts w:ascii="Arial" w:eastAsia="Arial" w:hAnsi="Arial" w:cs="Arial"/>
        <w:b/>
        <w:i/>
        <w:sz w:val="18"/>
      </w:rPr>
      <w:t xml:space="preserve">IRECCIÓN DE </w:t>
    </w:r>
    <w:r>
      <w:rPr>
        <w:rFonts w:ascii="Arial" w:eastAsia="Arial" w:hAnsi="Arial" w:cs="Arial"/>
        <w:b/>
        <w:i/>
      </w:rPr>
      <w:t>C</w:t>
    </w:r>
    <w:r>
      <w:rPr>
        <w:rFonts w:ascii="Arial" w:eastAsia="Arial" w:hAnsi="Arial" w:cs="Arial"/>
        <w:b/>
        <w:i/>
        <w:sz w:val="18"/>
      </w:rPr>
      <w:t xml:space="preserve">ONSULTA Y </w:t>
    </w:r>
    <w:r>
      <w:rPr>
        <w:rFonts w:ascii="Arial" w:eastAsia="Arial" w:hAnsi="Arial" w:cs="Arial"/>
        <w:b/>
        <w:i/>
      </w:rPr>
      <w:t>D</w:t>
    </w:r>
    <w:r>
      <w:rPr>
        <w:rFonts w:ascii="Arial" w:eastAsia="Arial" w:hAnsi="Arial" w:cs="Arial"/>
        <w:b/>
        <w:i/>
        <w:sz w:val="18"/>
      </w:rPr>
      <w:t>IFUSIÓN</w:t>
    </w:r>
    <w:r>
      <w:rPr>
        <w:rFonts w:ascii="Malgun Gothic" w:eastAsia="Malgun Gothic" w:hAnsi="Malgun Gothic" w:cs="Malgun Gothic"/>
        <w:b/>
      </w:rPr>
      <w:t xml:space="preserve"> </w:t>
    </w:r>
  </w:p>
  <w:p w14:paraId="23D31A4E" w14:textId="77777777" w:rsidR="00E0225B" w:rsidRDefault="00664E38">
    <w:r>
      <w:rPr>
        <w:noProof/>
      </w:rPr>
      <mc:AlternateContent>
        <mc:Choice Requires="wpg">
          <w:drawing>
            <wp:anchor distT="0" distB="0" distL="114300" distR="114300" simplePos="0" relativeHeight="251658240" behindDoc="1" locked="0" layoutInCell="1" allowOverlap="1" wp14:anchorId="59150B3B" wp14:editId="175CBDEA">
              <wp:simplePos x="0" y="0"/>
              <wp:positionH relativeFrom="page">
                <wp:posOffset>918972</wp:posOffset>
              </wp:positionH>
              <wp:positionV relativeFrom="page">
                <wp:posOffset>449580</wp:posOffset>
              </wp:positionV>
              <wp:extent cx="1162812" cy="1178052"/>
              <wp:effectExtent l="0" t="0" r="0" b="0"/>
              <wp:wrapNone/>
              <wp:docPr id="4702" name="Group 4702"/>
              <wp:cNvGraphicFramePr/>
              <a:graphic xmlns:a="http://schemas.openxmlformats.org/drawingml/2006/main">
                <a:graphicData uri="http://schemas.microsoft.com/office/word/2010/wordprocessingGroup">
                  <wpg:wgp>
                    <wpg:cNvGrpSpPr/>
                    <wpg:grpSpPr>
                      <a:xfrm>
                        <a:off x="0" y="0"/>
                        <a:ext cx="1162812" cy="1178052"/>
                        <a:chOff x="0" y="0"/>
                        <a:chExt cx="1162812" cy="1178052"/>
                      </a:xfrm>
                    </wpg:grpSpPr>
                    <pic:pic xmlns:pic="http://schemas.openxmlformats.org/drawingml/2006/picture">
                      <pic:nvPicPr>
                        <pic:cNvPr id="4703" name="Picture 4703"/>
                        <pic:cNvPicPr/>
                      </pic:nvPicPr>
                      <pic:blipFill>
                        <a:blip r:embed="rId1"/>
                        <a:stretch>
                          <a:fillRect/>
                        </a:stretch>
                      </pic:blipFill>
                      <pic:spPr>
                        <a:xfrm>
                          <a:off x="0" y="0"/>
                          <a:ext cx="1162812" cy="1178052"/>
                        </a:xfrm>
                        <a:prstGeom prst="rect">
                          <a:avLst/>
                        </a:prstGeom>
                      </pic:spPr>
                    </pic:pic>
                  </wpg:wgp>
                </a:graphicData>
              </a:graphic>
            </wp:anchor>
          </w:drawing>
        </mc:Choice>
        <mc:Fallback xmlns:a="http://schemas.openxmlformats.org/drawingml/2006/main">
          <w:pict>
            <v:group id="Group 4702" style="width:91.56pt;height:92.76pt;position:absolute;z-index:-2147483648;mso-position-horizontal-relative:page;mso-position-horizontal:absolute;margin-left:72.36pt;mso-position-vertical-relative:page;margin-top:35.4pt;" coordsize="11628,11780">
              <v:shape id="Picture 4703" style="position:absolute;width:11628;height:11780;left:0;top:0;" filled="f">
                <v:imagedata r:id="rId4"/>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E6376" w14:textId="77777777" w:rsidR="00E0225B" w:rsidRDefault="00664E38">
    <w:pPr>
      <w:spacing w:after="95"/>
      <w:ind w:right="188"/>
      <w:jc w:val="right"/>
    </w:pPr>
    <w:r>
      <w:rPr>
        <w:rFonts w:ascii="Malgun Gothic" w:eastAsia="Malgun Gothic" w:hAnsi="Malgun Gothic" w:cs="Malgun Gothic"/>
        <w:b/>
        <w:sz w:val="10"/>
      </w:rPr>
      <w:t xml:space="preserve"> </w:t>
    </w:r>
  </w:p>
  <w:p w14:paraId="5E3A9CA1" w14:textId="77777777" w:rsidR="00E0225B" w:rsidRDefault="000C3D6B">
    <w:pPr>
      <w:spacing w:after="18"/>
      <w:ind w:right="223"/>
      <w:jc w:val="right"/>
    </w:pPr>
    <w:r>
      <w:rPr>
        <w:rFonts w:ascii="Arial" w:eastAsia="Arial" w:hAnsi="Arial" w:cs="Arial"/>
        <w:b/>
        <w:i/>
      </w:rPr>
      <w:t>D</w:t>
    </w:r>
    <w:r w:rsidRPr="000C3D6B">
      <w:rPr>
        <w:rFonts w:ascii="Arial" w:eastAsia="Arial" w:hAnsi="Arial" w:cs="Arial"/>
        <w:b/>
        <w:i/>
        <w:sz w:val="18"/>
        <w:szCs w:val="18"/>
      </w:rPr>
      <w:t xml:space="preserve">IRECCIÓN </w:t>
    </w:r>
    <w:r>
      <w:rPr>
        <w:rFonts w:ascii="Arial" w:eastAsia="Arial" w:hAnsi="Arial" w:cs="Arial"/>
        <w:b/>
        <w:i/>
      </w:rPr>
      <w:t>G</w:t>
    </w:r>
    <w:r w:rsidRPr="000C3D6B">
      <w:rPr>
        <w:rFonts w:ascii="Arial" w:eastAsia="Arial" w:hAnsi="Arial" w:cs="Arial"/>
        <w:b/>
        <w:i/>
        <w:sz w:val="18"/>
        <w:szCs w:val="18"/>
      </w:rPr>
      <w:t>ENERA</w:t>
    </w:r>
    <w:r>
      <w:rPr>
        <w:rFonts w:ascii="Arial" w:eastAsia="Arial" w:hAnsi="Arial" w:cs="Arial"/>
        <w:b/>
        <w:i/>
        <w:sz w:val="18"/>
        <w:szCs w:val="18"/>
      </w:rPr>
      <w:t>L</w:t>
    </w:r>
    <w:r w:rsidR="00664E38">
      <w:rPr>
        <w:rFonts w:ascii="Arial" w:eastAsia="Arial" w:hAnsi="Arial" w:cs="Arial"/>
        <w:b/>
        <w:i/>
        <w:sz w:val="18"/>
      </w:rPr>
      <w:t xml:space="preserve"> DE </w:t>
    </w:r>
    <w:r w:rsidR="00664E38">
      <w:rPr>
        <w:rFonts w:ascii="Arial" w:eastAsia="Arial" w:hAnsi="Arial" w:cs="Arial"/>
        <w:b/>
        <w:i/>
      </w:rPr>
      <w:t>J</w:t>
    </w:r>
    <w:r w:rsidR="00664E38">
      <w:rPr>
        <w:rFonts w:ascii="Arial" w:eastAsia="Arial" w:hAnsi="Arial" w:cs="Arial"/>
        <w:b/>
        <w:i/>
        <w:sz w:val="18"/>
      </w:rPr>
      <w:t>URISPRUDENCIA</w:t>
    </w:r>
    <w:r w:rsidR="00664E38">
      <w:rPr>
        <w:rFonts w:ascii="Arial" w:eastAsia="Arial" w:hAnsi="Arial" w:cs="Arial"/>
        <w:b/>
        <w:i/>
      </w:rPr>
      <w:t>,</w:t>
    </w:r>
    <w:r w:rsidR="00664E38">
      <w:rPr>
        <w:rFonts w:ascii="Arial" w:eastAsia="Arial" w:hAnsi="Arial" w:cs="Arial"/>
        <w:b/>
        <w:i/>
        <w:sz w:val="18"/>
      </w:rPr>
      <w:t xml:space="preserve"> </w:t>
    </w:r>
    <w:r w:rsidR="00664E38" w:rsidRPr="005737BE">
      <w:rPr>
        <w:rFonts w:ascii="Arial" w:eastAsia="Arial" w:hAnsi="Arial" w:cs="Arial"/>
        <w:b/>
        <w:i/>
      </w:rPr>
      <w:t>S</w:t>
    </w:r>
    <w:r w:rsidR="00664E38">
      <w:rPr>
        <w:rFonts w:ascii="Arial" w:eastAsia="Arial" w:hAnsi="Arial" w:cs="Arial"/>
        <w:b/>
        <w:i/>
        <w:sz w:val="18"/>
      </w:rPr>
      <w:t xml:space="preserve">EGUIMIENTO Y </w:t>
    </w:r>
    <w:r w:rsidR="00664E38" w:rsidRPr="005737BE">
      <w:rPr>
        <w:rFonts w:ascii="Arial" w:eastAsia="Arial" w:hAnsi="Arial" w:cs="Arial"/>
        <w:b/>
        <w:i/>
      </w:rPr>
      <w:t>C</w:t>
    </w:r>
    <w:r w:rsidR="00664E38">
      <w:rPr>
        <w:rFonts w:ascii="Arial" w:eastAsia="Arial" w:hAnsi="Arial" w:cs="Arial"/>
        <w:b/>
        <w:i/>
        <w:sz w:val="18"/>
      </w:rPr>
      <w:t>ONSULTA</w:t>
    </w:r>
    <w:r w:rsidR="00664E38">
      <w:rPr>
        <w:rFonts w:ascii="Arial" w:eastAsia="Arial" w:hAnsi="Arial" w:cs="Arial"/>
        <w:b/>
        <w:i/>
      </w:rPr>
      <w:t xml:space="preserve"> </w:t>
    </w:r>
  </w:p>
  <w:p w14:paraId="0997A296" w14:textId="77777777" w:rsidR="00191663" w:rsidRDefault="00191663">
    <w:pPr>
      <w:spacing w:after="0"/>
      <w:ind w:right="223"/>
      <w:jc w:val="right"/>
      <w:rPr>
        <w:rFonts w:ascii="Arial" w:eastAsia="Arial" w:hAnsi="Arial" w:cs="Arial"/>
        <w:b/>
        <w:i/>
      </w:rPr>
    </w:pPr>
  </w:p>
  <w:p w14:paraId="1944FCA8" w14:textId="77777777" w:rsidR="00E0225B" w:rsidRDefault="00664E38">
    <w:pPr>
      <w:spacing w:after="0"/>
      <w:ind w:right="223"/>
      <w:jc w:val="right"/>
    </w:pPr>
    <w:r>
      <w:rPr>
        <w:rFonts w:ascii="Arial" w:eastAsia="Arial" w:hAnsi="Arial" w:cs="Arial"/>
        <w:b/>
        <w:i/>
      </w:rPr>
      <w:t>D</w:t>
    </w:r>
    <w:r>
      <w:rPr>
        <w:rFonts w:ascii="Arial" w:eastAsia="Arial" w:hAnsi="Arial" w:cs="Arial"/>
        <w:b/>
        <w:i/>
        <w:sz w:val="18"/>
      </w:rPr>
      <w:t xml:space="preserve">IRECCIÓN DE </w:t>
    </w:r>
    <w:r>
      <w:rPr>
        <w:rFonts w:ascii="Arial" w:eastAsia="Arial" w:hAnsi="Arial" w:cs="Arial"/>
        <w:b/>
        <w:i/>
      </w:rPr>
      <w:t>C</w:t>
    </w:r>
    <w:r>
      <w:rPr>
        <w:rFonts w:ascii="Arial" w:eastAsia="Arial" w:hAnsi="Arial" w:cs="Arial"/>
        <w:b/>
        <w:i/>
        <w:sz w:val="18"/>
      </w:rPr>
      <w:t xml:space="preserve">ONSULTA Y </w:t>
    </w:r>
    <w:r>
      <w:rPr>
        <w:rFonts w:ascii="Arial" w:eastAsia="Arial" w:hAnsi="Arial" w:cs="Arial"/>
        <w:b/>
        <w:i/>
      </w:rPr>
      <w:t>D</w:t>
    </w:r>
    <w:r>
      <w:rPr>
        <w:rFonts w:ascii="Arial" w:eastAsia="Arial" w:hAnsi="Arial" w:cs="Arial"/>
        <w:b/>
        <w:i/>
        <w:sz w:val="18"/>
      </w:rPr>
      <w:t>IFUSIÓN</w:t>
    </w:r>
    <w:r>
      <w:rPr>
        <w:rFonts w:ascii="Malgun Gothic" w:eastAsia="Malgun Gothic" w:hAnsi="Malgun Gothic" w:cs="Malgun Gothic"/>
        <w:b/>
      </w:rPr>
      <w:t xml:space="preserve"> </w:t>
    </w:r>
  </w:p>
  <w:p w14:paraId="069D7A4C" w14:textId="77777777" w:rsidR="00E0225B" w:rsidRDefault="00664E38">
    <w:r>
      <w:rPr>
        <w:noProof/>
      </w:rPr>
      <mc:AlternateContent>
        <mc:Choice Requires="wpg">
          <w:drawing>
            <wp:anchor distT="0" distB="0" distL="114300" distR="114300" simplePos="0" relativeHeight="251659264" behindDoc="1" locked="0" layoutInCell="1" allowOverlap="1" wp14:anchorId="5BEE6790" wp14:editId="6407E9EF">
              <wp:simplePos x="0" y="0"/>
              <wp:positionH relativeFrom="page">
                <wp:posOffset>918972</wp:posOffset>
              </wp:positionH>
              <wp:positionV relativeFrom="page">
                <wp:posOffset>449580</wp:posOffset>
              </wp:positionV>
              <wp:extent cx="1162812" cy="1178052"/>
              <wp:effectExtent l="0" t="0" r="0" b="0"/>
              <wp:wrapNone/>
              <wp:docPr id="4672" name="Group 4672"/>
              <wp:cNvGraphicFramePr/>
              <a:graphic xmlns:a="http://schemas.openxmlformats.org/drawingml/2006/main">
                <a:graphicData uri="http://schemas.microsoft.com/office/word/2010/wordprocessingGroup">
                  <wpg:wgp>
                    <wpg:cNvGrpSpPr/>
                    <wpg:grpSpPr>
                      <a:xfrm>
                        <a:off x="0" y="0"/>
                        <a:ext cx="1162812" cy="1178052"/>
                        <a:chOff x="0" y="0"/>
                        <a:chExt cx="1162812" cy="1178052"/>
                      </a:xfrm>
                    </wpg:grpSpPr>
                    <pic:pic xmlns:pic="http://schemas.openxmlformats.org/drawingml/2006/picture">
                      <pic:nvPicPr>
                        <pic:cNvPr id="4673" name="Picture 4673"/>
                        <pic:cNvPicPr/>
                      </pic:nvPicPr>
                      <pic:blipFill>
                        <a:blip r:embed="rId1"/>
                        <a:stretch>
                          <a:fillRect/>
                        </a:stretch>
                      </pic:blipFill>
                      <pic:spPr>
                        <a:xfrm>
                          <a:off x="0" y="0"/>
                          <a:ext cx="1162812" cy="1178052"/>
                        </a:xfrm>
                        <a:prstGeom prst="rect">
                          <a:avLst/>
                        </a:prstGeom>
                      </pic:spPr>
                    </pic:pic>
                  </wpg:wgp>
                </a:graphicData>
              </a:graphic>
            </wp:anchor>
          </w:drawing>
        </mc:Choice>
        <mc:Fallback xmlns:a="http://schemas.openxmlformats.org/drawingml/2006/main">
          <w:pict>
            <v:group id="Group 4672" style="width:91.56pt;height:92.76pt;position:absolute;z-index:-2147483648;mso-position-horizontal-relative:page;mso-position-horizontal:absolute;margin-left:72.36pt;mso-position-vertical-relative:page;margin-top:35.4pt;" coordsize="11628,11780">
              <v:shape id="Picture 4673" style="position:absolute;width:11628;height:11780;left:0;top:0;" filled="f">
                <v:imagedata r:id="rId4"/>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4D4D5" w14:textId="77777777" w:rsidR="00E0225B" w:rsidRDefault="00664E38">
    <w:pPr>
      <w:spacing w:after="95"/>
      <w:ind w:right="188"/>
      <w:jc w:val="right"/>
    </w:pPr>
    <w:r>
      <w:rPr>
        <w:rFonts w:ascii="Malgun Gothic" w:eastAsia="Malgun Gothic" w:hAnsi="Malgun Gothic" w:cs="Malgun Gothic"/>
        <w:b/>
        <w:sz w:val="10"/>
      </w:rPr>
      <w:t xml:space="preserve"> </w:t>
    </w:r>
  </w:p>
  <w:p w14:paraId="5A058F72" w14:textId="77777777" w:rsidR="00E0225B" w:rsidRDefault="00664E38">
    <w:pPr>
      <w:spacing w:after="18"/>
      <w:ind w:right="223"/>
      <w:jc w:val="right"/>
    </w:pPr>
    <w:r>
      <w:rPr>
        <w:rFonts w:ascii="Arial" w:eastAsia="Arial" w:hAnsi="Arial" w:cs="Arial"/>
        <w:b/>
        <w:i/>
      </w:rPr>
      <w:t>C</w:t>
    </w:r>
    <w:r>
      <w:rPr>
        <w:rFonts w:ascii="Arial" w:eastAsia="Arial" w:hAnsi="Arial" w:cs="Arial"/>
        <w:b/>
        <w:i/>
        <w:sz w:val="18"/>
      </w:rPr>
      <w:t xml:space="preserve">OORDINACIÓN DE </w:t>
    </w:r>
    <w:r>
      <w:rPr>
        <w:rFonts w:ascii="Arial" w:eastAsia="Arial" w:hAnsi="Arial" w:cs="Arial"/>
        <w:b/>
        <w:i/>
      </w:rPr>
      <w:t>J</w:t>
    </w:r>
    <w:r>
      <w:rPr>
        <w:rFonts w:ascii="Arial" w:eastAsia="Arial" w:hAnsi="Arial" w:cs="Arial"/>
        <w:b/>
        <w:i/>
        <w:sz w:val="18"/>
      </w:rPr>
      <w:t>URISPRUDENCIA</w:t>
    </w:r>
    <w:r>
      <w:rPr>
        <w:rFonts w:ascii="Arial" w:eastAsia="Arial" w:hAnsi="Arial" w:cs="Arial"/>
        <w:b/>
        <w:i/>
      </w:rPr>
      <w:t>,</w:t>
    </w:r>
    <w:r>
      <w:rPr>
        <w:rFonts w:ascii="Arial" w:eastAsia="Arial" w:hAnsi="Arial" w:cs="Arial"/>
        <w:b/>
        <w:i/>
        <w:sz w:val="18"/>
      </w:rPr>
      <w:t xml:space="preserve"> SEGUIMIENTO Y CONSULTA</w:t>
    </w:r>
    <w:r>
      <w:rPr>
        <w:rFonts w:ascii="Arial" w:eastAsia="Arial" w:hAnsi="Arial" w:cs="Arial"/>
        <w:b/>
        <w:i/>
      </w:rPr>
      <w:t xml:space="preserve"> </w:t>
    </w:r>
  </w:p>
  <w:p w14:paraId="225CFEBB" w14:textId="77777777" w:rsidR="00E0225B" w:rsidRDefault="00664E38">
    <w:pPr>
      <w:spacing w:after="0"/>
      <w:ind w:right="223"/>
      <w:jc w:val="right"/>
    </w:pPr>
    <w:r>
      <w:rPr>
        <w:rFonts w:ascii="Arial" w:eastAsia="Arial" w:hAnsi="Arial" w:cs="Arial"/>
        <w:b/>
        <w:i/>
      </w:rPr>
      <w:t>D</w:t>
    </w:r>
    <w:r>
      <w:rPr>
        <w:rFonts w:ascii="Arial" w:eastAsia="Arial" w:hAnsi="Arial" w:cs="Arial"/>
        <w:b/>
        <w:i/>
        <w:sz w:val="18"/>
      </w:rPr>
      <w:t xml:space="preserve">IRECCIÓN DE </w:t>
    </w:r>
    <w:r>
      <w:rPr>
        <w:rFonts w:ascii="Arial" w:eastAsia="Arial" w:hAnsi="Arial" w:cs="Arial"/>
        <w:b/>
        <w:i/>
      </w:rPr>
      <w:t>C</w:t>
    </w:r>
    <w:r>
      <w:rPr>
        <w:rFonts w:ascii="Arial" w:eastAsia="Arial" w:hAnsi="Arial" w:cs="Arial"/>
        <w:b/>
        <w:i/>
        <w:sz w:val="18"/>
      </w:rPr>
      <w:t xml:space="preserve">ONSULTA Y </w:t>
    </w:r>
    <w:r>
      <w:rPr>
        <w:rFonts w:ascii="Arial" w:eastAsia="Arial" w:hAnsi="Arial" w:cs="Arial"/>
        <w:b/>
        <w:i/>
      </w:rPr>
      <w:t>D</w:t>
    </w:r>
    <w:r>
      <w:rPr>
        <w:rFonts w:ascii="Arial" w:eastAsia="Arial" w:hAnsi="Arial" w:cs="Arial"/>
        <w:b/>
        <w:i/>
        <w:sz w:val="18"/>
      </w:rPr>
      <w:t>IFUSIÓN</w:t>
    </w:r>
    <w:r>
      <w:rPr>
        <w:rFonts w:ascii="Malgun Gothic" w:eastAsia="Malgun Gothic" w:hAnsi="Malgun Gothic" w:cs="Malgun Gothic"/>
        <w:b/>
      </w:rPr>
      <w:t xml:space="preserve"> </w:t>
    </w:r>
  </w:p>
  <w:p w14:paraId="64A50F24" w14:textId="77777777" w:rsidR="00E0225B" w:rsidRDefault="00664E38">
    <w:r>
      <w:rPr>
        <w:noProof/>
      </w:rPr>
      <mc:AlternateContent>
        <mc:Choice Requires="wpg">
          <w:drawing>
            <wp:anchor distT="0" distB="0" distL="114300" distR="114300" simplePos="0" relativeHeight="251660288" behindDoc="1" locked="0" layoutInCell="1" allowOverlap="1" wp14:anchorId="1EA661E0" wp14:editId="70057F00">
              <wp:simplePos x="0" y="0"/>
              <wp:positionH relativeFrom="page">
                <wp:posOffset>918972</wp:posOffset>
              </wp:positionH>
              <wp:positionV relativeFrom="page">
                <wp:posOffset>449580</wp:posOffset>
              </wp:positionV>
              <wp:extent cx="1162812" cy="1178052"/>
              <wp:effectExtent l="0" t="0" r="0" b="0"/>
              <wp:wrapNone/>
              <wp:docPr id="4642" name="Group 4642"/>
              <wp:cNvGraphicFramePr/>
              <a:graphic xmlns:a="http://schemas.openxmlformats.org/drawingml/2006/main">
                <a:graphicData uri="http://schemas.microsoft.com/office/word/2010/wordprocessingGroup">
                  <wpg:wgp>
                    <wpg:cNvGrpSpPr/>
                    <wpg:grpSpPr>
                      <a:xfrm>
                        <a:off x="0" y="0"/>
                        <a:ext cx="1162812" cy="1178052"/>
                        <a:chOff x="0" y="0"/>
                        <a:chExt cx="1162812" cy="1178052"/>
                      </a:xfrm>
                    </wpg:grpSpPr>
                    <pic:pic xmlns:pic="http://schemas.openxmlformats.org/drawingml/2006/picture">
                      <pic:nvPicPr>
                        <pic:cNvPr id="4643" name="Picture 4643"/>
                        <pic:cNvPicPr/>
                      </pic:nvPicPr>
                      <pic:blipFill>
                        <a:blip r:embed="rId1"/>
                        <a:stretch>
                          <a:fillRect/>
                        </a:stretch>
                      </pic:blipFill>
                      <pic:spPr>
                        <a:xfrm>
                          <a:off x="0" y="0"/>
                          <a:ext cx="1162812" cy="1178052"/>
                        </a:xfrm>
                        <a:prstGeom prst="rect">
                          <a:avLst/>
                        </a:prstGeom>
                      </pic:spPr>
                    </pic:pic>
                  </wpg:wgp>
                </a:graphicData>
              </a:graphic>
            </wp:anchor>
          </w:drawing>
        </mc:Choice>
        <mc:Fallback xmlns:a="http://schemas.openxmlformats.org/drawingml/2006/main">
          <w:pict>
            <v:group id="Group 4642" style="width:91.56pt;height:92.76pt;position:absolute;z-index:-2147483648;mso-position-horizontal-relative:page;mso-position-horizontal:absolute;margin-left:72.36pt;mso-position-vertical-relative:page;margin-top:35.4pt;" coordsize="11628,11780">
              <v:shape id="Picture 4643" style="position:absolute;width:11628;height:11780;left:0;top:0;" filled="f">
                <v:imagedata r:id="rId4"/>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25B"/>
    <w:rsid w:val="00081506"/>
    <w:rsid w:val="000C3D6B"/>
    <w:rsid w:val="001104C9"/>
    <w:rsid w:val="00130288"/>
    <w:rsid w:val="00191663"/>
    <w:rsid w:val="00193F27"/>
    <w:rsid w:val="001C63B7"/>
    <w:rsid w:val="001D0E3D"/>
    <w:rsid w:val="001F2EF7"/>
    <w:rsid w:val="002A08A6"/>
    <w:rsid w:val="00304526"/>
    <w:rsid w:val="00325F4A"/>
    <w:rsid w:val="0035412C"/>
    <w:rsid w:val="00382709"/>
    <w:rsid w:val="003A6265"/>
    <w:rsid w:val="003F0FD1"/>
    <w:rsid w:val="00404912"/>
    <w:rsid w:val="00487F5D"/>
    <w:rsid w:val="004F01CB"/>
    <w:rsid w:val="00550CC6"/>
    <w:rsid w:val="005737BE"/>
    <w:rsid w:val="00664E38"/>
    <w:rsid w:val="006F0FDD"/>
    <w:rsid w:val="0083698E"/>
    <w:rsid w:val="00904ED4"/>
    <w:rsid w:val="00A21F42"/>
    <w:rsid w:val="00A97571"/>
    <w:rsid w:val="00AA2C23"/>
    <w:rsid w:val="00AF0654"/>
    <w:rsid w:val="00B032FF"/>
    <w:rsid w:val="00B34165"/>
    <w:rsid w:val="00B41514"/>
    <w:rsid w:val="00BB239D"/>
    <w:rsid w:val="00BC6AB4"/>
    <w:rsid w:val="00D4212E"/>
    <w:rsid w:val="00D43FD3"/>
    <w:rsid w:val="00E0225B"/>
    <w:rsid w:val="00E273D1"/>
    <w:rsid w:val="00E838C4"/>
    <w:rsid w:val="00E8696B"/>
    <w:rsid w:val="00EB2271"/>
    <w:rsid w:val="00FE42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7BB32"/>
  <w15:docId w15:val="{CB73908F-9C05-4AC6-8022-1CB69D34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FD1"/>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1916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1663"/>
    <w:rPr>
      <w:rFonts w:ascii="Calibri" w:eastAsia="Calibri" w:hAnsi="Calibri" w:cs="Calibri"/>
      <w:color w:val="000000"/>
    </w:rPr>
  </w:style>
  <w:style w:type="character" w:styleId="Hipervnculo">
    <w:name w:val="Hyperlink"/>
    <w:basedOn w:val="Fuentedeprrafopredeter"/>
    <w:uiPriority w:val="99"/>
    <w:unhideWhenUsed/>
    <w:rsid w:val="00E273D1"/>
    <w:rPr>
      <w:color w:val="0563C1" w:themeColor="hyperlink"/>
      <w:u w:val="single"/>
    </w:rPr>
  </w:style>
  <w:style w:type="character" w:styleId="Mencinsinresolver">
    <w:name w:val="Unresolved Mention"/>
    <w:basedOn w:val="Fuentedeprrafopredeter"/>
    <w:uiPriority w:val="99"/>
    <w:semiHidden/>
    <w:unhideWhenUsed/>
    <w:rsid w:val="00E273D1"/>
    <w:rPr>
      <w:color w:val="605E5C"/>
      <w:shd w:val="clear" w:color="auto" w:fill="E1DFDD"/>
    </w:rPr>
  </w:style>
  <w:style w:type="character" w:styleId="Hipervnculovisitado">
    <w:name w:val="FollowedHyperlink"/>
    <w:basedOn w:val="Fuentedeprrafopredeter"/>
    <w:uiPriority w:val="99"/>
    <w:semiHidden/>
    <w:unhideWhenUsed/>
    <w:rsid w:val="00E273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ieehidalgo.org.mx/images/MarcoJuridico/ReglamentoInteriorInstitutoEstatalElectoral.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gob.mx/legislacion/page/seleccion/61"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4</Pages>
  <Words>919</Words>
  <Characters>5059</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Muñoz Zambrano</dc:creator>
  <cp:keywords/>
  <cp:lastModifiedBy>Herman Hernández Sánchez</cp:lastModifiedBy>
  <cp:revision>80</cp:revision>
  <dcterms:created xsi:type="dcterms:W3CDTF">2018-08-08T21:22:00Z</dcterms:created>
  <dcterms:modified xsi:type="dcterms:W3CDTF">2023-06-13T19:42:00Z</dcterms:modified>
</cp:coreProperties>
</file>