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64699" w14:textId="77777777" w:rsidR="007D629B" w:rsidRDefault="007D629B">
      <w:pPr>
        <w:spacing w:after="0"/>
        <w:ind w:right="15258"/>
        <w:jc w:val="right"/>
        <w:rPr>
          <w:rFonts w:ascii="Malgun Gothic" w:eastAsia="Malgun Gothic" w:hAnsi="Malgun Gothic" w:cs="Malgun Gothic"/>
        </w:rPr>
      </w:pPr>
    </w:p>
    <w:p w14:paraId="22DF5498" w14:textId="77777777" w:rsidR="004F35DF" w:rsidRDefault="00FA18E9" w:rsidP="00160E84">
      <w:pPr>
        <w:spacing w:after="0"/>
        <w:ind w:right="15258"/>
        <w:jc w:val="right"/>
      </w:pPr>
      <w:r>
        <w:rPr>
          <w:rFonts w:ascii="Malgun Gothic" w:eastAsia="Malgun Gothic" w:hAnsi="Malgun Gothic" w:cs="Malgun Gothic"/>
        </w:rPr>
        <w:t xml:space="preserve"> </w:t>
      </w:r>
      <w:r>
        <w:t xml:space="preserve"> </w:t>
      </w:r>
      <w:r>
        <w:rPr>
          <w:rFonts w:ascii="Century Gothic" w:eastAsia="Century Gothic" w:hAnsi="Century Gothic" w:cs="Century Gothic"/>
          <w:b/>
          <w:sz w:val="20"/>
        </w:rPr>
        <w:t xml:space="preserve"> </w:t>
      </w:r>
    </w:p>
    <w:tbl>
      <w:tblPr>
        <w:tblStyle w:val="TableGrid"/>
        <w:tblW w:w="17731" w:type="dxa"/>
        <w:tblInd w:w="-17" w:type="dxa"/>
        <w:tblLayout w:type="fixed"/>
        <w:tblCellMar>
          <w:top w:w="61" w:type="dxa"/>
          <w:left w:w="108" w:type="dxa"/>
          <w:right w:w="51" w:type="dxa"/>
        </w:tblCellMar>
        <w:tblLook w:val="04A0" w:firstRow="1" w:lastRow="0" w:firstColumn="1" w:lastColumn="0" w:noHBand="0" w:noVBand="1"/>
      </w:tblPr>
      <w:tblGrid>
        <w:gridCol w:w="746"/>
        <w:gridCol w:w="1676"/>
        <w:gridCol w:w="1701"/>
        <w:gridCol w:w="13608"/>
      </w:tblGrid>
      <w:tr w:rsidR="00C74C47" w14:paraId="45279040" w14:textId="77777777" w:rsidTr="00C74C47">
        <w:trPr>
          <w:trHeight w:val="408"/>
          <w:tblHeader/>
        </w:trPr>
        <w:tc>
          <w:tcPr>
            <w:tcW w:w="746" w:type="dxa"/>
            <w:tcBorders>
              <w:top w:val="single" w:sz="4" w:space="0" w:color="BFBFBF"/>
              <w:left w:val="single" w:sz="4" w:space="0" w:color="BFBFBF"/>
              <w:bottom w:val="single" w:sz="4" w:space="0" w:color="BFBFBF"/>
              <w:right w:val="single" w:sz="4" w:space="0" w:color="BFBFBF"/>
            </w:tcBorders>
            <w:shd w:val="clear" w:color="auto" w:fill="76923C"/>
          </w:tcPr>
          <w:p w14:paraId="6CBD0C1B" w14:textId="77777777" w:rsidR="00C74C47" w:rsidRDefault="00C74C47">
            <w:pPr>
              <w:ind w:left="191"/>
              <w:jc w:val="center"/>
            </w:pPr>
            <w:r>
              <w:rPr>
                <w:rFonts w:ascii="Century Gothic" w:eastAsia="Century Gothic" w:hAnsi="Century Gothic" w:cs="Century Gothic"/>
                <w:b/>
                <w:color w:val="FFFFFF"/>
                <w:sz w:val="20"/>
              </w:rPr>
              <w:t xml:space="preserve"> </w:t>
            </w:r>
          </w:p>
        </w:tc>
        <w:tc>
          <w:tcPr>
            <w:tcW w:w="1676" w:type="dxa"/>
            <w:tcBorders>
              <w:top w:val="single" w:sz="4" w:space="0" w:color="BFBFBF"/>
              <w:left w:val="single" w:sz="4" w:space="0" w:color="BFBFBF"/>
              <w:bottom w:val="single" w:sz="4" w:space="0" w:color="BFBFBF"/>
              <w:right w:val="single" w:sz="4" w:space="0" w:color="BFBFBF"/>
            </w:tcBorders>
            <w:shd w:val="clear" w:color="auto" w:fill="76923C"/>
          </w:tcPr>
          <w:p w14:paraId="2B864D30" w14:textId="77777777" w:rsidR="00C74C47" w:rsidRDefault="00C74C47">
            <w:pPr>
              <w:ind w:right="60"/>
              <w:jc w:val="center"/>
            </w:pPr>
            <w:r>
              <w:rPr>
                <w:rFonts w:ascii="Century Gothic" w:eastAsia="Century Gothic" w:hAnsi="Century Gothic" w:cs="Century Gothic"/>
                <w:b/>
                <w:color w:val="FFFFFF"/>
                <w:sz w:val="20"/>
              </w:rPr>
              <w:t xml:space="preserve">ESTADO </w:t>
            </w:r>
          </w:p>
        </w:tc>
        <w:tc>
          <w:tcPr>
            <w:tcW w:w="1701" w:type="dxa"/>
            <w:tcBorders>
              <w:top w:val="single" w:sz="4" w:space="0" w:color="BFBFBF"/>
              <w:left w:val="single" w:sz="4" w:space="0" w:color="BFBFBF"/>
              <w:bottom w:val="single" w:sz="4" w:space="0" w:color="BFBFBF"/>
              <w:right w:val="single" w:sz="4" w:space="0" w:color="BFBFBF"/>
            </w:tcBorders>
            <w:shd w:val="clear" w:color="auto" w:fill="76923C"/>
          </w:tcPr>
          <w:p w14:paraId="5A4BFB22" w14:textId="77777777" w:rsidR="00C74C47" w:rsidRDefault="00C74C47">
            <w:pPr>
              <w:ind w:right="58"/>
              <w:jc w:val="center"/>
            </w:pPr>
            <w:r>
              <w:rPr>
                <w:rFonts w:ascii="Century Gothic" w:eastAsia="Century Gothic" w:hAnsi="Century Gothic" w:cs="Century Gothic"/>
                <w:b/>
                <w:color w:val="FFFFFF"/>
                <w:sz w:val="20"/>
              </w:rPr>
              <w:t xml:space="preserve">LEY </w:t>
            </w:r>
          </w:p>
        </w:tc>
        <w:tc>
          <w:tcPr>
            <w:tcW w:w="13608" w:type="dxa"/>
            <w:tcBorders>
              <w:top w:val="single" w:sz="4" w:space="0" w:color="BFBFBF"/>
              <w:left w:val="single" w:sz="4" w:space="0" w:color="BFBFBF"/>
              <w:bottom w:val="single" w:sz="4" w:space="0" w:color="BFBFBF"/>
              <w:right w:val="single" w:sz="4" w:space="0" w:color="BFBFBF"/>
            </w:tcBorders>
            <w:shd w:val="clear" w:color="auto" w:fill="76923C"/>
          </w:tcPr>
          <w:p w14:paraId="6116DCF5" w14:textId="6B946FDA" w:rsidR="00C74C47" w:rsidRDefault="00C74C47">
            <w:pPr>
              <w:ind w:right="58"/>
              <w:jc w:val="center"/>
              <w:rPr>
                <w:rFonts w:ascii="Century Gothic" w:eastAsia="Century Gothic" w:hAnsi="Century Gothic" w:cs="Century Gothic"/>
                <w:b/>
                <w:color w:val="FFFFFF"/>
                <w:sz w:val="20"/>
              </w:rPr>
            </w:pPr>
            <w:r w:rsidRPr="008502CD">
              <w:rPr>
                <w:rFonts w:ascii="Century Gothic" w:eastAsia="Century Gothic" w:hAnsi="Century Gothic" w:cs="Century Gothic"/>
                <w:b/>
                <w:color w:val="FFFFFF"/>
                <w:sz w:val="20"/>
              </w:rPr>
              <w:t>ARTÍCULO</w:t>
            </w:r>
            <w:r>
              <w:rPr>
                <w:rFonts w:ascii="Century Gothic" w:eastAsia="Century Gothic" w:hAnsi="Century Gothic" w:cs="Century Gothic"/>
                <w:b/>
                <w:color w:val="FFFFFF"/>
                <w:sz w:val="20"/>
              </w:rPr>
              <w:t xml:space="preserve"> </w:t>
            </w:r>
            <w:r w:rsidRPr="008502CD">
              <w:rPr>
                <w:rFonts w:ascii="Century Gothic" w:eastAsia="Century Gothic" w:hAnsi="Century Gothic" w:cs="Century Gothic"/>
                <w:b/>
                <w:color w:val="FFFFFF"/>
                <w:sz w:val="20"/>
              </w:rPr>
              <w:t>(TRANSCRIPCIÓN)</w:t>
            </w:r>
          </w:p>
        </w:tc>
      </w:tr>
      <w:tr w:rsidR="00C74C47" w14:paraId="0F66AEA7" w14:textId="77777777" w:rsidTr="00C74C47">
        <w:trPr>
          <w:trHeight w:val="3570"/>
        </w:trPr>
        <w:tc>
          <w:tcPr>
            <w:tcW w:w="74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9D5BAA6" w14:textId="77777777" w:rsidR="00C74C47" w:rsidRDefault="00C74C47">
            <w:pPr>
              <w:ind w:right="419"/>
              <w:jc w:val="center"/>
            </w:pPr>
            <w:r>
              <w:rPr>
                <w:rFonts w:ascii="Century Gothic" w:eastAsia="Century Gothic" w:hAnsi="Century Gothic" w:cs="Century Gothic"/>
                <w:b/>
                <w:sz w:val="20"/>
              </w:rPr>
              <w:t>1.</w:t>
            </w:r>
            <w:r>
              <w:rPr>
                <w:rFonts w:ascii="Arial" w:eastAsia="Arial" w:hAnsi="Arial" w:cs="Arial"/>
                <w:b/>
                <w:sz w:val="20"/>
              </w:rPr>
              <w:t xml:space="preserve"> </w:t>
            </w:r>
            <w:r>
              <w:rPr>
                <w:rFonts w:ascii="Century Gothic" w:eastAsia="Century Gothic" w:hAnsi="Century Gothic" w:cs="Century Gothic"/>
                <w:b/>
                <w:sz w:val="20"/>
              </w:rPr>
              <w:t xml:space="preserve"> </w:t>
            </w:r>
          </w:p>
        </w:tc>
        <w:tc>
          <w:tcPr>
            <w:tcW w:w="167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7662C26" w14:textId="77777777" w:rsidR="00C74C47" w:rsidRDefault="00C74C47">
            <w:pPr>
              <w:ind w:right="60"/>
              <w:jc w:val="center"/>
              <w:rPr>
                <w:rFonts w:ascii="Century Gothic" w:eastAsia="Century Gothic" w:hAnsi="Century Gothic" w:cs="Century Gothic"/>
                <w:b/>
                <w:sz w:val="20"/>
              </w:rPr>
            </w:pPr>
            <w:r>
              <w:rPr>
                <w:rFonts w:ascii="Century Gothic" w:eastAsia="Century Gothic" w:hAnsi="Century Gothic" w:cs="Century Gothic"/>
                <w:b/>
                <w:sz w:val="20"/>
              </w:rPr>
              <w:t xml:space="preserve">JALISCO </w:t>
            </w:r>
          </w:p>
          <w:p w14:paraId="65B89055" w14:textId="77777777" w:rsidR="00C74C47" w:rsidRDefault="00C74C47">
            <w:pPr>
              <w:ind w:right="60"/>
              <w:jc w:val="center"/>
            </w:pPr>
          </w:p>
        </w:tc>
        <w:tc>
          <w:tcPr>
            <w:tcW w:w="170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486079C" w14:textId="77777777" w:rsidR="00C74C47" w:rsidRPr="00C74C47" w:rsidRDefault="00C74C47" w:rsidP="00C63D55">
            <w:pPr>
              <w:ind w:left="65"/>
              <w:jc w:val="center"/>
            </w:pPr>
            <w:hyperlink r:id="rId7" w:history="1">
              <w:r w:rsidRPr="00C74C47">
                <w:rPr>
                  <w:rStyle w:val="Hipervnculo"/>
                  <w:rFonts w:ascii="Century Gothic" w:eastAsia="Century Gothic" w:hAnsi="Century Gothic" w:cs="Century Gothic"/>
                  <w:b/>
                  <w:color w:val="auto"/>
                  <w:sz w:val="20"/>
                  <w:u w:val="none"/>
                </w:rPr>
                <w:t>Constitución Política del Estado de Jalisco</w:t>
              </w:r>
            </w:hyperlink>
          </w:p>
        </w:tc>
        <w:tc>
          <w:tcPr>
            <w:tcW w:w="13608" w:type="dxa"/>
            <w:tcBorders>
              <w:top w:val="single" w:sz="4" w:space="0" w:color="BFBFBF"/>
              <w:left w:val="single" w:sz="4" w:space="0" w:color="BFBFBF"/>
              <w:bottom w:val="single" w:sz="4" w:space="0" w:color="BFBFBF"/>
              <w:right w:val="single" w:sz="4" w:space="0" w:color="BFBFBF"/>
            </w:tcBorders>
            <w:shd w:val="clear" w:color="auto" w:fill="F2F2F2"/>
          </w:tcPr>
          <w:p w14:paraId="1BE9F2C5" w14:textId="77777777" w:rsidR="00C74C47" w:rsidRDefault="00C74C47" w:rsidP="00C74C47">
            <w:pPr>
              <w:spacing w:line="241" w:lineRule="auto"/>
              <w:ind w:right="62"/>
              <w:jc w:val="both"/>
            </w:pPr>
            <w:r>
              <w:rPr>
                <w:rFonts w:ascii="Century Gothic" w:eastAsia="Century Gothic" w:hAnsi="Century Gothic" w:cs="Century Gothic"/>
                <w:b/>
                <w:sz w:val="20"/>
              </w:rPr>
              <w:t xml:space="preserve">Artículo 12.- </w:t>
            </w:r>
            <w:r>
              <w:rPr>
                <w:rFonts w:ascii="Century Gothic" w:eastAsia="Century Gothic" w:hAnsi="Century Gothic" w:cs="Century Gothic"/>
                <w:sz w:val="20"/>
              </w:rPr>
              <w:t xml:space="preserve">La renovación de los titulares de los poderes Legislativo y Ejecutivo, así como de los ayuntamientos, se realizará mediante elecciones libres, auténticas y periódicas conforme a las siguientes bases: </w:t>
            </w:r>
          </w:p>
          <w:p w14:paraId="791327C2" w14:textId="77777777" w:rsidR="00C74C47" w:rsidRDefault="00C74C47" w:rsidP="00C74C47">
            <w:r>
              <w:rPr>
                <w:rFonts w:ascii="Century Gothic" w:eastAsia="Century Gothic" w:hAnsi="Century Gothic" w:cs="Century Gothic"/>
                <w:sz w:val="20"/>
              </w:rPr>
              <w:t xml:space="preserve"> </w:t>
            </w:r>
          </w:p>
          <w:p w14:paraId="6EE94685" w14:textId="77777777" w:rsidR="00C74C47" w:rsidRDefault="00C74C47" w:rsidP="00C74C47">
            <w:r>
              <w:rPr>
                <w:rFonts w:ascii="Century Gothic" w:eastAsia="Century Gothic" w:hAnsi="Century Gothic" w:cs="Century Gothic"/>
                <w:sz w:val="20"/>
              </w:rPr>
              <w:t xml:space="preserve">[…] </w:t>
            </w:r>
          </w:p>
          <w:p w14:paraId="06433EB3" w14:textId="77777777" w:rsidR="00C74C47" w:rsidRDefault="00C74C47" w:rsidP="00C74C47">
            <w:r>
              <w:rPr>
                <w:rFonts w:ascii="Century Gothic" w:eastAsia="Century Gothic" w:hAnsi="Century Gothic" w:cs="Century Gothic"/>
                <w:sz w:val="20"/>
              </w:rPr>
              <w:t xml:space="preserve"> </w:t>
            </w:r>
          </w:p>
          <w:p w14:paraId="6D2A6B63" w14:textId="5CC91F89" w:rsidR="00C74C47" w:rsidRDefault="00C74C47" w:rsidP="00C74C47">
            <w:pPr>
              <w:spacing w:line="241" w:lineRule="auto"/>
              <w:ind w:right="62"/>
              <w:jc w:val="both"/>
              <w:rPr>
                <w:rFonts w:ascii="Century Gothic" w:eastAsia="Century Gothic" w:hAnsi="Century Gothic" w:cs="Century Gothic"/>
                <w:b/>
                <w:sz w:val="20"/>
              </w:rPr>
            </w:pPr>
            <w:r>
              <w:rPr>
                <w:rFonts w:ascii="Century Gothic" w:eastAsia="Century Gothic" w:hAnsi="Century Gothic" w:cs="Century Gothic"/>
                <w:sz w:val="20"/>
              </w:rPr>
              <w:t>XII. El Instituto Electoral y de Participación Ciudadana del Estado de Jalisco deberá, en su caso, solicitar la colaboración del Instituto Nacional Electoral a fin de superar el secreto bancario, fiduciario y fiscal en los actos de fiscalización que realice a las finanzas de los partidos políticos, agrupaciones políticas locales, aspirantes, precandidatos y candidatos, en términos de lo dispuesto en el artículo 41 de la Constitución federal y lo que determinen las leyes;</w:t>
            </w:r>
          </w:p>
        </w:tc>
      </w:tr>
      <w:tr w:rsidR="00C74C47" w14:paraId="0566DF67" w14:textId="77777777" w:rsidTr="00C74C47">
        <w:trPr>
          <w:trHeight w:val="4425"/>
        </w:trPr>
        <w:tc>
          <w:tcPr>
            <w:tcW w:w="746" w:type="dxa"/>
            <w:tcBorders>
              <w:top w:val="single" w:sz="4" w:space="0" w:color="BFBFBF"/>
              <w:left w:val="single" w:sz="4" w:space="0" w:color="BFBFBF"/>
              <w:bottom w:val="single" w:sz="4" w:space="0" w:color="BFBFBF"/>
              <w:right w:val="single" w:sz="4" w:space="0" w:color="BFBFBF"/>
            </w:tcBorders>
            <w:vAlign w:val="center"/>
          </w:tcPr>
          <w:p w14:paraId="7146EF8B" w14:textId="77777777" w:rsidR="00C74C47" w:rsidRDefault="00C74C47">
            <w:pPr>
              <w:ind w:right="419"/>
              <w:jc w:val="center"/>
            </w:pPr>
            <w:r>
              <w:rPr>
                <w:rFonts w:ascii="Century Gothic" w:eastAsia="Century Gothic" w:hAnsi="Century Gothic" w:cs="Century Gothic"/>
                <w:b/>
                <w:sz w:val="20"/>
              </w:rPr>
              <w:lastRenderedPageBreak/>
              <w:t>2.</w:t>
            </w:r>
            <w:r>
              <w:rPr>
                <w:rFonts w:ascii="Arial" w:eastAsia="Arial" w:hAnsi="Arial" w:cs="Arial"/>
                <w:b/>
                <w:sz w:val="20"/>
              </w:rPr>
              <w:t xml:space="preserve"> </w:t>
            </w:r>
            <w:r>
              <w:rPr>
                <w:rFonts w:ascii="Century Gothic" w:eastAsia="Century Gothic" w:hAnsi="Century Gothic" w:cs="Century Gothic"/>
                <w:b/>
                <w:sz w:val="20"/>
              </w:rPr>
              <w:t xml:space="preserve"> </w:t>
            </w:r>
          </w:p>
        </w:tc>
        <w:tc>
          <w:tcPr>
            <w:tcW w:w="1676" w:type="dxa"/>
            <w:tcBorders>
              <w:top w:val="single" w:sz="4" w:space="0" w:color="BFBFBF"/>
              <w:left w:val="single" w:sz="4" w:space="0" w:color="BFBFBF"/>
              <w:bottom w:val="single" w:sz="4" w:space="0" w:color="BFBFBF"/>
              <w:right w:val="single" w:sz="4" w:space="0" w:color="BFBFBF"/>
            </w:tcBorders>
            <w:vAlign w:val="center"/>
          </w:tcPr>
          <w:p w14:paraId="49608E26" w14:textId="77777777" w:rsidR="00C74C47" w:rsidRDefault="00C74C47">
            <w:pPr>
              <w:ind w:right="60"/>
              <w:jc w:val="center"/>
            </w:pPr>
            <w:r>
              <w:rPr>
                <w:rFonts w:ascii="Century Gothic" w:eastAsia="Century Gothic" w:hAnsi="Century Gothic" w:cs="Century Gothic"/>
                <w:b/>
                <w:sz w:val="20"/>
              </w:rPr>
              <w:t xml:space="preserve">JALISCO </w:t>
            </w:r>
          </w:p>
        </w:tc>
        <w:tc>
          <w:tcPr>
            <w:tcW w:w="1701" w:type="dxa"/>
            <w:tcBorders>
              <w:top w:val="single" w:sz="4" w:space="0" w:color="BFBFBF"/>
              <w:left w:val="single" w:sz="4" w:space="0" w:color="BFBFBF"/>
              <w:bottom w:val="single" w:sz="4" w:space="0" w:color="BFBFBF"/>
              <w:right w:val="single" w:sz="4" w:space="0" w:color="BFBFBF"/>
            </w:tcBorders>
            <w:vAlign w:val="center"/>
          </w:tcPr>
          <w:p w14:paraId="52B3395C" w14:textId="77777777" w:rsidR="00C74C47" w:rsidRPr="00C74C47" w:rsidRDefault="00C74C47">
            <w:pPr>
              <w:jc w:val="center"/>
            </w:pPr>
            <w:hyperlink r:id="rId8" w:history="1">
              <w:r w:rsidRPr="00C74C47">
                <w:rPr>
                  <w:rStyle w:val="Hipervnculo"/>
                  <w:rFonts w:ascii="Century Gothic" w:eastAsia="Century Gothic" w:hAnsi="Century Gothic" w:cs="Century Gothic"/>
                  <w:b/>
                  <w:color w:val="auto"/>
                  <w:sz w:val="20"/>
                  <w:u w:val="none"/>
                </w:rPr>
                <w:t>Código Electoral del Estado de Jalisco</w:t>
              </w:r>
            </w:hyperlink>
          </w:p>
        </w:tc>
        <w:tc>
          <w:tcPr>
            <w:tcW w:w="13608" w:type="dxa"/>
            <w:tcBorders>
              <w:top w:val="single" w:sz="4" w:space="0" w:color="BFBFBF"/>
              <w:left w:val="single" w:sz="4" w:space="0" w:color="BFBFBF"/>
              <w:bottom w:val="single" w:sz="4" w:space="0" w:color="BFBFBF"/>
              <w:right w:val="single" w:sz="4" w:space="0" w:color="BFBFBF"/>
            </w:tcBorders>
          </w:tcPr>
          <w:p w14:paraId="6424C3CE" w14:textId="77777777" w:rsidR="00C74C47" w:rsidRPr="00C45F2B" w:rsidRDefault="00C74C47" w:rsidP="00C45F2B">
            <w:pPr>
              <w:rPr>
                <w:rFonts w:ascii="Century Gothic" w:eastAsia="Century Gothic" w:hAnsi="Century Gothic" w:cs="Century Gothic"/>
                <w:b/>
                <w:sz w:val="20"/>
              </w:rPr>
            </w:pPr>
            <w:r w:rsidRPr="00C45F2B">
              <w:rPr>
                <w:rFonts w:ascii="Century Gothic" w:eastAsia="Century Gothic" w:hAnsi="Century Gothic" w:cs="Century Gothic"/>
                <w:b/>
                <w:sz w:val="20"/>
              </w:rPr>
              <w:t xml:space="preserve">Artículo 62 </w:t>
            </w:r>
          </w:p>
          <w:p w14:paraId="7178B091" w14:textId="77777777" w:rsidR="00C74C47" w:rsidRPr="00C45F2B" w:rsidRDefault="00C74C47" w:rsidP="00C45F2B">
            <w:pPr>
              <w:jc w:val="both"/>
              <w:rPr>
                <w:rFonts w:ascii="Century Gothic" w:eastAsia="Century Gothic" w:hAnsi="Century Gothic" w:cs="Century Gothic"/>
                <w:bCs/>
                <w:sz w:val="20"/>
              </w:rPr>
            </w:pPr>
            <w:r w:rsidRPr="00C45F2B">
              <w:rPr>
                <w:rFonts w:ascii="Century Gothic" w:eastAsia="Century Gothic" w:hAnsi="Century Gothic" w:cs="Century Gothic"/>
                <w:bCs/>
                <w:sz w:val="20"/>
              </w:rPr>
              <w:t xml:space="preserve">1. Las agrupaciones políticas estatales sólo podrán participar en procesos electorales locales mediante acuerdos de participación con un partido político o coalición. Las candidaturas surgidas de los acuerdos de participación serán registradas por un partido político y serán votadas con la denominación, emblema, color o colores de éste. </w:t>
            </w:r>
          </w:p>
          <w:p w14:paraId="3E1A98BF" w14:textId="77777777" w:rsidR="00C74C47" w:rsidRPr="00C45F2B" w:rsidRDefault="00C74C47" w:rsidP="00C45F2B">
            <w:pPr>
              <w:jc w:val="both"/>
              <w:rPr>
                <w:rFonts w:ascii="Century Gothic" w:eastAsia="Century Gothic" w:hAnsi="Century Gothic" w:cs="Century Gothic"/>
                <w:bCs/>
                <w:sz w:val="20"/>
              </w:rPr>
            </w:pPr>
            <w:r w:rsidRPr="00C45F2B">
              <w:rPr>
                <w:rFonts w:ascii="Century Gothic" w:eastAsia="Century Gothic" w:hAnsi="Century Gothic" w:cs="Century Gothic"/>
                <w:bCs/>
                <w:sz w:val="20"/>
              </w:rPr>
              <w:t xml:space="preserve"> </w:t>
            </w:r>
          </w:p>
          <w:p w14:paraId="1D62AAC9" w14:textId="77777777" w:rsidR="00C74C47" w:rsidRPr="00C45F2B" w:rsidRDefault="00C74C47" w:rsidP="00C45F2B">
            <w:pPr>
              <w:jc w:val="both"/>
              <w:rPr>
                <w:rFonts w:ascii="Century Gothic" w:eastAsia="Century Gothic" w:hAnsi="Century Gothic" w:cs="Century Gothic"/>
                <w:bCs/>
                <w:sz w:val="20"/>
              </w:rPr>
            </w:pPr>
            <w:r w:rsidRPr="00C45F2B">
              <w:rPr>
                <w:rFonts w:ascii="Century Gothic" w:eastAsia="Century Gothic" w:hAnsi="Century Gothic" w:cs="Century Gothic"/>
                <w:bCs/>
                <w:sz w:val="20"/>
              </w:rPr>
              <w:t xml:space="preserve">[...] </w:t>
            </w:r>
          </w:p>
          <w:p w14:paraId="6D3E9ADD" w14:textId="77777777" w:rsidR="00C74C47" w:rsidRPr="00C45F2B" w:rsidRDefault="00C74C47" w:rsidP="00C45F2B">
            <w:pPr>
              <w:jc w:val="both"/>
              <w:rPr>
                <w:rFonts w:ascii="Century Gothic" w:eastAsia="Century Gothic" w:hAnsi="Century Gothic" w:cs="Century Gothic"/>
                <w:bCs/>
                <w:sz w:val="20"/>
              </w:rPr>
            </w:pPr>
            <w:r w:rsidRPr="00C45F2B">
              <w:rPr>
                <w:rFonts w:ascii="Century Gothic" w:eastAsia="Century Gothic" w:hAnsi="Century Gothic" w:cs="Century Gothic"/>
                <w:bCs/>
                <w:sz w:val="20"/>
              </w:rPr>
              <w:t xml:space="preserve"> </w:t>
            </w:r>
          </w:p>
          <w:p w14:paraId="15C7F2D2" w14:textId="77777777" w:rsidR="00C74C47" w:rsidRPr="00C45F2B" w:rsidRDefault="00C74C47" w:rsidP="00C45F2B">
            <w:pPr>
              <w:jc w:val="both"/>
              <w:rPr>
                <w:rFonts w:ascii="Century Gothic" w:eastAsia="Century Gothic" w:hAnsi="Century Gothic" w:cs="Century Gothic"/>
                <w:bCs/>
                <w:sz w:val="20"/>
                <w:highlight w:val="yellow"/>
              </w:rPr>
            </w:pPr>
            <w:r w:rsidRPr="00C45F2B">
              <w:rPr>
                <w:rFonts w:ascii="Century Gothic" w:eastAsia="Century Gothic" w:hAnsi="Century Gothic" w:cs="Century Gothic"/>
                <w:bCs/>
                <w:sz w:val="20"/>
              </w:rPr>
              <w:t>4. Las agrupaciones políticas estatales estarán sujetas a las obligaciones y procedimientos de fiscalización de sus recursos conforme a lo establecido en este Código y en el reglamento correspondiente.</w:t>
            </w:r>
          </w:p>
          <w:p w14:paraId="32BB105F" w14:textId="77777777" w:rsidR="00C74C47" w:rsidRDefault="00C74C47">
            <w:pPr>
              <w:rPr>
                <w:rFonts w:ascii="Century Gothic" w:eastAsia="Century Gothic" w:hAnsi="Century Gothic" w:cs="Century Gothic"/>
                <w:b/>
                <w:sz w:val="20"/>
                <w:highlight w:val="yellow"/>
              </w:rPr>
            </w:pPr>
          </w:p>
          <w:p w14:paraId="4D6FDB30" w14:textId="77777777" w:rsidR="00C74C47" w:rsidRDefault="00C74C47">
            <w:pPr>
              <w:rPr>
                <w:rFonts w:ascii="Century Gothic" w:eastAsia="Century Gothic" w:hAnsi="Century Gothic" w:cs="Century Gothic"/>
                <w:b/>
                <w:sz w:val="20"/>
                <w:highlight w:val="yellow"/>
              </w:rPr>
            </w:pPr>
          </w:p>
          <w:p w14:paraId="57388FA3" w14:textId="77777777" w:rsidR="00C74C47" w:rsidRDefault="00C74C47">
            <w:pPr>
              <w:rPr>
                <w:rFonts w:ascii="Century Gothic" w:eastAsia="Century Gothic" w:hAnsi="Century Gothic" w:cs="Century Gothic"/>
                <w:b/>
                <w:sz w:val="20"/>
                <w:highlight w:val="yellow"/>
              </w:rPr>
            </w:pPr>
          </w:p>
          <w:p w14:paraId="2FEB39D5" w14:textId="77777777" w:rsidR="00C74C47" w:rsidRPr="00C45F2B" w:rsidRDefault="00C74C47" w:rsidP="00C45F2B">
            <w:pPr>
              <w:jc w:val="both"/>
              <w:rPr>
                <w:rFonts w:ascii="Century Gothic" w:eastAsia="Century Gothic" w:hAnsi="Century Gothic" w:cs="Century Gothic"/>
                <w:b/>
                <w:sz w:val="20"/>
              </w:rPr>
            </w:pPr>
            <w:r w:rsidRPr="00C45F2B">
              <w:rPr>
                <w:rFonts w:ascii="Century Gothic" w:eastAsia="Century Gothic" w:hAnsi="Century Gothic" w:cs="Century Gothic"/>
                <w:b/>
                <w:sz w:val="20"/>
              </w:rPr>
              <w:t xml:space="preserve">Artículo 91. </w:t>
            </w:r>
          </w:p>
          <w:p w14:paraId="6E165D25" w14:textId="77777777" w:rsidR="00C74C47" w:rsidRPr="00C45F2B" w:rsidRDefault="00C74C47" w:rsidP="00C45F2B">
            <w:pPr>
              <w:jc w:val="both"/>
              <w:rPr>
                <w:rFonts w:ascii="Century Gothic" w:eastAsia="Century Gothic" w:hAnsi="Century Gothic" w:cs="Century Gothic"/>
                <w:bCs/>
                <w:sz w:val="20"/>
              </w:rPr>
            </w:pPr>
            <w:r w:rsidRPr="00C45F2B">
              <w:rPr>
                <w:rFonts w:ascii="Century Gothic" w:eastAsia="Century Gothic" w:hAnsi="Century Gothic" w:cs="Century Gothic"/>
                <w:bCs/>
                <w:sz w:val="20"/>
              </w:rPr>
              <w:t>1.</w:t>
            </w:r>
            <w:r w:rsidRPr="00C45F2B">
              <w:rPr>
                <w:rFonts w:ascii="Century Gothic" w:eastAsia="Century Gothic" w:hAnsi="Century Gothic" w:cs="Century Gothic"/>
                <w:bCs/>
                <w:sz w:val="20"/>
              </w:rPr>
              <w:tab/>
              <w:t xml:space="preserve">La fiscalización de los ingresos y egresos de los partidos políticos y candidatos se regirá por lo dispuesto en la Ley General y la Ley General de Partidos Políticos. </w:t>
            </w:r>
          </w:p>
          <w:p w14:paraId="6B003A31" w14:textId="77777777" w:rsidR="00C74C47" w:rsidRPr="00C45F2B" w:rsidRDefault="00C74C47" w:rsidP="00C45F2B">
            <w:pPr>
              <w:jc w:val="both"/>
              <w:rPr>
                <w:rFonts w:ascii="Century Gothic" w:eastAsia="Century Gothic" w:hAnsi="Century Gothic" w:cs="Century Gothic"/>
                <w:bCs/>
                <w:sz w:val="20"/>
              </w:rPr>
            </w:pPr>
            <w:r w:rsidRPr="00C45F2B">
              <w:rPr>
                <w:rFonts w:ascii="Century Gothic" w:eastAsia="Century Gothic" w:hAnsi="Century Gothic" w:cs="Century Gothic"/>
                <w:bCs/>
                <w:sz w:val="20"/>
              </w:rPr>
              <w:t xml:space="preserve"> </w:t>
            </w:r>
          </w:p>
          <w:p w14:paraId="02C55D6B" w14:textId="77777777" w:rsidR="00C74C47" w:rsidRDefault="00C74C47" w:rsidP="00C45F2B">
            <w:pPr>
              <w:spacing w:line="242" w:lineRule="auto"/>
              <w:jc w:val="both"/>
            </w:pPr>
            <w:r w:rsidRPr="00C45F2B">
              <w:rPr>
                <w:rFonts w:ascii="Century Gothic" w:eastAsia="Century Gothic" w:hAnsi="Century Gothic" w:cs="Century Gothic"/>
                <w:bCs/>
                <w:sz w:val="20"/>
              </w:rPr>
              <w:t>2.</w:t>
            </w:r>
            <w:r w:rsidRPr="00C45F2B">
              <w:rPr>
                <w:rFonts w:ascii="Century Gothic" w:eastAsia="Century Gothic" w:hAnsi="Century Gothic" w:cs="Century Gothic"/>
                <w:bCs/>
                <w:sz w:val="20"/>
              </w:rPr>
              <w:tab/>
              <w:t>El Instituto contará con la Unidad, la cual tendrá la función de la fiscalización de los recursos de las agrupaciones políticas estatales y aquellas que en su caso le delegue el</w:t>
            </w:r>
            <w:r>
              <w:rPr>
                <w:rFonts w:ascii="Century Gothic" w:eastAsia="Century Gothic" w:hAnsi="Century Gothic" w:cs="Century Gothic"/>
                <w:bCs/>
                <w:sz w:val="20"/>
              </w:rPr>
              <w:t xml:space="preserve"> </w:t>
            </w:r>
            <w:r>
              <w:rPr>
                <w:rFonts w:ascii="Century Gothic" w:eastAsia="Century Gothic" w:hAnsi="Century Gothic" w:cs="Century Gothic"/>
                <w:sz w:val="20"/>
              </w:rPr>
              <w:t xml:space="preserve">Instituto Nacional Electoral al Instituto, en materia de fiscalización de los partidos políticos. </w:t>
            </w:r>
          </w:p>
          <w:p w14:paraId="689D8FD6" w14:textId="77777777" w:rsidR="00C74C47" w:rsidRDefault="00C74C47" w:rsidP="00C45F2B">
            <w:r>
              <w:rPr>
                <w:rFonts w:ascii="Century Gothic" w:eastAsia="Century Gothic" w:hAnsi="Century Gothic" w:cs="Century Gothic"/>
                <w:b/>
                <w:sz w:val="20"/>
              </w:rPr>
              <w:t xml:space="preserve"> </w:t>
            </w:r>
          </w:p>
          <w:p w14:paraId="7FA3E6E6" w14:textId="77777777" w:rsidR="00C74C47" w:rsidRDefault="00C74C47" w:rsidP="00C45F2B">
            <w:pPr>
              <w:rPr>
                <w:rFonts w:ascii="Century Gothic" w:eastAsia="Century Gothic" w:hAnsi="Century Gothic" w:cs="Century Gothic"/>
                <w:sz w:val="20"/>
              </w:rPr>
            </w:pPr>
            <w:r>
              <w:rPr>
                <w:rFonts w:ascii="Century Gothic" w:eastAsia="Century Gothic" w:hAnsi="Century Gothic" w:cs="Century Gothic"/>
                <w:sz w:val="20"/>
              </w:rPr>
              <w:t xml:space="preserve">[...] </w:t>
            </w:r>
          </w:p>
          <w:p w14:paraId="4DDDF473" w14:textId="77777777" w:rsidR="00C74C47" w:rsidRDefault="00C74C47" w:rsidP="00C45F2B">
            <w:pPr>
              <w:rPr>
                <w:rFonts w:ascii="Century Gothic" w:eastAsia="Century Gothic" w:hAnsi="Century Gothic" w:cs="Century Gothic"/>
                <w:sz w:val="20"/>
              </w:rPr>
            </w:pPr>
          </w:p>
          <w:p w14:paraId="56F7B306" w14:textId="77777777" w:rsidR="00C74C47" w:rsidRDefault="00C74C47" w:rsidP="002A0CA1">
            <w:r>
              <w:rPr>
                <w:rFonts w:ascii="Century Gothic" w:eastAsia="Century Gothic" w:hAnsi="Century Gothic" w:cs="Century Gothic"/>
                <w:b/>
                <w:sz w:val="20"/>
              </w:rPr>
              <w:t xml:space="preserve">Artículo 116. </w:t>
            </w:r>
          </w:p>
          <w:p w14:paraId="779BBF73" w14:textId="77777777" w:rsidR="00C74C47" w:rsidRDefault="00C74C47" w:rsidP="002A0CA1">
            <w:pPr>
              <w:ind w:right="56"/>
              <w:jc w:val="both"/>
            </w:pPr>
            <w:r w:rsidRPr="002A0CA1">
              <w:rPr>
                <w:rFonts w:ascii="Century Gothic" w:eastAsia="Century Gothic" w:hAnsi="Century Gothic" w:cs="Century Gothic"/>
                <w:bCs/>
                <w:sz w:val="20"/>
              </w:rPr>
              <w:t>1</w:t>
            </w:r>
            <w:r>
              <w:rPr>
                <w:rFonts w:ascii="Century Gothic" w:eastAsia="Century Gothic" w:hAnsi="Century Gothic" w:cs="Century Gothic"/>
                <w:b/>
                <w:sz w:val="20"/>
              </w:rPr>
              <w:t xml:space="preserve">. </w:t>
            </w:r>
            <w:r>
              <w:rPr>
                <w:rFonts w:ascii="Century Gothic" w:eastAsia="Century Gothic" w:hAnsi="Century Gothic" w:cs="Century Gothic"/>
                <w:sz w:val="20"/>
              </w:rPr>
              <w:t>El Instituto Electoral y de Participación Ciudadana del Estado de Jalisco, es un organismo público autónomo, de carácter permanente, independiente en sus decisiones y funcionamiento, con personalidad jurídica y patrimonio propios y será profesional en su desempeño, en los términos de lo previsto en la Constitución Política de los Estados Unidos Mexicanos, la del Estado de Jalisco, la Ley General y el presente Código</w:t>
            </w:r>
            <w:r>
              <w:rPr>
                <w:rFonts w:ascii="Century Gothic" w:eastAsia="Century Gothic" w:hAnsi="Century Gothic" w:cs="Century Gothic"/>
                <w:b/>
                <w:sz w:val="20"/>
              </w:rPr>
              <w:t xml:space="preserve">. </w:t>
            </w:r>
          </w:p>
          <w:p w14:paraId="2D0C898D" w14:textId="77777777" w:rsidR="00C74C47" w:rsidRDefault="00C74C47" w:rsidP="002A0CA1">
            <w:r>
              <w:rPr>
                <w:rFonts w:ascii="Century Gothic" w:eastAsia="Century Gothic" w:hAnsi="Century Gothic" w:cs="Century Gothic"/>
                <w:b/>
                <w:sz w:val="20"/>
              </w:rPr>
              <w:t xml:space="preserve"> </w:t>
            </w:r>
          </w:p>
          <w:p w14:paraId="5505B9EB" w14:textId="77777777" w:rsidR="00C74C47" w:rsidRDefault="00C74C47" w:rsidP="002A0CA1">
            <w:r>
              <w:rPr>
                <w:rFonts w:ascii="Century Gothic" w:eastAsia="Century Gothic" w:hAnsi="Century Gothic" w:cs="Century Gothic"/>
                <w:sz w:val="20"/>
              </w:rPr>
              <w:t xml:space="preserve">[…] </w:t>
            </w:r>
          </w:p>
          <w:p w14:paraId="57BA4217" w14:textId="77777777" w:rsidR="00C74C47" w:rsidRDefault="00C74C47" w:rsidP="002A0CA1">
            <w:r>
              <w:rPr>
                <w:rFonts w:ascii="Century Gothic" w:eastAsia="Century Gothic" w:hAnsi="Century Gothic" w:cs="Century Gothic"/>
                <w:b/>
                <w:sz w:val="20"/>
              </w:rPr>
              <w:t xml:space="preserve"> </w:t>
            </w:r>
          </w:p>
          <w:p w14:paraId="1F863E67" w14:textId="77777777" w:rsidR="00C74C47" w:rsidRDefault="00C74C47" w:rsidP="002A0CA1">
            <w:pPr>
              <w:jc w:val="both"/>
            </w:pPr>
            <w:r w:rsidRPr="002A0CA1">
              <w:rPr>
                <w:rFonts w:ascii="Century Gothic" w:eastAsia="Century Gothic" w:hAnsi="Century Gothic" w:cs="Century Gothic"/>
                <w:bCs/>
                <w:sz w:val="20"/>
              </w:rPr>
              <w:t>I.</w:t>
            </w:r>
            <w:r>
              <w:rPr>
                <w:rFonts w:ascii="Century Gothic" w:eastAsia="Century Gothic" w:hAnsi="Century Gothic" w:cs="Century Gothic"/>
                <w:b/>
                <w:sz w:val="20"/>
              </w:rPr>
              <w:t xml:space="preserve"> </w:t>
            </w:r>
            <w:r>
              <w:rPr>
                <w:rFonts w:ascii="Century Gothic" w:eastAsia="Century Gothic" w:hAnsi="Century Gothic" w:cs="Century Gothic"/>
                <w:sz w:val="20"/>
              </w:rPr>
              <w:t>La fiscalización de los ingresos y egresos de las agrupaciones políticas estatales, de conformidad con el reglamento correspondiente; y</w:t>
            </w:r>
            <w:r>
              <w:rPr>
                <w:rFonts w:ascii="Century Gothic" w:eastAsia="Century Gothic" w:hAnsi="Century Gothic" w:cs="Century Gothic"/>
                <w:b/>
                <w:sz w:val="20"/>
              </w:rPr>
              <w:t xml:space="preserve"> </w:t>
            </w:r>
          </w:p>
          <w:p w14:paraId="7C14CB48" w14:textId="3893E7B2" w:rsidR="00C74C47" w:rsidRDefault="00C74C47" w:rsidP="00C45F2B"/>
          <w:p w14:paraId="1D2C67EA" w14:textId="77777777" w:rsidR="00C74C47" w:rsidRDefault="00C74C47" w:rsidP="00C45F2B"/>
          <w:p w14:paraId="44C78F81" w14:textId="77777777" w:rsidR="00C74C47" w:rsidRDefault="00C74C47" w:rsidP="002A0CA1">
            <w:r>
              <w:rPr>
                <w:rFonts w:ascii="Century Gothic" w:eastAsia="Century Gothic" w:hAnsi="Century Gothic" w:cs="Century Gothic"/>
                <w:b/>
                <w:sz w:val="20"/>
              </w:rPr>
              <w:lastRenderedPageBreak/>
              <w:t xml:space="preserve">Artículo 134. </w:t>
            </w:r>
          </w:p>
          <w:p w14:paraId="36D91591" w14:textId="77777777" w:rsidR="00C74C47" w:rsidRDefault="00C74C47" w:rsidP="002A0CA1">
            <w:r>
              <w:rPr>
                <w:rFonts w:ascii="Century Gothic" w:eastAsia="Century Gothic" w:hAnsi="Century Gothic" w:cs="Century Gothic"/>
                <w:b/>
                <w:sz w:val="20"/>
              </w:rPr>
              <w:t xml:space="preserve">1. </w:t>
            </w:r>
            <w:r>
              <w:rPr>
                <w:rFonts w:ascii="Century Gothic" w:eastAsia="Century Gothic" w:hAnsi="Century Gothic" w:cs="Century Gothic"/>
                <w:sz w:val="20"/>
              </w:rPr>
              <w:t xml:space="preserve">El Consejo General tiene las siguientes atribuciones: </w:t>
            </w:r>
          </w:p>
          <w:p w14:paraId="411D1D03" w14:textId="77777777" w:rsidR="00C74C47" w:rsidRDefault="00C74C47" w:rsidP="002A0CA1">
            <w:r>
              <w:rPr>
                <w:rFonts w:ascii="Century Gothic" w:eastAsia="Century Gothic" w:hAnsi="Century Gothic" w:cs="Century Gothic"/>
                <w:sz w:val="20"/>
              </w:rPr>
              <w:t xml:space="preserve"> </w:t>
            </w:r>
          </w:p>
          <w:p w14:paraId="14EEE4EB" w14:textId="77777777" w:rsidR="00C74C47" w:rsidRDefault="00C74C47" w:rsidP="002A0CA1">
            <w:r>
              <w:rPr>
                <w:rFonts w:ascii="Century Gothic" w:eastAsia="Century Gothic" w:hAnsi="Century Gothic" w:cs="Century Gothic"/>
                <w:sz w:val="20"/>
              </w:rPr>
              <w:t xml:space="preserve">[…] </w:t>
            </w:r>
          </w:p>
          <w:p w14:paraId="2BD0C345" w14:textId="77777777" w:rsidR="00C74C47" w:rsidRDefault="00C74C47" w:rsidP="002A0CA1">
            <w:r>
              <w:rPr>
                <w:rFonts w:ascii="Century Gothic" w:eastAsia="Century Gothic" w:hAnsi="Century Gothic" w:cs="Century Gothic"/>
                <w:sz w:val="20"/>
              </w:rPr>
              <w:t xml:space="preserve"> </w:t>
            </w:r>
          </w:p>
          <w:p w14:paraId="02DFF4E1" w14:textId="77777777" w:rsidR="00C74C47" w:rsidRDefault="00C74C47" w:rsidP="002A0CA1">
            <w:pPr>
              <w:spacing w:line="241" w:lineRule="auto"/>
              <w:ind w:right="61"/>
              <w:jc w:val="both"/>
            </w:pPr>
            <w:r w:rsidRPr="002A0CA1">
              <w:rPr>
                <w:rFonts w:ascii="Century Gothic" w:eastAsia="Century Gothic" w:hAnsi="Century Gothic" w:cs="Century Gothic"/>
                <w:b/>
                <w:bCs/>
                <w:sz w:val="20"/>
              </w:rPr>
              <w:t>XIII.</w:t>
            </w:r>
            <w:r>
              <w:rPr>
                <w:rFonts w:ascii="Century Gothic" w:eastAsia="Century Gothic" w:hAnsi="Century Gothic" w:cs="Century Gothic"/>
                <w:sz w:val="20"/>
              </w:rPr>
              <w:t xml:space="preserve"> Conocer y aprobar los informes sobre fiscalización de los ingresos y egresos de las agrupaciones políticas estatales; así como determinar los topes máximos de gastos de precampaña y campaña que puedan erogarse en las elecciones de Gobernador, Diputados y Munícipes; </w:t>
            </w:r>
          </w:p>
          <w:p w14:paraId="64C201CD" w14:textId="77777777" w:rsidR="00C74C47" w:rsidRDefault="00C74C47" w:rsidP="00C45F2B">
            <w:pPr>
              <w:jc w:val="both"/>
              <w:rPr>
                <w:rFonts w:ascii="Century Gothic" w:eastAsia="Century Gothic" w:hAnsi="Century Gothic" w:cs="Century Gothic"/>
                <w:bCs/>
                <w:sz w:val="20"/>
                <w:highlight w:val="yellow"/>
              </w:rPr>
            </w:pPr>
          </w:p>
          <w:p w14:paraId="01CBF9CF" w14:textId="77777777" w:rsidR="00C74C47" w:rsidRDefault="00C74C47" w:rsidP="002A0CA1">
            <w:pPr>
              <w:rPr>
                <w:rFonts w:ascii="Century Gothic" w:eastAsia="Century Gothic" w:hAnsi="Century Gothic" w:cs="Century Gothic"/>
                <w:b/>
                <w:sz w:val="20"/>
              </w:rPr>
            </w:pPr>
            <w:r>
              <w:rPr>
                <w:rFonts w:ascii="Century Gothic" w:eastAsia="Century Gothic" w:hAnsi="Century Gothic" w:cs="Century Gothic"/>
                <w:b/>
                <w:sz w:val="20"/>
              </w:rPr>
              <w:t xml:space="preserve">Artículo 447. </w:t>
            </w:r>
          </w:p>
          <w:p w14:paraId="093B26A3" w14:textId="77777777" w:rsidR="00C74C47" w:rsidRDefault="00C74C47" w:rsidP="002A0CA1">
            <w:r>
              <w:rPr>
                <w:rFonts w:ascii="Century Gothic" w:eastAsia="Century Gothic" w:hAnsi="Century Gothic" w:cs="Century Gothic"/>
                <w:b/>
                <w:sz w:val="20"/>
              </w:rPr>
              <w:t xml:space="preserve">1. </w:t>
            </w:r>
            <w:r>
              <w:rPr>
                <w:rFonts w:ascii="Century Gothic" w:eastAsia="Century Gothic" w:hAnsi="Century Gothic" w:cs="Century Gothic"/>
                <w:sz w:val="20"/>
              </w:rPr>
              <w:t xml:space="preserve">Constituyen infracciones de los partidos políticos al presente Código: </w:t>
            </w:r>
          </w:p>
          <w:p w14:paraId="3D45E3AE" w14:textId="77777777" w:rsidR="00C74C47" w:rsidRDefault="00C74C47" w:rsidP="002A0CA1">
            <w:r>
              <w:rPr>
                <w:rFonts w:ascii="Century Gothic" w:eastAsia="Century Gothic" w:hAnsi="Century Gothic" w:cs="Century Gothic"/>
                <w:b/>
                <w:sz w:val="20"/>
              </w:rPr>
              <w:t xml:space="preserve"> </w:t>
            </w:r>
          </w:p>
          <w:p w14:paraId="3D3C57FA" w14:textId="77777777" w:rsidR="00C74C47" w:rsidRDefault="00C74C47" w:rsidP="002A0CA1">
            <w:pPr>
              <w:rPr>
                <w:rFonts w:ascii="Century Gothic" w:eastAsia="Century Gothic" w:hAnsi="Century Gothic" w:cs="Century Gothic"/>
                <w:sz w:val="20"/>
              </w:rPr>
            </w:pPr>
            <w:r>
              <w:rPr>
                <w:rFonts w:ascii="Century Gothic" w:eastAsia="Century Gothic" w:hAnsi="Century Gothic" w:cs="Century Gothic"/>
                <w:sz w:val="20"/>
              </w:rPr>
              <w:t xml:space="preserve">[…] </w:t>
            </w:r>
          </w:p>
          <w:p w14:paraId="4F07F134" w14:textId="77777777" w:rsidR="00C74C47" w:rsidRDefault="00C74C47" w:rsidP="002A0CA1">
            <w:pPr>
              <w:rPr>
                <w:rFonts w:ascii="Century Gothic" w:eastAsia="Century Gothic" w:hAnsi="Century Gothic" w:cs="Century Gothic"/>
                <w:sz w:val="20"/>
              </w:rPr>
            </w:pPr>
          </w:p>
          <w:p w14:paraId="7EBD3A7E" w14:textId="77777777" w:rsidR="00C74C47" w:rsidRDefault="00C74C47" w:rsidP="002A0CA1">
            <w:pPr>
              <w:spacing w:line="241" w:lineRule="auto"/>
              <w:ind w:right="59"/>
              <w:jc w:val="both"/>
            </w:pPr>
            <w:r>
              <w:rPr>
                <w:rFonts w:ascii="Century Gothic" w:eastAsia="Century Gothic" w:hAnsi="Century Gothic" w:cs="Century Gothic"/>
                <w:sz w:val="20"/>
              </w:rPr>
              <w:t xml:space="preserve">III. El incumplimiento de las obligaciones o incurrir en las conductas prohibidas o exceder los topes que en materia de financiamiento y fiscalización les impone la Ley General y el presente Código. </w:t>
            </w:r>
          </w:p>
          <w:p w14:paraId="3C79F57A" w14:textId="77777777" w:rsidR="00C74C47" w:rsidRDefault="00C74C47" w:rsidP="002A0CA1">
            <w:pPr>
              <w:jc w:val="both"/>
              <w:rPr>
                <w:rFonts w:ascii="Century Gothic" w:eastAsia="Century Gothic" w:hAnsi="Century Gothic" w:cs="Century Gothic"/>
                <w:sz w:val="20"/>
              </w:rPr>
            </w:pPr>
            <w:r>
              <w:rPr>
                <w:rFonts w:ascii="Century Gothic" w:eastAsia="Century Gothic" w:hAnsi="Century Gothic" w:cs="Century Gothic"/>
                <w:sz w:val="20"/>
              </w:rPr>
              <w:t xml:space="preserve">IV. No presentar los informes trimestrales, anuales, de precampaña o de campaña, o no atender los requerimientos de información de la Unidad de Fiscalización del Instituto Nacional Electoral, en los términos y plazos previstos en la Ley General, este Código y sus reglamentos; </w:t>
            </w:r>
          </w:p>
          <w:p w14:paraId="2DCB0CFB" w14:textId="77777777" w:rsidR="00C74C47" w:rsidRDefault="00C74C47" w:rsidP="002A0CA1">
            <w:pPr>
              <w:jc w:val="both"/>
              <w:rPr>
                <w:rFonts w:ascii="Century Gothic" w:eastAsia="Century Gothic" w:hAnsi="Century Gothic" w:cs="Century Gothic"/>
                <w:sz w:val="20"/>
              </w:rPr>
            </w:pPr>
          </w:p>
          <w:p w14:paraId="61BDD3D8" w14:textId="77777777" w:rsidR="00C74C47" w:rsidRPr="00C74C47" w:rsidRDefault="00C74C47" w:rsidP="002A0CA1">
            <w:pPr>
              <w:rPr>
                <w:rFonts w:ascii="Century Gothic" w:eastAsia="Century Gothic" w:hAnsi="Century Gothic" w:cs="Century Gothic"/>
                <w:b/>
                <w:sz w:val="20"/>
              </w:rPr>
            </w:pPr>
            <w:r w:rsidRPr="00C74C47">
              <w:rPr>
                <w:rFonts w:ascii="Century Gothic" w:eastAsia="Century Gothic" w:hAnsi="Century Gothic" w:cs="Century Gothic"/>
                <w:b/>
                <w:sz w:val="20"/>
              </w:rPr>
              <w:t>Artículo 458</w:t>
            </w:r>
          </w:p>
          <w:p w14:paraId="4A74FD6E" w14:textId="77777777" w:rsidR="00C74C47" w:rsidRPr="00C74C47" w:rsidRDefault="00C74C47" w:rsidP="002A0CA1">
            <w:pPr>
              <w:rPr>
                <w:rFonts w:ascii="Century Gothic" w:eastAsia="Century Gothic" w:hAnsi="Century Gothic" w:cs="Century Gothic"/>
                <w:b/>
                <w:sz w:val="20"/>
              </w:rPr>
            </w:pPr>
          </w:p>
          <w:p w14:paraId="052B3763" w14:textId="77777777" w:rsidR="00C74C47" w:rsidRPr="00C74C47" w:rsidRDefault="00C74C47" w:rsidP="002A0CA1">
            <w:pPr>
              <w:rPr>
                <w:rFonts w:ascii="Century Gothic" w:eastAsia="Century Gothic" w:hAnsi="Century Gothic" w:cs="Century Gothic"/>
                <w:bCs/>
                <w:sz w:val="20"/>
              </w:rPr>
            </w:pPr>
            <w:r w:rsidRPr="00C74C47">
              <w:rPr>
                <w:rFonts w:ascii="Century Gothic" w:eastAsia="Century Gothic" w:hAnsi="Century Gothic" w:cs="Century Gothic"/>
                <w:bCs/>
                <w:sz w:val="20"/>
              </w:rPr>
              <w:t>[…]</w:t>
            </w:r>
          </w:p>
          <w:p w14:paraId="65F87CF2" w14:textId="77777777" w:rsidR="00C74C47" w:rsidRPr="00C74C47" w:rsidRDefault="00C74C47" w:rsidP="002A0CA1">
            <w:pPr>
              <w:rPr>
                <w:rFonts w:ascii="Century Gothic" w:eastAsia="Century Gothic" w:hAnsi="Century Gothic" w:cs="Century Gothic"/>
                <w:bCs/>
                <w:sz w:val="20"/>
              </w:rPr>
            </w:pPr>
          </w:p>
          <w:p w14:paraId="08DE41A9" w14:textId="77777777" w:rsidR="00C74C47" w:rsidRPr="00C74C47" w:rsidRDefault="00C74C47" w:rsidP="002A0CA1">
            <w:pPr>
              <w:jc w:val="both"/>
              <w:rPr>
                <w:rFonts w:ascii="Century Gothic" w:eastAsia="Century Gothic" w:hAnsi="Century Gothic" w:cs="Century Gothic"/>
                <w:bCs/>
                <w:sz w:val="20"/>
              </w:rPr>
            </w:pPr>
            <w:r w:rsidRPr="00C74C47">
              <w:rPr>
                <w:rFonts w:ascii="Century Gothic" w:eastAsia="Century Gothic" w:hAnsi="Century Gothic" w:cs="Century Gothic"/>
                <w:bCs/>
                <w:sz w:val="20"/>
              </w:rPr>
              <w:t>d) En caso de que el aspirante omita informar y comprobar a la unidad de fiscalización del Instituto Nacional Electoral los gastos tendentes a recabar el apoyo ciudadano, no podrá ser registrado en las dos elecciones subsecuentes, independientemente de las responsabilidades que, en su caso, le resulten en términos de la legislación aplicable, y</w:t>
            </w:r>
          </w:p>
          <w:p w14:paraId="51899988" w14:textId="77777777" w:rsidR="00C74C47" w:rsidRPr="00C74C47" w:rsidRDefault="00C74C47" w:rsidP="002A0CA1">
            <w:pPr>
              <w:jc w:val="both"/>
              <w:rPr>
                <w:rFonts w:ascii="Century Gothic" w:eastAsia="Century Gothic" w:hAnsi="Century Gothic" w:cs="Century Gothic"/>
                <w:bCs/>
                <w:sz w:val="20"/>
              </w:rPr>
            </w:pPr>
          </w:p>
          <w:p w14:paraId="26D3C588" w14:textId="77777777" w:rsidR="00C74C47" w:rsidRDefault="00C74C47" w:rsidP="002A0CA1">
            <w:pPr>
              <w:jc w:val="both"/>
              <w:rPr>
                <w:rFonts w:ascii="Century Gothic" w:eastAsia="Century Gothic" w:hAnsi="Century Gothic" w:cs="Century Gothic"/>
                <w:bCs/>
                <w:sz w:val="20"/>
              </w:rPr>
            </w:pPr>
            <w:r w:rsidRPr="00C74C47">
              <w:rPr>
                <w:rFonts w:ascii="Century Gothic" w:eastAsia="Century Gothic" w:hAnsi="Century Gothic" w:cs="Century Gothic"/>
                <w:bCs/>
                <w:sz w:val="20"/>
              </w:rPr>
              <w:t>e) En caso de que el Candidato Independiente omita informar y comprobar a la unidad de fiscalización del Instituto Nacional Electoral los gastos de campaña y no los reembolse, no podrá ser registrado como candidato en las dos elecciones subsecuentes, independientemente de las responsabilidades que, en su caso, le resulten en términos de la legislación aplicable.</w:t>
            </w:r>
            <w:r>
              <w:rPr>
                <w:rFonts w:ascii="Century Gothic" w:eastAsia="Century Gothic" w:hAnsi="Century Gothic" w:cs="Century Gothic"/>
                <w:bCs/>
                <w:sz w:val="20"/>
              </w:rPr>
              <w:t xml:space="preserve"> </w:t>
            </w:r>
          </w:p>
          <w:p w14:paraId="254DC50E" w14:textId="2209ABB9" w:rsidR="00C74C47" w:rsidRDefault="00C74C47" w:rsidP="002A0CA1">
            <w:pPr>
              <w:jc w:val="both"/>
              <w:rPr>
                <w:rFonts w:ascii="Century Gothic" w:eastAsia="Century Gothic" w:hAnsi="Century Gothic" w:cs="Century Gothic"/>
                <w:bCs/>
                <w:sz w:val="20"/>
              </w:rPr>
            </w:pPr>
          </w:p>
          <w:p w14:paraId="680DA89A" w14:textId="6F0A1853" w:rsidR="00C74C47" w:rsidRDefault="00C74C47" w:rsidP="002A0CA1">
            <w:pPr>
              <w:jc w:val="both"/>
              <w:rPr>
                <w:rFonts w:ascii="Century Gothic" w:eastAsia="Century Gothic" w:hAnsi="Century Gothic" w:cs="Century Gothic"/>
                <w:bCs/>
                <w:sz w:val="20"/>
              </w:rPr>
            </w:pPr>
          </w:p>
          <w:p w14:paraId="71541612" w14:textId="77777777" w:rsidR="00C74C47" w:rsidRDefault="00C74C47" w:rsidP="002A0CA1">
            <w:pPr>
              <w:jc w:val="both"/>
              <w:rPr>
                <w:rFonts w:ascii="Century Gothic" w:eastAsia="Century Gothic" w:hAnsi="Century Gothic" w:cs="Century Gothic"/>
                <w:bCs/>
                <w:sz w:val="20"/>
              </w:rPr>
            </w:pPr>
          </w:p>
          <w:p w14:paraId="338D6AFA" w14:textId="77777777" w:rsidR="00C74C47" w:rsidRDefault="00C74C47" w:rsidP="002A0CA1">
            <w:pPr>
              <w:rPr>
                <w:rFonts w:ascii="Century Gothic" w:eastAsia="Century Gothic" w:hAnsi="Century Gothic" w:cs="Century Gothic"/>
                <w:b/>
                <w:sz w:val="20"/>
              </w:rPr>
            </w:pPr>
            <w:r>
              <w:rPr>
                <w:rFonts w:ascii="Century Gothic" w:eastAsia="Century Gothic" w:hAnsi="Century Gothic" w:cs="Century Gothic"/>
                <w:b/>
                <w:sz w:val="20"/>
              </w:rPr>
              <w:lastRenderedPageBreak/>
              <w:t xml:space="preserve">Artículo 702. </w:t>
            </w:r>
          </w:p>
          <w:p w14:paraId="534DB7D6" w14:textId="77777777" w:rsidR="00C74C47" w:rsidRDefault="00C74C47" w:rsidP="002A0CA1"/>
          <w:p w14:paraId="67925D5D" w14:textId="77777777" w:rsidR="00C74C47" w:rsidRDefault="00C74C47" w:rsidP="002A0CA1">
            <w:pPr>
              <w:spacing w:after="3"/>
              <w:ind w:right="54"/>
              <w:jc w:val="both"/>
            </w:pPr>
            <w:r>
              <w:rPr>
                <w:rFonts w:ascii="Century Gothic" w:eastAsia="Century Gothic" w:hAnsi="Century Gothic" w:cs="Century Gothic"/>
                <w:sz w:val="20"/>
              </w:rPr>
              <w:t xml:space="preserve">1. El Consejo General del Instituto Nacional Electoral, a propuesta de su unidad de fiscalización, determinará los requisitos que los aspirantes deben cubrir al presentar su informe de ingresos y egresos de actos tendentes a recabar el apoyo ciudadano </w:t>
            </w:r>
          </w:p>
          <w:p w14:paraId="7514A3B4" w14:textId="77777777" w:rsidR="00C74C47" w:rsidRDefault="00C74C47" w:rsidP="002A0CA1">
            <w:r>
              <w:rPr>
                <w:rFonts w:ascii="Century Gothic" w:eastAsia="Century Gothic" w:hAnsi="Century Gothic" w:cs="Century Gothic"/>
                <w:sz w:val="20"/>
              </w:rPr>
              <w:t xml:space="preserve"> </w:t>
            </w:r>
          </w:p>
          <w:p w14:paraId="33D93850" w14:textId="77777777" w:rsidR="00C74C47" w:rsidRDefault="00C74C47" w:rsidP="002A0CA1">
            <w:r>
              <w:rPr>
                <w:rFonts w:ascii="Century Gothic" w:eastAsia="Century Gothic" w:hAnsi="Century Gothic" w:cs="Century Gothic"/>
                <w:sz w:val="20"/>
              </w:rPr>
              <w:t xml:space="preserve">[…] </w:t>
            </w:r>
          </w:p>
          <w:p w14:paraId="2F521BB9" w14:textId="77777777" w:rsidR="00C74C47" w:rsidRDefault="00C74C47">
            <w:pPr>
              <w:rPr>
                <w:rFonts w:ascii="Century Gothic" w:eastAsia="Century Gothic" w:hAnsi="Century Gothic" w:cs="Century Gothic"/>
                <w:b/>
                <w:sz w:val="20"/>
                <w:highlight w:val="yellow"/>
              </w:rPr>
            </w:pPr>
          </w:p>
          <w:p w14:paraId="7BFE46B2" w14:textId="77777777" w:rsidR="00C74C47" w:rsidRDefault="00C74C47" w:rsidP="002A0CA1">
            <w:r>
              <w:rPr>
                <w:rFonts w:ascii="Century Gothic" w:eastAsia="Century Gothic" w:hAnsi="Century Gothic" w:cs="Century Gothic"/>
                <w:b/>
                <w:sz w:val="20"/>
              </w:rPr>
              <w:t xml:space="preserve">Artículo 729. </w:t>
            </w:r>
          </w:p>
          <w:p w14:paraId="64EB073C" w14:textId="77777777" w:rsidR="00C74C47" w:rsidRDefault="00C74C47" w:rsidP="002A0CA1">
            <w:r>
              <w:rPr>
                <w:rFonts w:ascii="Century Gothic" w:eastAsia="Century Gothic" w:hAnsi="Century Gothic" w:cs="Century Gothic"/>
                <w:sz w:val="20"/>
              </w:rPr>
              <w:t xml:space="preserve"> </w:t>
            </w:r>
          </w:p>
          <w:p w14:paraId="27816A48" w14:textId="77777777" w:rsidR="00C74C47" w:rsidRDefault="00C74C47" w:rsidP="002A0CA1">
            <w:r>
              <w:rPr>
                <w:rFonts w:ascii="Century Gothic" w:eastAsia="Century Gothic" w:hAnsi="Century Gothic" w:cs="Century Gothic"/>
                <w:sz w:val="20"/>
              </w:rPr>
              <w:t xml:space="preserve">[…] </w:t>
            </w:r>
          </w:p>
          <w:p w14:paraId="2AD70BB2" w14:textId="77777777" w:rsidR="00C74C47" w:rsidRDefault="00C74C47" w:rsidP="002A0CA1">
            <w:r>
              <w:rPr>
                <w:rFonts w:ascii="Century Gothic" w:eastAsia="Century Gothic" w:hAnsi="Century Gothic" w:cs="Century Gothic"/>
                <w:sz w:val="20"/>
              </w:rPr>
              <w:t xml:space="preserve"> </w:t>
            </w:r>
          </w:p>
          <w:p w14:paraId="16E886B4" w14:textId="77777777" w:rsidR="00C74C47" w:rsidRDefault="00C74C47" w:rsidP="002A0CA1">
            <w:pPr>
              <w:jc w:val="both"/>
              <w:rPr>
                <w:rFonts w:ascii="Century Gothic" w:eastAsia="Century Gothic" w:hAnsi="Century Gothic" w:cs="Century Gothic"/>
                <w:sz w:val="20"/>
              </w:rPr>
            </w:pPr>
            <w:r>
              <w:rPr>
                <w:rFonts w:ascii="Century Gothic" w:eastAsia="Century Gothic" w:hAnsi="Century Gothic" w:cs="Century Gothic"/>
                <w:sz w:val="20"/>
              </w:rPr>
              <w:t xml:space="preserve">2. Los comprobantes que amparen los egresos que realicen los Candidatos Independientes, deberán ser expedidos a su nombre y constar en original como soporte a los informes financieros de las campañas electorales, los cuales estarán a disposición de la unidad de fiscalización del Instituto Nacional Electoral para su revisión de conformidad con lo dispuesto en la Ley General. Dicha documentación deberá cumplir con los requisitos que exigen las disposiciones fiscales aplicables, así como las establecidas por el Reglamento de Fiscalización de la Unidad referida. </w:t>
            </w:r>
          </w:p>
          <w:p w14:paraId="71847577" w14:textId="77777777" w:rsidR="00C74C47" w:rsidRDefault="00C74C47" w:rsidP="002A0CA1">
            <w:pPr>
              <w:jc w:val="both"/>
              <w:rPr>
                <w:rFonts w:ascii="Century Gothic" w:eastAsia="Century Gothic" w:hAnsi="Century Gothic" w:cs="Century Gothic"/>
                <w:sz w:val="20"/>
              </w:rPr>
            </w:pPr>
          </w:p>
          <w:p w14:paraId="019B3A6A" w14:textId="77777777" w:rsidR="00C74C47" w:rsidRDefault="00C74C47" w:rsidP="002A0CA1">
            <w:r>
              <w:rPr>
                <w:rFonts w:ascii="Century Gothic" w:eastAsia="Century Gothic" w:hAnsi="Century Gothic" w:cs="Century Gothic"/>
                <w:b/>
                <w:sz w:val="20"/>
              </w:rPr>
              <w:t xml:space="preserve">Artículo 739. </w:t>
            </w:r>
          </w:p>
          <w:p w14:paraId="3B1CA271" w14:textId="77777777" w:rsidR="00C74C47" w:rsidRDefault="00C74C47" w:rsidP="002A0CA1">
            <w:pPr>
              <w:jc w:val="both"/>
              <w:rPr>
                <w:rFonts w:ascii="Century Gothic" w:eastAsia="Century Gothic" w:hAnsi="Century Gothic" w:cs="Century Gothic"/>
                <w:b/>
                <w:sz w:val="20"/>
              </w:rPr>
            </w:pPr>
            <w:r>
              <w:rPr>
                <w:rFonts w:ascii="Century Gothic" w:eastAsia="Century Gothic" w:hAnsi="Century Gothic" w:cs="Century Gothic"/>
                <w:b/>
                <w:sz w:val="20"/>
              </w:rPr>
              <w:t xml:space="preserve"> </w:t>
            </w:r>
          </w:p>
          <w:p w14:paraId="549089CA" w14:textId="77777777" w:rsidR="00C74C47" w:rsidRDefault="00C74C47" w:rsidP="002A0CA1">
            <w:pPr>
              <w:jc w:val="both"/>
              <w:rPr>
                <w:rFonts w:ascii="Century Gothic" w:eastAsia="Century Gothic" w:hAnsi="Century Gothic" w:cs="Century Gothic"/>
                <w:sz w:val="20"/>
              </w:rPr>
            </w:pPr>
            <w:r>
              <w:rPr>
                <w:rFonts w:ascii="Century Gothic" w:eastAsia="Century Gothic" w:hAnsi="Century Gothic" w:cs="Century Gothic"/>
                <w:sz w:val="20"/>
              </w:rPr>
              <w:t xml:space="preserve">1. La fiscalización de los recursos de los aspirantes a candidatos independientes y de los candidatos independientes, a cargos de elección popular locales se rige por lo dispuesto en el Título Quinto del Libro Séptimo de la Ley General. </w:t>
            </w:r>
          </w:p>
          <w:p w14:paraId="4802ED4A" w14:textId="77777777" w:rsidR="00C74C47" w:rsidRDefault="00C74C47" w:rsidP="002A0CA1">
            <w:pPr>
              <w:ind w:right="58"/>
              <w:jc w:val="both"/>
              <w:rPr>
                <w:rFonts w:ascii="Century Gothic" w:eastAsia="Century Gothic" w:hAnsi="Century Gothic" w:cs="Century Gothic"/>
                <w:sz w:val="20"/>
              </w:rPr>
            </w:pPr>
          </w:p>
          <w:p w14:paraId="335600BB" w14:textId="77777777" w:rsidR="00C74C47" w:rsidRPr="00C45F2B" w:rsidRDefault="00C74C47" w:rsidP="002A0CA1">
            <w:pPr>
              <w:jc w:val="both"/>
              <w:rPr>
                <w:rFonts w:ascii="Century Gothic" w:eastAsia="Century Gothic" w:hAnsi="Century Gothic" w:cs="Century Gothic"/>
                <w:bCs/>
                <w:sz w:val="20"/>
              </w:rPr>
            </w:pPr>
            <w:r>
              <w:rPr>
                <w:rFonts w:ascii="Century Gothic" w:eastAsia="Century Gothic" w:hAnsi="Century Gothic" w:cs="Century Gothic"/>
                <w:sz w:val="20"/>
              </w:rPr>
              <w:t>2. De conformidad con el artículo 41 fracción V, apartado B, inciso a) numeral 6 de la Constitución Política de los Estados Unidos Mexicanos, corresponde al Instituto Nacional Electoral, a través de los órganos que establece la Ley General la fiscalización de los ingresos y egresos de los candidatos Independientes y los aspirantes a candidatos Independientes.</w:t>
            </w:r>
          </w:p>
        </w:tc>
      </w:tr>
    </w:tbl>
    <w:p w14:paraId="5695213F" w14:textId="77777777" w:rsidR="004F35DF" w:rsidRDefault="00FA18E9">
      <w:pPr>
        <w:spacing w:after="0"/>
        <w:ind w:right="15258"/>
        <w:jc w:val="right"/>
      </w:pPr>
      <w:r>
        <w:rPr>
          <w:rFonts w:ascii="Malgun Gothic" w:eastAsia="Malgun Gothic" w:hAnsi="Malgun Gothic" w:cs="Malgun Gothic"/>
        </w:rPr>
        <w:lastRenderedPageBreak/>
        <w:t xml:space="preserve"> </w:t>
      </w:r>
    </w:p>
    <w:p w14:paraId="32295BE2" w14:textId="41DF9C5C" w:rsidR="004F35DF" w:rsidRDefault="00FA18E9">
      <w:pPr>
        <w:spacing w:after="0"/>
        <w:ind w:left="-24"/>
      </w:pPr>
      <w:r>
        <w:t xml:space="preserve"> </w:t>
      </w:r>
    </w:p>
    <w:p w14:paraId="3A7E5DF3" w14:textId="77777777" w:rsidR="00C74C47" w:rsidRDefault="00C74C47">
      <w:pPr>
        <w:spacing w:after="0"/>
        <w:ind w:left="-24"/>
      </w:pPr>
    </w:p>
    <w:p w14:paraId="77B6B973" w14:textId="77777777" w:rsidR="00160E84" w:rsidRDefault="00160E84">
      <w:pPr>
        <w:spacing w:after="0"/>
        <w:ind w:left="-24"/>
      </w:pPr>
    </w:p>
    <w:p w14:paraId="37F57481" w14:textId="77777777" w:rsidR="00160E84" w:rsidRDefault="00160E84">
      <w:pPr>
        <w:spacing w:after="0"/>
        <w:ind w:left="-24"/>
      </w:pPr>
    </w:p>
    <w:tbl>
      <w:tblPr>
        <w:tblStyle w:val="TableGrid"/>
        <w:tblW w:w="17315" w:type="dxa"/>
        <w:tblInd w:w="-17" w:type="dxa"/>
        <w:tblCellMar>
          <w:top w:w="61" w:type="dxa"/>
          <w:left w:w="108" w:type="dxa"/>
          <w:right w:w="57" w:type="dxa"/>
        </w:tblCellMar>
        <w:tblLook w:val="04A0" w:firstRow="1" w:lastRow="0" w:firstColumn="1" w:lastColumn="0" w:noHBand="0" w:noVBand="1"/>
      </w:tblPr>
      <w:tblGrid>
        <w:gridCol w:w="1464"/>
        <w:gridCol w:w="2774"/>
        <w:gridCol w:w="13077"/>
      </w:tblGrid>
      <w:tr w:rsidR="00C74C47" w14:paraId="4832B896" w14:textId="77777777" w:rsidTr="0037185B">
        <w:trPr>
          <w:trHeight w:val="406"/>
        </w:trPr>
        <w:tc>
          <w:tcPr>
            <w:tcW w:w="1464" w:type="dxa"/>
            <w:tcBorders>
              <w:top w:val="single" w:sz="4" w:space="0" w:color="BFBFBF"/>
              <w:left w:val="single" w:sz="4" w:space="0" w:color="BFBFBF"/>
              <w:bottom w:val="single" w:sz="4" w:space="0" w:color="BFBFBF"/>
              <w:right w:val="single" w:sz="4" w:space="0" w:color="BFBFBF"/>
            </w:tcBorders>
            <w:shd w:val="clear" w:color="auto" w:fill="76923C"/>
          </w:tcPr>
          <w:p w14:paraId="5E8338ED" w14:textId="77777777" w:rsidR="00C74C47" w:rsidRDefault="00C74C47">
            <w:pPr>
              <w:ind w:left="197"/>
              <w:jc w:val="center"/>
            </w:pPr>
            <w:r>
              <w:rPr>
                <w:rFonts w:ascii="Century Gothic" w:eastAsia="Century Gothic" w:hAnsi="Century Gothic" w:cs="Century Gothic"/>
                <w:b/>
                <w:color w:val="FFFFFF"/>
                <w:sz w:val="20"/>
              </w:rPr>
              <w:lastRenderedPageBreak/>
              <w:t xml:space="preserve"> </w:t>
            </w:r>
          </w:p>
        </w:tc>
        <w:tc>
          <w:tcPr>
            <w:tcW w:w="2774" w:type="dxa"/>
            <w:tcBorders>
              <w:top w:val="single" w:sz="4" w:space="0" w:color="BFBFBF"/>
              <w:left w:val="single" w:sz="4" w:space="0" w:color="BFBFBF"/>
              <w:bottom w:val="single" w:sz="4" w:space="0" w:color="BFBFBF"/>
              <w:right w:val="single" w:sz="4" w:space="0" w:color="BFBFBF"/>
            </w:tcBorders>
            <w:shd w:val="clear" w:color="auto" w:fill="76923C"/>
          </w:tcPr>
          <w:p w14:paraId="6B2BC18C" w14:textId="77777777" w:rsidR="00C74C47" w:rsidRDefault="00C74C47">
            <w:pPr>
              <w:ind w:right="54"/>
              <w:jc w:val="center"/>
            </w:pPr>
            <w:r>
              <w:rPr>
                <w:rFonts w:ascii="Century Gothic" w:eastAsia="Century Gothic" w:hAnsi="Century Gothic" w:cs="Century Gothic"/>
                <w:b/>
                <w:color w:val="FFFFFF"/>
                <w:sz w:val="20"/>
              </w:rPr>
              <w:t xml:space="preserve">ESTADO </w:t>
            </w:r>
          </w:p>
        </w:tc>
        <w:tc>
          <w:tcPr>
            <w:tcW w:w="13077" w:type="dxa"/>
            <w:tcBorders>
              <w:top w:val="single" w:sz="4" w:space="0" w:color="BFBFBF"/>
              <w:left w:val="single" w:sz="4" w:space="0" w:color="BFBFBF"/>
              <w:bottom w:val="single" w:sz="4" w:space="0" w:color="BFBFBF"/>
              <w:right w:val="single" w:sz="4" w:space="0" w:color="BFBFBF"/>
            </w:tcBorders>
            <w:shd w:val="clear" w:color="auto" w:fill="76923C"/>
          </w:tcPr>
          <w:p w14:paraId="732AB370" w14:textId="76445DA5" w:rsidR="00C74C47" w:rsidRDefault="00C74C47">
            <w:pPr>
              <w:ind w:right="52"/>
              <w:jc w:val="center"/>
            </w:pPr>
            <w:r>
              <w:rPr>
                <w:rFonts w:ascii="Century Gothic" w:eastAsia="Century Gothic" w:hAnsi="Century Gothic" w:cs="Century Gothic"/>
                <w:b/>
                <w:color w:val="FFFFFF"/>
                <w:sz w:val="20"/>
              </w:rPr>
              <w:t xml:space="preserve"> </w:t>
            </w:r>
          </w:p>
        </w:tc>
      </w:tr>
      <w:tr w:rsidR="004F35DF" w14:paraId="3A378406" w14:textId="77777777" w:rsidTr="00393ED5">
        <w:trPr>
          <w:trHeight w:val="1018"/>
        </w:trPr>
        <w:tc>
          <w:tcPr>
            <w:tcW w:w="146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CE037B8" w14:textId="77777777" w:rsidR="004F35DF" w:rsidRDefault="00FA18E9">
            <w:pPr>
              <w:ind w:right="413"/>
              <w:jc w:val="center"/>
            </w:pPr>
            <w:r>
              <w:rPr>
                <w:rFonts w:ascii="Century Gothic" w:eastAsia="Century Gothic" w:hAnsi="Century Gothic" w:cs="Century Gothic"/>
                <w:b/>
                <w:sz w:val="20"/>
              </w:rPr>
              <w:t>3.</w:t>
            </w:r>
            <w:r>
              <w:rPr>
                <w:rFonts w:ascii="Arial" w:eastAsia="Arial" w:hAnsi="Arial" w:cs="Arial"/>
                <w:b/>
                <w:sz w:val="20"/>
              </w:rPr>
              <w:t xml:space="preserve"> </w:t>
            </w:r>
            <w:r>
              <w:rPr>
                <w:rFonts w:ascii="Century Gothic" w:eastAsia="Century Gothic" w:hAnsi="Century Gothic" w:cs="Century Gothic"/>
                <w:b/>
                <w:sz w:val="20"/>
              </w:rPr>
              <w:t xml:space="preserve"> </w:t>
            </w:r>
          </w:p>
        </w:tc>
        <w:tc>
          <w:tcPr>
            <w:tcW w:w="277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0C676E5" w14:textId="77777777" w:rsidR="004F35DF" w:rsidRDefault="00FA18E9">
            <w:pPr>
              <w:ind w:right="54"/>
              <w:jc w:val="center"/>
            </w:pPr>
            <w:r>
              <w:rPr>
                <w:rFonts w:ascii="Century Gothic" w:eastAsia="Century Gothic" w:hAnsi="Century Gothic" w:cs="Century Gothic"/>
                <w:b/>
                <w:sz w:val="20"/>
              </w:rPr>
              <w:t xml:space="preserve">JALISCO </w:t>
            </w:r>
          </w:p>
        </w:tc>
        <w:tc>
          <w:tcPr>
            <w:tcW w:w="13077"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CF1257A" w14:textId="77777777" w:rsidR="00551DB9" w:rsidRPr="00C74C47" w:rsidRDefault="00C74C47" w:rsidP="00C74C47">
            <w:pPr>
              <w:jc w:val="center"/>
            </w:pPr>
            <w:hyperlink r:id="rId9" w:history="1">
              <w:r w:rsidR="00551DB9" w:rsidRPr="00C74C47">
                <w:rPr>
                  <w:rStyle w:val="Hipervnculo"/>
                  <w:rFonts w:ascii="Century Gothic" w:eastAsia="Century Gothic" w:hAnsi="Century Gothic" w:cs="Century Gothic"/>
                  <w:b/>
                  <w:color w:val="auto"/>
                  <w:sz w:val="20"/>
                  <w:u w:val="none"/>
                </w:rPr>
                <w:t>Reglamento General del Fiscalización del Instituto Electoral y de Participación Ciudadana del Estado de Jalisco</w:t>
              </w:r>
            </w:hyperlink>
          </w:p>
        </w:tc>
      </w:tr>
    </w:tbl>
    <w:p w14:paraId="7ED0B7B0" w14:textId="77777777" w:rsidR="004F35DF" w:rsidRDefault="00FA18E9">
      <w:pPr>
        <w:spacing w:after="0"/>
        <w:ind w:left="-24"/>
      </w:pPr>
      <w:r>
        <w:rPr>
          <w:rFonts w:ascii="Century Gothic" w:eastAsia="Century Gothic" w:hAnsi="Century Gothic" w:cs="Century Gothic"/>
          <w:b/>
          <w:sz w:val="20"/>
        </w:rPr>
        <w:t xml:space="preserve"> </w:t>
      </w:r>
    </w:p>
    <w:sectPr w:rsidR="004F35DF">
      <w:headerReference w:type="even" r:id="rId10"/>
      <w:headerReference w:type="default" r:id="rId11"/>
      <w:headerReference w:type="first" r:id="rId12"/>
      <w:pgSz w:w="20160" w:h="12240" w:orient="landscape"/>
      <w:pgMar w:top="1440" w:right="1440" w:bottom="646" w:left="1440" w:header="7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B73C2" w14:textId="77777777" w:rsidR="001B2FE3" w:rsidRDefault="001B2FE3">
      <w:pPr>
        <w:spacing w:after="0" w:line="240" w:lineRule="auto"/>
      </w:pPr>
      <w:r>
        <w:separator/>
      </w:r>
    </w:p>
  </w:endnote>
  <w:endnote w:type="continuationSeparator" w:id="0">
    <w:p w14:paraId="3DB9E73D" w14:textId="77777777" w:rsidR="001B2FE3" w:rsidRDefault="001B2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CF27" w14:textId="77777777" w:rsidR="001B2FE3" w:rsidRDefault="001B2FE3">
      <w:pPr>
        <w:spacing w:after="0" w:line="240" w:lineRule="auto"/>
      </w:pPr>
      <w:r>
        <w:separator/>
      </w:r>
    </w:p>
  </w:footnote>
  <w:footnote w:type="continuationSeparator" w:id="0">
    <w:p w14:paraId="1AA1E182" w14:textId="77777777" w:rsidR="001B2FE3" w:rsidRDefault="001B2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FE60" w14:textId="77777777" w:rsidR="004F35DF" w:rsidRDefault="00FA18E9">
    <w:pPr>
      <w:spacing w:after="95"/>
      <w:ind w:right="80"/>
      <w:jc w:val="right"/>
    </w:pPr>
    <w:r>
      <w:rPr>
        <w:rFonts w:ascii="Malgun Gothic" w:eastAsia="Malgun Gothic" w:hAnsi="Malgun Gothic" w:cs="Malgun Gothic"/>
        <w:b/>
        <w:sz w:val="10"/>
      </w:rPr>
      <w:t xml:space="preserve"> </w:t>
    </w:r>
  </w:p>
  <w:p w14:paraId="70478170" w14:textId="77777777" w:rsidR="004F35DF" w:rsidRDefault="00FA18E9">
    <w:pPr>
      <w:spacing w:after="0"/>
      <w:ind w:right="115"/>
      <w:jc w:val="right"/>
    </w:pPr>
    <w:r>
      <w:rPr>
        <w:rFonts w:ascii="Arial" w:eastAsia="Arial" w:hAnsi="Arial" w:cs="Arial"/>
        <w:b/>
        <w:i/>
      </w:rPr>
      <w:t>C</w:t>
    </w:r>
    <w:r>
      <w:rPr>
        <w:rFonts w:ascii="Arial" w:eastAsia="Arial" w:hAnsi="Arial" w:cs="Arial"/>
        <w:b/>
        <w:i/>
        <w:sz w:val="18"/>
      </w:rPr>
      <w:t xml:space="preserve">OORDINACIÓN DE </w:t>
    </w:r>
    <w:r>
      <w:rPr>
        <w:rFonts w:ascii="Arial" w:eastAsia="Arial" w:hAnsi="Arial" w:cs="Arial"/>
        <w:b/>
        <w:i/>
      </w:rPr>
      <w:t>J</w:t>
    </w:r>
    <w:r>
      <w:rPr>
        <w:rFonts w:ascii="Arial" w:eastAsia="Arial" w:hAnsi="Arial" w:cs="Arial"/>
        <w:b/>
        <w:i/>
        <w:sz w:val="18"/>
      </w:rPr>
      <w:t>URISPRUDENCIA</w:t>
    </w:r>
    <w:r>
      <w:rPr>
        <w:rFonts w:ascii="Arial" w:eastAsia="Arial" w:hAnsi="Arial" w:cs="Arial"/>
        <w:b/>
        <w:i/>
      </w:rPr>
      <w:t>,</w:t>
    </w:r>
    <w:r>
      <w:rPr>
        <w:rFonts w:ascii="Arial" w:eastAsia="Arial" w:hAnsi="Arial" w:cs="Arial"/>
        <w:b/>
        <w:i/>
        <w:sz w:val="18"/>
      </w:rPr>
      <w:t xml:space="preserve"> SEGUIMIENTO Y CONSULTA</w:t>
    </w:r>
    <w:r>
      <w:rPr>
        <w:rFonts w:ascii="Arial" w:eastAsia="Arial" w:hAnsi="Arial" w:cs="Arial"/>
        <w:b/>
        <w:i/>
      </w:rPr>
      <w:t xml:space="preserve"> </w:t>
    </w:r>
  </w:p>
  <w:p w14:paraId="023D9A5B" w14:textId="77777777" w:rsidR="004F35DF" w:rsidRDefault="00FA18E9">
    <w:r>
      <w:rPr>
        <w:noProof/>
      </w:rPr>
      <mc:AlternateContent>
        <mc:Choice Requires="wpg">
          <w:drawing>
            <wp:anchor distT="0" distB="0" distL="114300" distR="114300" simplePos="0" relativeHeight="251658240" behindDoc="1" locked="0" layoutInCell="1" allowOverlap="1" wp14:anchorId="52245D3D" wp14:editId="5819D77B">
              <wp:simplePos x="0" y="0"/>
              <wp:positionH relativeFrom="page">
                <wp:posOffset>987552</wp:posOffset>
              </wp:positionH>
              <wp:positionV relativeFrom="page">
                <wp:posOffset>449580</wp:posOffset>
              </wp:positionV>
              <wp:extent cx="1162812" cy="1178052"/>
              <wp:effectExtent l="0" t="0" r="0" b="0"/>
              <wp:wrapNone/>
              <wp:docPr id="5341" name="Group 5341"/>
              <wp:cNvGraphicFramePr/>
              <a:graphic xmlns:a="http://schemas.openxmlformats.org/drawingml/2006/main">
                <a:graphicData uri="http://schemas.microsoft.com/office/word/2010/wordprocessingGroup">
                  <wpg:wgp>
                    <wpg:cNvGrpSpPr/>
                    <wpg:grpSpPr>
                      <a:xfrm>
                        <a:off x="0" y="0"/>
                        <a:ext cx="1162812" cy="1178052"/>
                        <a:chOff x="0" y="0"/>
                        <a:chExt cx="1162812" cy="1178052"/>
                      </a:xfrm>
                    </wpg:grpSpPr>
                    <pic:pic xmlns:pic="http://schemas.openxmlformats.org/drawingml/2006/picture">
                      <pic:nvPicPr>
                        <pic:cNvPr id="5342" name="Picture 5342"/>
                        <pic:cNvPicPr/>
                      </pic:nvPicPr>
                      <pic:blipFill>
                        <a:blip r:embed="rId1"/>
                        <a:stretch>
                          <a:fillRect/>
                        </a:stretch>
                      </pic:blipFill>
                      <pic:spPr>
                        <a:xfrm>
                          <a:off x="0" y="0"/>
                          <a:ext cx="1162812" cy="1178052"/>
                        </a:xfrm>
                        <a:prstGeom prst="rect">
                          <a:avLst/>
                        </a:prstGeom>
                      </pic:spPr>
                    </pic:pic>
                  </wpg:wgp>
                </a:graphicData>
              </a:graphic>
            </wp:anchor>
          </w:drawing>
        </mc:Choice>
        <mc:Fallback xmlns:a="http://schemas.openxmlformats.org/drawingml/2006/main">
          <w:pict>
            <v:group id="Group 5341" style="width:91.56pt;height:92.76pt;position:absolute;z-index:-2147483648;mso-position-horizontal-relative:page;mso-position-horizontal:absolute;margin-left:77.76pt;mso-position-vertical-relative:page;margin-top:35.4pt;" coordsize="11628,11780">
              <v:shape id="Picture 5342" style="position:absolute;width:11628;height:11780;left:0;top:0;"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4D99" w14:textId="77777777" w:rsidR="004F35DF" w:rsidRDefault="00FA18E9">
    <w:pPr>
      <w:spacing w:after="95"/>
      <w:ind w:right="80"/>
      <w:jc w:val="right"/>
    </w:pPr>
    <w:r>
      <w:rPr>
        <w:rFonts w:ascii="Malgun Gothic" w:eastAsia="Malgun Gothic" w:hAnsi="Malgun Gothic" w:cs="Malgun Gothic"/>
        <w:b/>
        <w:sz w:val="10"/>
      </w:rPr>
      <w:t xml:space="preserve"> </w:t>
    </w:r>
  </w:p>
  <w:p w14:paraId="68B2144E" w14:textId="77777777" w:rsidR="00C74C47" w:rsidRDefault="00C74C47" w:rsidP="00C74C47">
    <w:pPr>
      <w:spacing w:after="18"/>
      <w:ind w:right="223"/>
      <w:jc w:val="right"/>
    </w:pPr>
    <w:r>
      <w:rPr>
        <w:rFonts w:ascii="Arial" w:eastAsia="Arial" w:hAnsi="Arial" w:cs="Arial"/>
        <w:b/>
        <w:i/>
      </w:rPr>
      <w:t>D</w:t>
    </w:r>
    <w:r w:rsidRPr="000C3D6B">
      <w:rPr>
        <w:rFonts w:ascii="Arial" w:eastAsia="Arial" w:hAnsi="Arial" w:cs="Arial"/>
        <w:b/>
        <w:i/>
        <w:sz w:val="18"/>
        <w:szCs w:val="18"/>
      </w:rPr>
      <w:t xml:space="preserve">IRECCIÓN </w:t>
    </w:r>
    <w:r>
      <w:rPr>
        <w:rFonts w:ascii="Arial" w:eastAsia="Arial" w:hAnsi="Arial" w:cs="Arial"/>
        <w:b/>
        <w:i/>
      </w:rPr>
      <w:t>G</w:t>
    </w:r>
    <w:r w:rsidRPr="000C3D6B">
      <w:rPr>
        <w:rFonts w:ascii="Arial" w:eastAsia="Arial" w:hAnsi="Arial" w:cs="Arial"/>
        <w:b/>
        <w:i/>
        <w:sz w:val="18"/>
        <w:szCs w:val="18"/>
      </w:rPr>
      <w:t>ENERA</w:t>
    </w:r>
    <w:r>
      <w:rPr>
        <w:rFonts w:ascii="Arial" w:eastAsia="Arial" w:hAnsi="Arial" w:cs="Arial"/>
        <w:b/>
        <w:i/>
        <w:sz w:val="18"/>
        <w:szCs w:val="18"/>
      </w:rPr>
      <w:t>L</w:t>
    </w:r>
    <w:r>
      <w:rPr>
        <w:rFonts w:ascii="Arial" w:eastAsia="Arial" w:hAnsi="Arial" w:cs="Arial"/>
        <w:b/>
        <w:i/>
        <w:sz w:val="18"/>
      </w:rPr>
      <w:t xml:space="preserve"> DE </w:t>
    </w:r>
    <w:r>
      <w:rPr>
        <w:rFonts w:ascii="Arial" w:eastAsia="Arial" w:hAnsi="Arial" w:cs="Arial"/>
        <w:b/>
        <w:i/>
      </w:rPr>
      <w:t>J</w:t>
    </w:r>
    <w:r>
      <w:rPr>
        <w:rFonts w:ascii="Arial" w:eastAsia="Arial" w:hAnsi="Arial" w:cs="Arial"/>
        <w:b/>
        <w:i/>
        <w:sz w:val="18"/>
      </w:rPr>
      <w:t>URISPRUDENCIA</w:t>
    </w:r>
    <w:r>
      <w:rPr>
        <w:rFonts w:ascii="Arial" w:eastAsia="Arial" w:hAnsi="Arial" w:cs="Arial"/>
        <w:b/>
        <w:i/>
      </w:rPr>
      <w:t>,</w:t>
    </w:r>
    <w:r>
      <w:rPr>
        <w:rFonts w:ascii="Arial" w:eastAsia="Arial" w:hAnsi="Arial" w:cs="Arial"/>
        <w:b/>
        <w:i/>
        <w:sz w:val="18"/>
      </w:rPr>
      <w:t xml:space="preserve"> </w:t>
    </w:r>
    <w:r w:rsidRPr="005737BE">
      <w:rPr>
        <w:rFonts w:ascii="Arial" w:eastAsia="Arial" w:hAnsi="Arial" w:cs="Arial"/>
        <w:b/>
        <w:i/>
      </w:rPr>
      <w:t>S</w:t>
    </w:r>
    <w:r>
      <w:rPr>
        <w:rFonts w:ascii="Arial" w:eastAsia="Arial" w:hAnsi="Arial" w:cs="Arial"/>
        <w:b/>
        <w:i/>
        <w:sz w:val="18"/>
      </w:rPr>
      <w:t xml:space="preserve">EGUIMIENTO Y </w:t>
    </w:r>
    <w:r w:rsidRPr="005737BE">
      <w:rPr>
        <w:rFonts w:ascii="Arial" w:eastAsia="Arial" w:hAnsi="Arial" w:cs="Arial"/>
        <w:b/>
        <w:i/>
      </w:rPr>
      <w:t>C</w:t>
    </w:r>
    <w:r>
      <w:rPr>
        <w:rFonts w:ascii="Arial" w:eastAsia="Arial" w:hAnsi="Arial" w:cs="Arial"/>
        <w:b/>
        <w:i/>
        <w:sz w:val="18"/>
      </w:rPr>
      <w:t>ONSULTA</w:t>
    </w:r>
    <w:r>
      <w:rPr>
        <w:rFonts w:ascii="Arial" w:eastAsia="Arial" w:hAnsi="Arial" w:cs="Arial"/>
        <w:b/>
        <w:i/>
      </w:rPr>
      <w:t xml:space="preserve"> </w:t>
    </w:r>
  </w:p>
  <w:p w14:paraId="12C1E99A" w14:textId="77777777" w:rsidR="00C74C47" w:rsidRDefault="00C74C47" w:rsidP="00C74C47">
    <w:pPr>
      <w:spacing w:after="0"/>
      <w:ind w:right="223"/>
      <w:jc w:val="right"/>
      <w:rPr>
        <w:rFonts w:ascii="Arial" w:eastAsia="Arial" w:hAnsi="Arial" w:cs="Arial"/>
        <w:b/>
        <w:i/>
      </w:rPr>
    </w:pPr>
  </w:p>
  <w:p w14:paraId="342B76B0" w14:textId="77777777" w:rsidR="00C74C47" w:rsidRDefault="00C74C47" w:rsidP="00C74C47">
    <w:pPr>
      <w:spacing w:after="0"/>
      <w:ind w:right="223"/>
      <w:jc w:val="right"/>
    </w:pPr>
    <w:r>
      <w:rPr>
        <w:rFonts w:ascii="Arial" w:eastAsia="Arial" w:hAnsi="Arial" w:cs="Arial"/>
        <w:b/>
        <w:i/>
      </w:rPr>
      <w:t>D</w:t>
    </w:r>
    <w:r>
      <w:rPr>
        <w:rFonts w:ascii="Arial" w:eastAsia="Arial" w:hAnsi="Arial" w:cs="Arial"/>
        <w:b/>
        <w:i/>
        <w:sz w:val="18"/>
      </w:rPr>
      <w:t xml:space="preserve">IRECCIÓN DE </w:t>
    </w:r>
    <w:r>
      <w:rPr>
        <w:rFonts w:ascii="Arial" w:eastAsia="Arial" w:hAnsi="Arial" w:cs="Arial"/>
        <w:b/>
        <w:i/>
      </w:rPr>
      <w:t>C</w:t>
    </w:r>
    <w:r>
      <w:rPr>
        <w:rFonts w:ascii="Arial" w:eastAsia="Arial" w:hAnsi="Arial" w:cs="Arial"/>
        <w:b/>
        <w:i/>
        <w:sz w:val="18"/>
      </w:rPr>
      <w:t xml:space="preserve">ONSULTA Y </w:t>
    </w:r>
    <w:r>
      <w:rPr>
        <w:rFonts w:ascii="Arial" w:eastAsia="Arial" w:hAnsi="Arial" w:cs="Arial"/>
        <w:b/>
        <w:i/>
      </w:rPr>
      <w:t>D</w:t>
    </w:r>
    <w:r>
      <w:rPr>
        <w:rFonts w:ascii="Arial" w:eastAsia="Arial" w:hAnsi="Arial" w:cs="Arial"/>
        <w:b/>
        <w:i/>
        <w:sz w:val="18"/>
      </w:rPr>
      <w:t>IFUSIÓN</w:t>
    </w:r>
    <w:r>
      <w:rPr>
        <w:rFonts w:ascii="Malgun Gothic" w:eastAsia="Malgun Gothic" w:hAnsi="Malgun Gothic" w:cs="Malgun Gothic"/>
        <w:b/>
      </w:rPr>
      <w:t xml:space="preserve"> </w:t>
    </w:r>
  </w:p>
  <w:p w14:paraId="12CD4D0A" w14:textId="77777777" w:rsidR="00160E84" w:rsidRDefault="00160E84"/>
  <w:p w14:paraId="691128A9" w14:textId="77777777" w:rsidR="004F35DF" w:rsidRDefault="00FA18E9">
    <w:r>
      <w:rPr>
        <w:noProof/>
      </w:rPr>
      <mc:AlternateContent>
        <mc:Choice Requires="wpg">
          <w:drawing>
            <wp:anchor distT="0" distB="0" distL="114300" distR="114300" simplePos="0" relativeHeight="251659264" behindDoc="1" locked="0" layoutInCell="1" allowOverlap="1" wp14:anchorId="726C8038" wp14:editId="477FCBD2">
              <wp:simplePos x="0" y="0"/>
              <wp:positionH relativeFrom="page">
                <wp:posOffset>987552</wp:posOffset>
              </wp:positionH>
              <wp:positionV relativeFrom="page">
                <wp:posOffset>449580</wp:posOffset>
              </wp:positionV>
              <wp:extent cx="1162812" cy="1178052"/>
              <wp:effectExtent l="0" t="0" r="0" b="0"/>
              <wp:wrapNone/>
              <wp:docPr id="5322" name="Group 5322"/>
              <wp:cNvGraphicFramePr/>
              <a:graphic xmlns:a="http://schemas.openxmlformats.org/drawingml/2006/main">
                <a:graphicData uri="http://schemas.microsoft.com/office/word/2010/wordprocessingGroup">
                  <wpg:wgp>
                    <wpg:cNvGrpSpPr/>
                    <wpg:grpSpPr>
                      <a:xfrm>
                        <a:off x="0" y="0"/>
                        <a:ext cx="1162812" cy="1178052"/>
                        <a:chOff x="0" y="0"/>
                        <a:chExt cx="1162812" cy="1178052"/>
                      </a:xfrm>
                    </wpg:grpSpPr>
                    <pic:pic xmlns:pic="http://schemas.openxmlformats.org/drawingml/2006/picture">
                      <pic:nvPicPr>
                        <pic:cNvPr id="5323" name="Picture 5323"/>
                        <pic:cNvPicPr/>
                      </pic:nvPicPr>
                      <pic:blipFill>
                        <a:blip r:embed="rId1"/>
                        <a:stretch>
                          <a:fillRect/>
                        </a:stretch>
                      </pic:blipFill>
                      <pic:spPr>
                        <a:xfrm>
                          <a:off x="0" y="0"/>
                          <a:ext cx="1162812" cy="1178052"/>
                        </a:xfrm>
                        <a:prstGeom prst="rect">
                          <a:avLst/>
                        </a:prstGeom>
                      </pic:spPr>
                    </pic:pic>
                  </wpg:wgp>
                </a:graphicData>
              </a:graphic>
            </wp:anchor>
          </w:drawing>
        </mc:Choice>
        <mc:Fallback xmlns:a="http://schemas.openxmlformats.org/drawingml/2006/main">
          <w:pict>
            <v:group id="Group 5322" style="width:91.56pt;height:92.76pt;position:absolute;z-index:-2147483648;mso-position-horizontal-relative:page;mso-position-horizontal:absolute;margin-left:77.76pt;mso-position-vertical-relative:page;margin-top:35.4pt;" coordsize="11628,11780">
              <v:shape id="Picture 5323" style="position:absolute;width:11628;height:11780;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D3E4" w14:textId="77777777" w:rsidR="004F35DF" w:rsidRDefault="00FA18E9">
    <w:pPr>
      <w:spacing w:after="95"/>
      <w:ind w:right="80"/>
      <w:jc w:val="right"/>
    </w:pPr>
    <w:r>
      <w:rPr>
        <w:rFonts w:ascii="Malgun Gothic" w:eastAsia="Malgun Gothic" w:hAnsi="Malgun Gothic" w:cs="Malgun Gothic"/>
        <w:b/>
        <w:sz w:val="10"/>
      </w:rPr>
      <w:t xml:space="preserve"> </w:t>
    </w:r>
  </w:p>
  <w:p w14:paraId="61568ED1" w14:textId="77777777" w:rsidR="004F35DF" w:rsidRDefault="00FA18E9">
    <w:pPr>
      <w:spacing w:after="0"/>
      <w:ind w:right="115"/>
      <w:jc w:val="right"/>
    </w:pPr>
    <w:r>
      <w:rPr>
        <w:rFonts w:ascii="Arial" w:eastAsia="Arial" w:hAnsi="Arial" w:cs="Arial"/>
        <w:b/>
        <w:i/>
      </w:rPr>
      <w:t>C</w:t>
    </w:r>
    <w:r>
      <w:rPr>
        <w:rFonts w:ascii="Arial" w:eastAsia="Arial" w:hAnsi="Arial" w:cs="Arial"/>
        <w:b/>
        <w:i/>
        <w:sz w:val="18"/>
      </w:rPr>
      <w:t xml:space="preserve">OORDINACIÓN DE </w:t>
    </w:r>
    <w:r>
      <w:rPr>
        <w:rFonts w:ascii="Arial" w:eastAsia="Arial" w:hAnsi="Arial" w:cs="Arial"/>
        <w:b/>
        <w:i/>
      </w:rPr>
      <w:t>J</w:t>
    </w:r>
    <w:r>
      <w:rPr>
        <w:rFonts w:ascii="Arial" w:eastAsia="Arial" w:hAnsi="Arial" w:cs="Arial"/>
        <w:b/>
        <w:i/>
        <w:sz w:val="18"/>
      </w:rPr>
      <w:t>URISPRUDENCIA</w:t>
    </w:r>
    <w:r>
      <w:rPr>
        <w:rFonts w:ascii="Arial" w:eastAsia="Arial" w:hAnsi="Arial" w:cs="Arial"/>
        <w:b/>
        <w:i/>
      </w:rPr>
      <w:t>,</w:t>
    </w:r>
    <w:r>
      <w:rPr>
        <w:rFonts w:ascii="Arial" w:eastAsia="Arial" w:hAnsi="Arial" w:cs="Arial"/>
        <w:b/>
        <w:i/>
        <w:sz w:val="18"/>
      </w:rPr>
      <w:t xml:space="preserve"> SEGUIMIENTO Y CONSULTA</w:t>
    </w:r>
    <w:r>
      <w:rPr>
        <w:rFonts w:ascii="Arial" w:eastAsia="Arial" w:hAnsi="Arial" w:cs="Arial"/>
        <w:b/>
        <w:i/>
      </w:rPr>
      <w:t xml:space="preserve"> </w:t>
    </w:r>
  </w:p>
  <w:p w14:paraId="50B1E295" w14:textId="77777777" w:rsidR="004F35DF" w:rsidRDefault="00FA18E9">
    <w:r>
      <w:rPr>
        <w:noProof/>
      </w:rPr>
      <mc:AlternateContent>
        <mc:Choice Requires="wpg">
          <w:drawing>
            <wp:anchor distT="0" distB="0" distL="114300" distR="114300" simplePos="0" relativeHeight="251660288" behindDoc="1" locked="0" layoutInCell="1" allowOverlap="1" wp14:anchorId="0CBB0B4A" wp14:editId="7EACBABE">
              <wp:simplePos x="0" y="0"/>
              <wp:positionH relativeFrom="page">
                <wp:posOffset>987552</wp:posOffset>
              </wp:positionH>
              <wp:positionV relativeFrom="page">
                <wp:posOffset>449580</wp:posOffset>
              </wp:positionV>
              <wp:extent cx="1162812" cy="1178052"/>
              <wp:effectExtent l="0" t="0" r="0" b="0"/>
              <wp:wrapNone/>
              <wp:docPr id="5303" name="Group 5303"/>
              <wp:cNvGraphicFramePr/>
              <a:graphic xmlns:a="http://schemas.openxmlformats.org/drawingml/2006/main">
                <a:graphicData uri="http://schemas.microsoft.com/office/word/2010/wordprocessingGroup">
                  <wpg:wgp>
                    <wpg:cNvGrpSpPr/>
                    <wpg:grpSpPr>
                      <a:xfrm>
                        <a:off x="0" y="0"/>
                        <a:ext cx="1162812" cy="1178052"/>
                        <a:chOff x="0" y="0"/>
                        <a:chExt cx="1162812" cy="1178052"/>
                      </a:xfrm>
                    </wpg:grpSpPr>
                    <pic:pic xmlns:pic="http://schemas.openxmlformats.org/drawingml/2006/picture">
                      <pic:nvPicPr>
                        <pic:cNvPr id="5304" name="Picture 5304"/>
                        <pic:cNvPicPr/>
                      </pic:nvPicPr>
                      <pic:blipFill>
                        <a:blip r:embed="rId1"/>
                        <a:stretch>
                          <a:fillRect/>
                        </a:stretch>
                      </pic:blipFill>
                      <pic:spPr>
                        <a:xfrm>
                          <a:off x="0" y="0"/>
                          <a:ext cx="1162812" cy="1178052"/>
                        </a:xfrm>
                        <a:prstGeom prst="rect">
                          <a:avLst/>
                        </a:prstGeom>
                      </pic:spPr>
                    </pic:pic>
                  </wpg:wgp>
                </a:graphicData>
              </a:graphic>
            </wp:anchor>
          </w:drawing>
        </mc:Choice>
        <mc:Fallback xmlns:a="http://schemas.openxmlformats.org/drawingml/2006/main">
          <w:pict>
            <v:group id="Group 5303" style="width:91.56pt;height:92.76pt;position:absolute;z-index:-2147483648;mso-position-horizontal-relative:page;mso-position-horizontal:absolute;margin-left:77.76pt;mso-position-vertical-relative:page;margin-top:35.4pt;" coordsize="11628,11780">
              <v:shape id="Picture 5304" style="position:absolute;width:11628;height:11780;left:0;top:0;"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185B"/>
    <w:multiLevelType w:val="hybridMultilevel"/>
    <w:tmpl w:val="15BC2004"/>
    <w:lvl w:ilvl="0" w:tplc="8508EE76">
      <w:start w:val="3"/>
      <w:numFmt w:val="upperRoman"/>
      <w:lvlText w:val="%1."/>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DB362B00">
      <w:start w:val="1"/>
      <w:numFmt w:val="lowerLetter"/>
      <w:lvlText w:val="%2"/>
      <w:lvlJc w:val="left"/>
      <w:pPr>
        <w:ind w:left="11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2F09B26">
      <w:start w:val="1"/>
      <w:numFmt w:val="lowerRoman"/>
      <w:lvlText w:val="%3"/>
      <w:lvlJc w:val="left"/>
      <w:pPr>
        <w:ind w:left="19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5D87364">
      <w:start w:val="1"/>
      <w:numFmt w:val="decimal"/>
      <w:lvlText w:val="%4"/>
      <w:lvlJc w:val="left"/>
      <w:pPr>
        <w:ind w:left="26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39A83EA">
      <w:start w:val="1"/>
      <w:numFmt w:val="lowerLetter"/>
      <w:lvlText w:val="%5"/>
      <w:lvlJc w:val="left"/>
      <w:pPr>
        <w:ind w:left="33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1225AD6">
      <w:start w:val="1"/>
      <w:numFmt w:val="lowerRoman"/>
      <w:lvlText w:val="%6"/>
      <w:lvlJc w:val="left"/>
      <w:pPr>
        <w:ind w:left="40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93A8EDA">
      <w:start w:val="1"/>
      <w:numFmt w:val="decimal"/>
      <w:lvlText w:val="%7"/>
      <w:lvlJc w:val="left"/>
      <w:pPr>
        <w:ind w:left="4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0646FEE">
      <w:start w:val="1"/>
      <w:numFmt w:val="lowerLetter"/>
      <w:lvlText w:val="%8"/>
      <w:lvlJc w:val="left"/>
      <w:pPr>
        <w:ind w:left="5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09A1FBA">
      <w:start w:val="1"/>
      <w:numFmt w:val="lowerRoman"/>
      <w:lvlText w:val="%9"/>
      <w:lvlJc w:val="left"/>
      <w:pPr>
        <w:ind w:left="6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A856658"/>
    <w:multiLevelType w:val="hybridMultilevel"/>
    <w:tmpl w:val="2D22F3CA"/>
    <w:lvl w:ilvl="0" w:tplc="17E637EC">
      <w:start w:val="1"/>
      <w:numFmt w:val="decimal"/>
      <w:lvlText w:val="%1."/>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DB04A1DE">
      <w:start w:val="1"/>
      <w:numFmt w:val="lowerLetter"/>
      <w:lvlText w:val="%2"/>
      <w:lvlJc w:val="left"/>
      <w:pPr>
        <w:ind w:left="11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49A8004">
      <w:start w:val="1"/>
      <w:numFmt w:val="lowerRoman"/>
      <w:lvlText w:val="%3"/>
      <w:lvlJc w:val="left"/>
      <w:pPr>
        <w:ind w:left="19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C1F67ED2">
      <w:start w:val="1"/>
      <w:numFmt w:val="decimal"/>
      <w:lvlText w:val="%4"/>
      <w:lvlJc w:val="left"/>
      <w:pPr>
        <w:ind w:left="26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4527F7C">
      <w:start w:val="1"/>
      <w:numFmt w:val="lowerLetter"/>
      <w:lvlText w:val="%5"/>
      <w:lvlJc w:val="left"/>
      <w:pPr>
        <w:ind w:left="33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B1013B2">
      <w:start w:val="1"/>
      <w:numFmt w:val="lowerRoman"/>
      <w:lvlText w:val="%6"/>
      <w:lvlJc w:val="left"/>
      <w:pPr>
        <w:ind w:left="40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8EA7E60">
      <w:start w:val="1"/>
      <w:numFmt w:val="decimal"/>
      <w:lvlText w:val="%7"/>
      <w:lvlJc w:val="left"/>
      <w:pPr>
        <w:ind w:left="4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41875EA">
      <w:start w:val="1"/>
      <w:numFmt w:val="lowerLetter"/>
      <w:lvlText w:val="%8"/>
      <w:lvlJc w:val="left"/>
      <w:pPr>
        <w:ind w:left="5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8C8BD4A">
      <w:start w:val="1"/>
      <w:numFmt w:val="lowerRoman"/>
      <w:lvlText w:val="%9"/>
      <w:lvlJc w:val="left"/>
      <w:pPr>
        <w:ind w:left="6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B8D1298"/>
    <w:multiLevelType w:val="hybridMultilevel"/>
    <w:tmpl w:val="2F9CFD2A"/>
    <w:lvl w:ilvl="0" w:tplc="CBB6B01E">
      <w:start w:val="1"/>
      <w:numFmt w:val="decimal"/>
      <w:lvlText w:val="%1."/>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6A6F656">
      <w:start w:val="1"/>
      <w:numFmt w:val="lowerLetter"/>
      <w:lvlText w:val="%2"/>
      <w:lvlJc w:val="left"/>
      <w:pPr>
        <w:ind w:left="11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5BC650A">
      <w:start w:val="1"/>
      <w:numFmt w:val="lowerRoman"/>
      <w:lvlText w:val="%3"/>
      <w:lvlJc w:val="left"/>
      <w:pPr>
        <w:ind w:left="19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0B6EF66">
      <w:start w:val="1"/>
      <w:numFmt w:val="decimal"/>
      <w:lvlText w:val="%4"/>
      <w:lvlJc w:val="left"/>
      <w:pPr>
        <w:ind w:left="26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C881838">
      <w:start w:val="1"/>
      <w:numFmt w:val="lowerLetter"/>
      <w:lvlText w:val="%5"/>
      <w:lvlJc w:val="left"/>
      <w:pPr>
        <w:ind w:left="33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10286EE">
      <w:start w:val="1"/>
      <w:numFmt w:val="lowerRoman"/>
      <w:lvlText w:val="%6"/>
      <w:lvlJc w:val="left"/>
      <w:pPr>
        <w:ind w:left="40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8C8E80A">
      <w:start w:val="1"/>
      <w:numFmt w:val="decimal"/>
      <w:lvlText w:val="%7"/>
      <w:lvlJc w:val="left"/>
      <w:pPr>
        <w:ind w:left="4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CCB84C">
      <w:start w:val="1"/>
      <w:numFmt w:val="lowerLetter"/>
      <w:lvlText w:val="%8"/>
      <w:lvlJc w:val="left"/>
      <w:pPr>
        <w:ind w:left="5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EC25470">
      <w:start w:val="1"/>
      <w:numFmt w:val="lowerRoman"/>
      <w:lvlText w:val="%9"/>
      <w:lvlJc w:val="left"/>
      <w:pPr>
        <w:ind w:left="6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16cid:durableId="1922256277">
    <w:abstractNumId w:val="1"/>
  </w:num>
  <w:num w:numId="2" w16cid:durableId="1625234812">
    <w:abstractNumId w:val="0"/>
  </w:num>
  <w:num w:numId="3" w16cid:durableId="1462268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5DF"/>
    <w:rsid w:val="00116072"/>
    <w:rsid w:val="00134D8E"/>
    <w:rsid w:val="00160E84"/>
    <w:rsid w:val="001B2FE3"/>
    <w:rsid w:val="002A0CA1"/>
    <w:rsid w:val="00393ED5"/>
    <w:rsid w:val="004013A5"/>
    <w:rsid w:val="004F35DF"/>
    <w:rsid w:val="00551DB9"/>
    <w:rsid w:val="005E30FC"/>
    <w:rsid w:val="007D629B"/>
    <w:rsid w:val="008502CD"/>
    <w:rsid w:val="00866BA7"/>
    <w:rsid w:val="00C21EAC"/>
    <w:rsid w:val="00C45F2B"/>
    <w:rsid w:val="00C63D55"/>
    <w:rsid w:val="00C74C47"/>
    <w:rsid w:val="00FA18E9"/>
    <w:rsid w:val="00FC50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28E980"/>
  <w15:docId w15:val="{FE05B40C-7C4B-4514-8C01-0A239BE2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160E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0E84"/>
    <w:rPr>
      <w:rFonts w:ascii="Calibri" w:eastAsia="Calibri" w:hAnsi="Calibri" w:cs="Calibri"/>
      <w:color w:val="000000"/>
    </w:rPr>
  </w:style>
  <w:style w:type="character" w:styleId="Hipervnculo">
    <w:name w:val="Hyperlink"/>
    <w:basedOn w:val="Fuentedeprrafopredeter"/>
    <w:uiPriority w:val="99"/>
    <w:unhideWhenUsed/>
    <w:rsid w:val="00FC5016"/>
    <w:rPr>
      <w:color w:val="0563C1" w:themeColor="hyperlink"/>
      <w:u w:val="single"/>
    </w:rPr>
  </w:style>
  <w:style w:type="character" w:styleId="Mencinsinresolver">
    <w:name w:val="Unresolved Mention"/>
    <w:basedOn w:val="Fuentedeprrafopredeter"/>
    <w:uiPriority w:val="99"/>
    <w:semiHidden/>
    <w:unhideWhenUsed/>
    <w:rsid w:val="00FC5016"/>
    <w:rPr>
      <w:color w:val="605E5C"/>
      <w:shd w:val="clear" w:color="auto" w:fill="E1DFDD"/>
    </w:rPr>
  </w:style>
  <w:style w:type="character" w:styleId="Hipervnculovisitado">
    <w:name w:val="FollowedHyperlink"/>
    <w:basedOn w:val="Fuentedeprrafopredeter"/>
    <w:uiPriority w:val="99"/>
    <w:semiHidden/>
    <w:unhideWhenUsed/>
    <w:rsid w:val="00FC50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ovmsilap.scjn.pjf.gob.mx/Buscador/Paginas/AbrirDocArticulo.aspx?q=GxuSuiuph7krAwJX40RKkyXoQEuNCmVom1sRARP65E4nUIS2neZOypdxoIlMVtrS7GV8JwUaCI1+9XEbP96pe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ovmsilap.scjn.pjf.gob.mx/Buscador/Paginas/AbrirDocArticulo.aspx?q=ywok0jwfM9W8y4vP9Ak86syPR9YTZIFgkEOEC0u4VzMLVSDC20Q56YvegffYq6hfYjibZhMdyEXWVypacoUdr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epcjalisco.org.mx/sites/default/files/transparencia/articulo-8/II/d/reglamento_general_de_fiscalizacion.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968</Words>
  <Characters>5324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Iván Isay Martínez Flores</dc:creator>
  <cp:keywords/>
  <cp:lastModifiedBy>Herman Hernández Sánchez</cp:lastModifiedBy>
  <cp:revision>125</cp:revision>
  <dcterms:created xsi:type="dcterms:W3CDTF">2018-08-09T17:31:00Z</dcterms:created>
  <dcterms:modified xsi:type="dcterms:W3CDTF">2023-06-13T19:49:00Z</dcterms:modified>
</cp:coreProperties>
</file>