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572FF" w14:textId="77777777" w:rsidR="004F35DF" w:rsidRDefault="004F35DF">
      <w:pPr>
        <w:spacing w:after="0"/>
        <w:ind w:left="-24" w:right="17248"/>
        <w:jc w:val="both"/>
      </w:pPr>
    </w:p>
    <w:tbl>
      <w:tblPr>
        <w:tblStyle w:val="TableGrid"/>
        <w:tblW w:w="17731" w:type="dxa"/>
        <w:tblInd w:w="-17" w:type="dxa"/>
        <w:tblLayout w:type="fixed"/>
        <w:tblCellMar>
          <w:top w:w="61" w:type="dxa"/>
          <w:left w:w="108" w:type="dxa"/>
          <w:right w:w="51" w:type="dxa"/>
        </w:tblCellMar>
        <w:tblLook w:val="04A0" w:firstRow="1" w:lastRow="0" w:firstColumn="1" w:lastColumn="0" w:noHBand="0" w:noVBand="1"/>
      </w:tblPr>
      <w:tblGrid>
        <w:gridCol w:w="746"/>
        <w:gridCol w:w="1534"/>
        <w:gridCol w:w="3261"/>
        <w:gridCol w:w="12190"/>
      </w:tblGrid>
      <w:tr w:rsidR="00B10B2A" w14:paraId="17B6753E" w14:textId="77777777" w:rsidTr="00B10B2A">
        <w:trPr>
          <w:trHeight w:val="408"/>
          <w:tblHeader/>
        </w:trPr>
        <w:tc>
          <w:tcPr>
            <w:tcW w:w="746" w:type="dxa"/>
            <w:tcBorders>
              <w:top w:val="single" w:sz="4" w:space="0" w:color="BFBFBF"/>
              <w:left w:val="single" w:sz="4" w:space="0" w:color="BFBFBF"/>
              <w:bottom w:val="single" w:sz="4" w:space="0" w:color="BFBFBF"/>
              <w:right w:val="single" w:sz="4" w:space="0" w:color="BFBFBF"/>
            </w:tcBorders>
            <w:shd w:val="clear" w:color="auto" w:fill="76923C"/>
          </w:tcPr>
          <w:p w14:paraId="4B198C29" w14:textId="77777777" w:rsidR="00B10B2A" w:rsidRDefault="00B10B2A">
            <w:pPr>
              <w:ind w:left="191"/>
              <w:jc w:val="center"/>
            </w:pPr>
            <w:r>
              <w:rPr>
                <w:rFonts w:ascii="Century Gothic" w:eastAsia="Century Gothic" w:hAnsi="Century Gothic" w:cs="Century Gothic"/>
                <w:b/>
                <w:color w:val="FFFFFF"/>
                <w:sz w:val="20"/>
              </w:rPr>
              <w:t xml:space="preserve"> </w:t>
            </w:r>
          </w:p>
        </w:tc>
        <w:tc>
          <w:tcPr>
            <w:tcW w:w="1534" w:type="dxa"/>
            <w:tcBorders>
              <w:top w:val="single" w:sz="4" w:space="0" w:color="BFBFBF"/>
              <w:left w:val="single" w:sz="4" w:space="0" w:color="BFBFBF"/>
              <w:bottom w:val="single" w:sz="4" w:space="0" w:color="BFBFBF"/>
              <w:right w:val="single" w:sz="4" w:space="0" w:color="BFBFBF"/>
            </w:tcBorders>
            <w:shd w:val="clear" w:color="auto" w:fill="76923C"/>
          </w:tcPr>
          <w:p w14:paraId="2E22CD8C" w14:textId="77777777" w:rsidR="00B10B2A" w:rsidRDefault="00B10B2A">
            <w:pPr>
              <w:ind w:right="60"/>
              <w:jc w:val="center"/>
            </w:pPr>
            <w:r>
              <w:rPr>
                <w:rFonts w:ascii="Century Gothic" w:eastAsia="Century Gothic" w:hAnsi="Century Gothic" w:cs="Century Gothic"/>
                <w:b/>
                <w:color w:val="FFFFFF"/>
                <w:sz w:val="20"/>
              </w:rPr>
              <w:t xml:space="preserve">ESTADO </w:t>
            </w:r>
          </w:p>
        </w:tc>
        <w:tc>
          <w:tcPr>
            <w:tcW w:w="3261" w:type="dxa"/>
            <w:tcBorders>
              <w:top w:val="single" w:sz="4" w:space="0" w:color="BFBFBF"/>
              <w:left w:val="single" w:sz="4" w:space="0" w:color="BFBFBF"/>
              <w:bottom w:val="single" w:sz="4" w:space="0" w:color="BFBFBF"/>
              <w:right w:val="single" w:sz="4" w:space="0" w:color="BFBFBF"/>
            </w:tcBorders>
            <w:shd w:val="clear" w:color="auto" w:fill="76923C"/>
          </w:tcPr>
          <w:p w14:paraId="083446BC" w14:textId="77777777" w:rsidR="00B10B2A" w:rsidRDefault="00B10B2A">
            <w:pPr>
              <w:ind w:right="58"/>
              <w:jc w:val="center"/>
            </w:pPr>
            <w:r>
              <w:rPr>
                <w:rFonts w:ascii="Century Gothic" w:eastAsia="Century Gothic" w:hAnsi="Century Gothic" w:cs="Century Gothic"/>
                <w:b/>
                <w:color w:val="FFFFFF"/>
                <w:sz w:val="20"/>
              </w:rPr>
              <w:t xml:space="preserve">LEY </w:t>
            </w:r>
          </w:p>
        </w:tc>
        <w:tc>
          <w:tcPr>
            <w:tcW w:w="12190" w:type="dxa"/>
            <w:tcBorders>
              <w:top w:val="single" w:sz="4" w:space="0" w:color="BFBFBF"/>
              <w:left w:val="single" w:sz="4" w:space="0" w:color="BFBFBF"/>
              <w:bottom w:val="single" w:sz="4" w:space="0" w:color="BFBFBF"/>
              <w:right w:val="single" w:sz="4" w:space="0" w:color="BFBFBF"/>
            </w:tcBorders>
            <w:shd w:val="clear" w:color="auto" w:fill="76923C"/>
          </w:tcPr>
          <w:p w14:paraId="4C3B3D96" w14:textId="7078F3D0" w:rsidR="00B10B2A" w:rsidRDefault="00B10B2A">
            <w:pPr>
              <w:ind w:right="58"/>
              <w:jc w:val="center"/>
              <w:rPr>
                <w:rFonts w:ascii="Century Gothic" w:eastAsia="Century Gothic" w:hAnsi="Century Gothic" w:cs="Century Gothic"/>
                <w:b/>
                <w:color w:val="FFFFFF"/>
                <w:sz w:val="20"/>
              </w:rPr>
            </w:pPr>
            <w:r w:rsidRPr="00E77FBA">
              <w:rPr>
                <w:rFonts w:ascii="Century Gothic" w:eastAsia="Century Gothic" w:hAnsi="Century Gothic" w:cs="Century Gothic"/>
                <w:b/>
                <w:color w:val="FFFFFF"/>
                <w:sz w:val="20"/>
              </w:rPr>
              <w:t>ARTÍCULO</w:t>
            </w:r>
            <w:r>
              <w:rPr>
                <w:rFonts w:ascii="Century Gothic" w:eastAsia="Century Gothic" w:hAnsi="Century Gothic" w:cs="Century Gothic"/>
                <w:b/>
                <w:color w:val="FFFFFF"/>
                <w:sz w:val="20"/>
              </w:rPr>
              <w:t xml:space="preserve"> </w:t>
            </w:r>
            <w:r w:rsidRPr="00E77FBA">
              <w:rPr>
                <w:rFonts w:ascii="Century Gothic" w:eastAsia="Century Gothic" w:hAnsi="Century Gothic" w:cs="Century Gothic"/>
                <w:b/>
                <w:color w:val="FFFFFF"/>
                <w:sz w:val="20"/>
              </w:rPr>
              <w:t>(TRANSCRIPCIÓN)</w:t>
            </w:r>
          </w:p>
        </w:tc>
      </w:tr>
      <w:tr w:rsidR="00B10B2A" w14:paraId="495A24A1" w14:textId="77777777" w:rsidTr="00B10B2A">
        <w:trPr>
          <w:trHeight w:val="2757"/>
        </w:trPr>
        <w:tc>
          <w:tcPr>
            <w:tcW w:w="74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DBC8584" w14:textId="77777777" w:rsidR="00B10B2A" w:rsidRDefault="00B10B2A">
            <w:pPr>
              <w:ind w:right="419"/>
              <w:jc w:val="center"/>
              <w:rPr>
                <w:rFonts w:ascii="Arial" w:eastAsia="Arial" w:hAnsi="Arial" w:cs="Arial"/>
                <w:b/>
                <w:sz w:val="20"/>
              </w:rPr>
            </w:pPr>
            <w:r>
              <w:rPr>
                <w:rFonts w:ascii="Century Gothic" w:eastAsia="Century Gothic" w:hAnsi="Century Gothic" w:cs="Century Gothic"/>
                <w:b/>
                <w:sz w:val="20"/>
              </w:rPr>
              <w:t>1.</w:t>
            </w:r>
            <w:r>
              <w:rPr>
                <w:rFonts w:ascii="Arial" w:eastAsia="Arial" w:hAnsi="Arial" w:cs="Arial"/>
                <w:b/>
                <w:sz w:val="20"/>
              </w:rPr>
              <w:t xml:space="preserve"> </w:t>
            </w:r>
          </w:p>
          <w:p w14:paraId="545B096B" w14:textId="77777777" w:rsidR="00B10B2A" w:rsidRDefault="00B10B2A">
            <w:pPr>
              <w:ind w:right="419"/>
              <w:jc w:val="center"/>
              <w:rPr>
                <w:rFonts w:ascii="Arial" w:eastAsia="Arial" w:hAnsi="Arial" w:cs="Arial"/>
                <w:b/>
                <w:sz w:val="20"/>
              </w:rPr>
            </w:pPr>
          </w:p>
          <w:p w14:paraId="4385405D" w14:textId="77777777" w:rsidR="00B10B2A" w:rsidRDefault="00B10B2A">
            <w:pPr>
              <w:ind w:right="419"/>
              <w:jc w:val="center"/>
              <w:rPr>
                <w:rFonts w:ascii="Arial" w:eastAsia="Arial" w:hAnsi="Arial" w:cs="Arial"/>
                <w:b/>
                <w:sz w:val="20"/>
              </w:rPr>
            </w:pPr>
          </w:p>
          <w:p w14:paraId="6A02F83D" w14:textId="77777777" w:rsidR="00B10B2A" w:rsidRDefault="00B10B2A">
            <w:pPr>
              <w:ind w:right="419"/>
              <w:jc w:val="center"/>
              <w:rPr>
                <w:rFonts w:ascii="Arial" w:eastAsia="Arial" w:hAnsi="Arial" w:cs="Arial"/>
                <w:b/>
                <w:sz w:val="20"/>
              </w:rPr>
            </w:pPr>
          </w:p>
          <w:p w14:paraId="0EFA2ECE" w14:textId="77777777" w:rsidR="00B10B2A" w:rsidRDefault="00B10B2A">
            <w:pPr>
              <w:ind w:right="419"/>
              <w:jc w:val="center"/>
              <w:rPr>
                <w:rFonts w:ascii="Arial" w:eastAsia="Arial" w:hAnsi="Arial" w:cs="Arial"/>
                <w:b/>
                <w:sz w:val="20"/>
              </w:rPr>
            </w:pPr>
          </w:p>
          <w:p w14:paraId="2EE244DE" w14:textId="77777777" w:rsidR="00B10B2A" w:rsidRDefault="00B10B2A">
            <w:pPr>
              <w:ind w:right="419"/>
              <w:jc w:val="center"/>
              <w:rPr>
                <w:rFonts w:ascii="Arial" w:eastAsia="Arial" w:hAnsi="Arial" w:cs="Arial"/>
                <w:b/>
                <w:sz w:val="20"/>
              </w:rPr>
            </w:pPr>
          </w:p>
          <w:p w14:paraId="3978BCAF" w14:textId="77777777" w:rsidR="00B10B2A" w:rsidRDefault="00B10B2A">
            <w:pPr>
              <w:ind w:right="419"/>
              <w:jc w:val="center"/>
              <w:rPr>
                <w:rFonts w:ascii="Arial" w:eastAsia="Arial" w:hAnsi="Arial" w:cs="Arial"/>
                <w:b/>
                <w:sz w:val="20"/>
              </w:rPr>
            </w:pPr>
          </w:p>
          <w:p w14:paraId="67EB5CB7" w14:textId="77777777" w:rsidR="00B10B2A" w:rsidRDefault="00B10B2A">
            <w:pPr>
              <w:ind w:right="419"/>
              <w:jc w:val="center"/>
              <w:rPr>
                <w:rFonts w:ascii="Arial" w:eastAsia="Arial" w:hAnsi="Arial" w:cs="Arial"/>
                <w:b/>
                <w:sz w:val="20"/>
              </w:rPr>
            </w:pPr>
          </w:p>
          <w:p w14:paraId="4B50BBD6" w14:textId="77777777" w:rsidR="00B10B2A" w:rsidRDefault="00B10B2A">
            <w:pPr>
              <w:ind w:right="419"/>
              <w:jc w:val="center"/>
              <w:rPr>
                <w:rFonts w:ascii="Arial" w:eastAsia="Arial" w:hAnsi="Arial" w:cs="Arial"/>
                <w:b/>
                <w:sz w:val="20"/>
              </w:rPr>
            </w:pPr>
          </w:p>
          <w:p w14:paraId="7342D509" w14:textId="77777777" w:rsidR="00B10B2A" w:rsidRDefault="00B10B2A">
            <w:pPr>
              <w:ind w:right="419"/>
              <w:jc w:val="center"/>
              <w:rPr>
                <w:rFonts w:ascii="Arial" w:eastAsia="Arial" w:hAnsi="Arial" w:cs="Arial"/>
                <w:b/>
                <w:sz w:val="20"/>
              </w:rPr>
            </w:pPr>
          </w:p>
          <w:p w14:paraId="65F3A15E" w14:textId="77777777" w:rsidR="00B10B2A" w:rsidRDefault="00B10B2A">
            <w:pPr>
              <w:ind w:right="419"/>
              <w:jc w:val="center"/>
              <w:rPr>
                <w:rFonts w:ascii="Arial" w:eastAsia="Arial" w:hAnsi="Arial" w:cs="Arial"/>
                <w:b/>
                <w:sz w:val="20"/>
              </w:rPr>
            </w:pPr>
          </w:p>
          <w:p w14:paraId="4E8290F4" w14:textId="77777777" w:rsidR="00B10B2A" w:rsidRDefault="00B10B2A">
            <w:pPr>
              <w:ind w:right="419"/>
              <w:jc w:val="center"/>
              <w:rPr>
                <w:rFonts w:ascii="Arial" w:eastAsia="Arial" w:hAnsi="Arial" w:cs="Arial"/>
                <w:b/>
                <w:sz w:val="20"/>
              </w:rPr>
            </w:pPr>
          </w:p>
          <w:p w14:paraId="01FFB982" w14:textId="77777777" w:rsidR="00B10B2A" w:rsidRDefault="00B10B2A">
            <w:pPr>
              <w:ind w:right="419"/>
              <w:jc w:val="center"/>
              <w:rPr>
                <w:rFonts w:ascii="Arial" w:eastAsia="Arial" w:hAnsi="Arial" w:cs="Arial"/>
                <w:b/>
                <w:sz w:val="20"/>
              </w:rPr>
            </w:pPr>
          </w:p>
          <w:p w14:paraId="4A7C7409" w14:textId="77777777" w:rsidR="00B10B2A" w:rsidRDefault="00B10B2A">
            <w:pPr>
              <w:ind w:right="419"/>
              <w:jc w:val="center"/>
              <w:rPr>
                <w:rFonts w:ascii="Arial" w:eastAsia="Arial" w:hAnsi="Arial" w:cs="Arial"/>
                <w:b/>
                <w:sz w:val="20"/>
              </w:rPr>
            </w:pPr>
          </w:p>
          <w:p w14:paraId="237C65E0" w14:textId="77777777" w:rsidR="00B10B2A" w:rsidRDefault="00B10B2A">
            <w:pPr>
              <w:ind w:right="419"/>
              <w:jc w:val="center"/>
              <w:rPr>
                <w:rFonts w:ascii="Arial" w:eastAsia="Arial" w:hAnsi="Arial" w:cs="Arial"/>
                <w:b/>
                <w:sz w:val="20"/>
              </w:rPr>
            </w:pPr>
          </w:p>
          <w:p w14:paraId="765CFC5E" w14:textId="77777777" w:rsidR="00B10B2A" w:rsidRDefault="00B10B2A">
            <w:pPr>
              <w:ind w:right="419"/>
              <w:jc w:val="center"/>
              <w:rPr>
                <w:rFonts w:ascii="Arial" w:eastAsia="Arial" w:hAnsi="Arial" w:cs="Arial"/>
                <w:b/>
                <w:sz w:val="20"/>
              </w:rPr>
            </w:pPr>
          </w:p>
          <w:p w14:paraId="684A929D" w14:textId="77777777" w:rsidR="00B10B2A" w:rsidRDefault="00B10B2A">
            <w:pPr>
              <w:ind w:right="419"/>
              <w:jc w:val="center"/>
              <w:rPr>
                <w:rFonts w:ascii="Arial" w:eastAsia="Arial" w:hAnsi="Arial" w:cs="Arial"/>
                <w:b/>
                <w:sz w:val="20"/>
              </w:rPr>
            </w:pPr>
          </w:p>
          <w:p w14:paraId="0FE7839B" w14:textId="77777777" w:rsidR="00B10B2A" w:rsidRDefault="00B10B2A">
            <w:pPr>
              <w:ind w:right="419"/>
              <w:jc w:val="center"/>
              <w:rPr>
                <w:rFonts w:ascii="Arial" w:eastAsia="Arial" w:hAnsi="Arial" w:cs="Arial"/>
                <w:b/>
                <w:sz w:val="20"/>
              </w:rPr>
            </w:pPr>
          </w:p>
          <w:p w14:paraId="3FB07A5F" w14:textId="77777777" w:rsidR="00B10B2A" w:rsidRDefault="00B10B2A">
            <w:pPr>
              <w:ind w:right="419"/>
              <w:jc w:val="center"/>
              <w:rPr>
                <w:rFonts w:ascii="Arial" w:eastAsia="Arial" w:hAnsi="Arial" w:cs="Arial"/>
                <w:b/>
                <w:sz w:val="20"/>
              </w:rPr>
            </w:pPr>
          </w:p>
          <w:p w14:paraId="705356AA" w14:textId="77777777" w:rsidR="00B10B2A" w:rsidRDefault="00B10B2A">
            <w:pPr>
              <w:ind w:right="419"/>
              <w:jc w:val="center"/>
              <w:rPr>
                <w:rFonts w:ascii="Arial" w:eastAsia="Arial" w:hAnsi="Arial" w:cs="Arial"/>
                <w:b/>
                <w:sz w:val="20"/>
              </w:rPr>
            </w:pPr>
          </w:p>
          <w:p w14:paraId="4830B4E3" w14:textId="77777777" w:rsidR="00B10B2A" w:rsidRDefault="00B10B2A">
            <w:pPr>
              <w:ind w:right="419"/>
              <w:jc w:val="center"/>
              <w:rPr>
                <w:rFonts w:ascii="Arial" w:eastAsia="Arial" w:hAnsi="Arial" w:cs="Arial"/>
                <w:b/>
                <w:sz w:val="20"/>
              </w:rPr>
            </w:pPr>
          </w:p>
          <w:p w14:paraId="0F984F7F" w14:textId="77777777" w:rsidR="00B10B2A" w:rsidRDefault="00B10B2A">
            <w:pPr>
              <w:ind w:right="419"/>
              <w:jc w:val="center"/>
              <w:rPr>
                <w:rFonts w:ascii="Arial" w:eastAsia="Arial" w:hAnsi="Arial" w:cs="Arial"/>
                <w:b/>
                <w:sz w:val="20"/>
              </w:rPr>
            </w:pPr>
          </w:p>
          <w:p w14:paraId="612E653F" w14:textId="77777777" w:rsidR="00B10B2A" w:rsidRDefault="00B10B2A">
            <w:pPr>
              <w:ind w:right="419"/>
              <w:jc w:val="center"/>
              <w:rPr>
                <w:rFonts w:ascii="Arial" w:eastAsia="Arial" w:hAnsi="Arial" w:cs="Arial"/>
                <w:b/>
                <w:sz w:val="20"/>
              </w:rPr>
            </w:pPr>
          </w:p>
          <w:p w14:paraId="4BEEFEDF" w14:textId="77777777" w:rsidR="00B10B2A" w:rsidRDefault="00B10B2A">
            <w:pPr>
              <w:ind w:right="419"/>
              <w:jc w:val="center"/>
              <w:rPr>
                <w:rFonts w:ascii="Arial" w:eastAsia="Arial" w:hAnsi="Arial" w:cs="Arial"/>
                <w:b/>
                <w:sz w:val="20"/>
              </w:rPr>
            </w:pPr>
          </w:p>
          <w:p w14:paraId="2AB49AD0" w14:textId="77777777" w:rsidR="00B10B2A" w:rsidRDefault="00B10B2A">
            <w:pPr>
              <w:ind w:right="419"/>
              <w:jc w:val="center"/>
              <w:rPr>
                <w:rFonts w:ascii="Arial" w:eastAsia="Arial" w:hAnsi="Arial" w:cs="Arial"/>
                <w:b/>
                <w:sz w:val="20"/>
              </w:rPr>
            </w:pPr>
          </w:p>
          <w:p w14:paraId="6DA3E351" w14:textId="77777777" w:rsidR="00B10B2A" w:rsidRDefault="00B10B2A">
            <w:pPr>
              <w:ind w:right="419"/>
              <w:jc w:val="center"/>
              <w:rPr>
                <w:rFonts w:ascii="Arial" w:eastAsia="Arial" w:hAnsi="Arial" w:cs="Arial"/>
                <w:b/>
                <w:sz w:val="20"/>
              </w:rPr>
            </w:pPr>
          </w:p>
          <w:p w14:paraId="43549EC0" w14:textId="77777777" w:rsidR="00B10B2A" w:rsidRDefault="00B10B2A">
            <w:pPr>
              <w:ind w:right="419"/>
              <w:jc w:val="center"/>
              <w:rPr>
                <w:rFonts w:ascii="Arial" w:eastAsia="Arial" w:hAnsi="Arial" w:cs="Arial"/>
                <w:b/>
                <w:sz w:val="20"/>
              </w:rPr>
            </w:pPr>
          </w:p>
          <w:p w14:paraId="205AFD33" w14:textId="77777777" w:rsidR="00B10B2A" w:rsidRDefault="00B10B2A">
            <w:pPr>
              <w:ind w:right="419"/>
              <w:jc w:val="center"/>
              <w:rPr>
                <w:rFonts w:ascii="Arial" w:eastAsia="Arial" w:hAnsi="Arial" w:cs="Arial"/>
                <w:b/>
                <w:sz w:val="20"/>
              </w:rPr>
            </w:pPr>
          </w:p>
          <w:p w14:paraId="5DB05203" w14:textId="77777777" w:rsidR="00B10B2A" w:rsidRDefault="00B10B2A">
            <w:pPr>
              <w:ind w:right="419"/>
              <w:jc w:val="center"/>
              <w:rPr>
                <w:rFonts w:ascii="Arial" w:eastAsia="Arial" w:hAnsi="Arial" w:cs="Arial"/>
                <w:b/>
                <w:sz w:val="20"/>
              </w:rPr>
            </w:pPr>
          </w:p>
          <w:p w14:paraId="504717AD" w14:textId="77777777" w:rsidR="00B10B2A" w:rsidRDefault="00B10B2A">
            <w:pPr>
              <w:ind w:right="419"/>
              <w:jc w:val="center"/>
              <w:rPr>
                <w:rFonts w:ascii="Arial" w:eastAsia="Arial" w:hAnsi="Arial" w:cs="Arial"/>
                <w:b/>
                <w:sz w:val="20"/>
              </w:rPr>
            </w:pPr>
          </w:p>
          <w:p w14:paraId="526438D7" w14:textId="77777777" w:rsidR="00B10B2A" w:rsidRDefault="00B10B2A">
            <w:pPr>
              <w:ind w:right="419"/>
              <w:jc w:val="center"/>
              <w:rPr>
                <w:rFonts w:ascii="Arial" w:eastAsia="Arial" w:hAnsi="Arial" w:cs="Arial"/>
                <w:b/>
                <w:sz w:val="20"/>
              </w:rPr>
            </w:pPr>
          </w:p>
          <w:p w14:paraId="69E566A5" w14:textId="77777777" w:rsidR="00B10B2A" w:rsidRDefault="00B10B2A">
            <w:pPr>
              <w:ind w:right="419"/>
              <w:jc w:val="center"/>
              <w:rPr>
                <w:rFonts w:ascii="Arial" w:eastAsia="Arial" w:hAnsi="Arial" w:cs="Arial"/>
                <w:b/>
                <w:sz w:val="20"/>
              </w:rPr>
            </w:pPr>
          </w:p>
          <w:p w14:paraId="209FC047" w14:textId="77777777" w:rsidR="00B10B2A" w:rsidRDefault="00B10B2A">
            <w:pPr>
              <w:ind w:right="419"/>
              <w:jc w:val="center"/>
              <w:rPr>
                <w:rFonts w:ascii="Arial" w:eastAsia="Arial" w:hAnsi="Arial" w:cs="Arial"/>
                <w:b/>
                <w:sz w:val="20"/>
              </w:rPr>
            </w:pPr>
          </w:p>
          <w:p w14:paraId="2BA032B2" w14:textId="77777777" w:rsidR="00B10B2A" w:rsidRDefault="00B10B2A">
            <w:pPr>
              <w:ind w:right="419"/>
              <w:jc w:val="center"/>
              <w:rPr>
                <w:rFonts w:ascii="Arial" w:eastAsia="Arial" w:hAnsi="Arial" w:cs="Arial"/>
                <w:b/>
                <w:sz w:val="20"/>
              </w:rPr>
            </w:pPr>
          </w:p>
          <w:p w14:paraId="3BC59468" w14:textId="77777777" w:rsidR="00B10B2A" w:rsidRDefault="00B10B2A">
            <w:pPr>
              <w:ind w:right="419"/>
              <w:jc w:val="center"/>
            </w:pPr>
            <w:r>
              <w:rPr>
                <w:rFonts w:ascii="Century Gothic" w:eastAsia="Century Gothic" w:hAnsi="Century Gothic" w:cs="Century Gothic"/>
                <w:b/>
                <w:sz w:val="20"/>
              </w:rPr>
              <w:t xml:space="preserve"> </w:t>
            </w:r>
          </w:p>
        </w:tc>
        <w:tc>
          <w:tcPr>
            <w:tcW w:w="1534"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5DB2709" w14:textId="77777777" w:rsidR="00B10B2A" w:rsidRDefault="00B10B2A">
            <w:pPr>
              <w:ind w:right="60"/>
              <w:jc w:val="center"/>
              <w:rPr>
                <w:b/>
              </w:rPr>
            </w:pPr>
            <w:r>
              <w:rPr>
                <w:b/>
              </w:rPr>
              <w:lastRenderedPageBreak/>
              <w:t>ESTADO DE MÉXICO</w:t>
            </w:r>
          </w:p>
          <w:p w14:paraId="63754229" w14:textId="77777777" w:rsidR="00B10B2A" w:rsidRDefault="00B10B2A">
            <w:pPr>
              <w:ind w:right="60"/>
              <w:jc w:val="center"/>
              <w:rPr>
                <w:b/>
              </w:rPr>
            </w:pPr>
          </w:p>
          <w:p w14:paraId="2477FA16" w14:textId="77777777" w:rsidR="00B10B2A" w:rsidRDefault="00B10B2A">
            <w:pPr>
              <w:ind w:right="60"/>
              <w:jc w:val="center"/>
              <w:rPr>
                <w:b/>
              </w:rPr>
            </w:pPr>
          </w:p>
          <w:p w14:paraId="29C1D3A4" w14:textId="77777777" w:rsidR="00B10B2A" w:rsidRDefault="00B10B2A">
            <w:pPr>
              <w:ind w:right="60"/>
              <w:jc w:val="center"/>
              <w:rPr>
                <w:b/>
              </w:rPr>
            </w:pPr>
          </w:p>
          <w:p w14:paraId="0BE11685" w14:textId="77777777" w:rsidR="00B10B2A" w:rsidRDefault="00B10B2A">
            <w:pPr>
              <w:ind w:right="60"/>
              <w:jc w:val="center"/>
              <w:rPr>
                <w:b/>
              </w:rPr>
            </w:pPr>
          </w:p>
          <w:p w14:paraId="55299AEC" w14:textId="77777777" w:rsidR="00B10B2A" w:rsidRDefault="00B10B2A">
            <w:pPr>
              <w:ind w:right="60"/>
              <w:jc w:val="center"/>
              <w:rPr>
                <w:b/>
              </w:rPr>
            </w:pPr>
          </w:p>
          <w:p w14:paraId="382928D3" w14:textId="77777777" w:rsidR="00B10B2A" w:rsidRDefault="00B10B2A">
            <w:pPr>
              <w:ind w:right="60"/>
              <w:jc w:val="center"/>
              <w:rPr>
                <w:b/>
              </w:rPr>
            </w:pPr>
          </w:p>
          <w:p w14:paraId="1E0FFF5F" w14:textId="77777777" w:rsidR="00B10B2A" w:rsidRDefault="00B10B2A">
            <w:pPr>
              <w:ind w:right="60"/>
              <w:jc w:val="center"/>
              <w:rPr>
                <w:b/>
              </w:rPr>
            </w:pPr>
          </w:p>
          <w:p w14:paraId="66C49562" w14:textId="77777777" w:rsidR="00B10B2A" w:rsidRDefault="00B10B2A">
            <w:pPr>
              <w:ind w:right="60"/>
              <w:jc w:val="center"/>
              <w:rPr>
                <w:b/>
              </w:rPr>
            </w:pPr>
          </w:p>
          <w:p w14:paraId="1EA3C172" w14:textId="77777777" w:rsidR="00B10B2A" w:rsidRDefault="00B10B2A">
            <w:pPr>
              <w:ind w:right="60"/>
              <w:jc w:val="center"/>
              <w:rPr>
                <w:b/>
              </w:rPr>
            </w:pPr>
          </w:p>
          <w:p w14:paraId="0B40FB06" w14:textId="77777777" w:rsidR="00B10B2A" w:rsidRDefault="00B10B2A">
            <w:pPr>
              <w:ind w:right="60"/>
              <w:jc w:val="center"/>
              <w:rPr>
                <w:b/>
              </w:rPr>
            </w:pPr>
          </w:p>
          <w:p w14:paraId="56EAC907" w14:textId="77777777" w:rsidR="00B10B2A" w:rsidRDefault="00B10B2A">
            <w:pPr>
              <w:ind w:right="60"/>
              <w:jc w:val="center"/>
              <w:rPr>
                <w:b/>
              </w:rPr>
            </w:pPr>
          </w:p>
          <w:p w14:paraId="082F060F" w14:textId="77777777" w:rsidR="00B10B2A" w:rsidRDefault="00B10B2A">
            <w:pPr>
              <w:ind w:right="60"/>
              <w:jc w:val="center"/>
              <w:rPr>
                <w:b/>
              </w:rPr>
            </w:pPr>
          </w:p>
          <w:p w14:paraId="0F08323D" w14:textId="77777777" w:rsidR="00B10B2A" w:rsidRDefault="00B10B2A">
            <w:pPr>
              <w:ind w:right="60"/>
              <w:jc w:val="center"/>
              <w:rPr>
                <w:b/>
              </w:rPr>
            </w:pPr>
          </w:p>
          <w:p w14:paraId="487BF7E5" w14:textId="77777777" w:rsidR="00B10B2A" w:rsidRDefault="00B10B2A">
            <w:pPr>
              <w:ind w:right="60"/>
              <w:jc w:val="center"/>
              <w:rPr>
                <w:b/>
              </w:rPr>
            </w:pPr>
          </w:p>
          <w:p w14:paraId="56E1ECB3" w14:textId="77777777" w:rsidR="00B10B2A" w:rsidRDefault="00B10B2A">
            <w:pPr>
              <w:ind w:right="60"/>
              <w:jc w:val="center"/>
              <w:rPr>
                <w:b/>
              </w:rPr>
            </w:pPr>
          </w:p>
          <w:p w14:paraId="34426712" w14:textId="77777777" w:rsidR="00B10B2A" w:rsidRDefault="00B10B2A">
            <w:pPr>
              <w:ind w:right="60"/>
              <w:jc w:val="center"/>
              <w:rPr>
                <w:b/>
              </w:rPr>
            </w:pPr>
          </w:p>
          <w:p w14:paraId="7278E16C" w14:textId="77777777" w:rsidR="00B10B2A" w:rsidRDefault="00B10B2A">
            <w:pPr>
              <w:ind w:right="60"/>
              <w:jc w:val="center"/>
              <w:rPr>
                <w:b/>
              </w:rPr>
            </w:pPr>
          </w:p>
          <w:p w14:paraId="226CDBCE" w14:textId="77777777" w:rsidR="00B10B2A" w:rsidRDefault="00B10B2A">
            <w:pPr>
              <w:ind w:right="60"/>
              <w:jc w:val="center"/>
              <w:rPr>
                <w:b/>
              </w:rPr>
            </w:pPr>
          </w:p>
          <w:p w14:paraId="45393325" w14:textId="77777777" w:rsidR="00B10B2A" w:rsidRDefault="00B10B2A">
            <w:pPr>
              <w:ind w:right="60"/>
              <w:jc w:val="center"/>
              <w:rPr>
                <w:b/>
              </w:rPr>
            </w:pPr>
          </w:p>
          <w:p w14:paraId="3E6BECF5" w14:textId="77777777" w:rsidR="00B10B2A" w:rsidRDefault="00B10B2A">
            <w:pPr>
              <w:ind w:right="60"/>
              <w:jc w:val="center"/>
              <w:rPr>
                <w:b/>
              </w:rPr>
            </w:pPr>
          </w:p>
          <w:p w14:paraId="4D6E36AA" w14:textId="77777777" w:rsidR="00B10B2A" w:rsidRDefault="00B10B2A">
            <w:pPr>
              <w:ind w:right="60"/>
              <w:jc w:val="center"/>
              <w:rPr>
                <w:b/>
              </w:rPr>
            </w:pPr>
          </w:p>
          <w:p w14:paraId="1833F26C" w14:textId="77777777" w:rsidR="00B10B2A" w:rsidRDefault="00B10B2A">
            <w:pPr>
              <w:ind w:right="60"/>
              <w:jc w:val="center"/>
              <w:rPr>
                <w:b/>
              </w:rPr>
            </w:pPr>
          </w:p>
          <w:p w14:paraId="1BE7EAD5" w14:textId="77777777" w:rsidR="00B10B2A" w:rsidRDefault="00B10B2A">
            <w:pPr>
              <w:ind w:right="60"/>
              <w:jc w:val="center"/>
              <w:rPr>
                <w:b/>
              </w:rPr>
            </w:pPr>
          </w:p>
          <w:p w14:paraId="2B28BFCD" w14:textId="77777777" w:rsidR="00B10B2A" w:rsidRDefault="00B10B2A">
            <w:pPr>
              <w:ind w:right="60"/>
              <w:jc w:val="center"/>
              <w:rPr>
                <w:b/>
              </w:rPr>
            </w:pPr>
          </w:p>
          <w:p w14:paraId="5552EDD1" w14:textId="77777777" w:rsidR="00B10B2A" w:rsidRDefault="00B10B2A">
            <w:pPr>
              <w:ind w:right="60"/>
              <w:jc w:val="center"/>
              <w:rPr>
                <w:b/>
              </w:rPr>
            </w:pPr>
          </w:p>
          <w:p w14:paraId="697A5CAA" w14:textId="77777777" w:rsidR="00B10B2A" w:rsidRPr="0010728E" w:rsidRDefault="00B10B2A">
            <w:pPr>
              <w:ind w:right="60"/>
              <w:jc w:val="center"/>
              <w:rPr>
                <w:b/>
              </w:rPr>
            </w:pPr>
          </w:p>
        </w:tc>
        <w:tc>
          <w:tcPr>
            <w:tcW w:w="3261"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1641DB9F" w14:textId="68707A01" w:rsidR="00B10B2A" w:rsidRPr="00B06A40" w:rsidRDefault="00B10B2A" w:rsidP="00B06A40">
            <w:pPr>
              <w:ind w:left="65"/>
              <w:jc w:val="center"/>
              <w:rPr>
                <w:b/>
                <w:bCs/>
              </w:rPr>
            </w:pPr>
            <w:hyperlink r:id="rId7" w:history="1">
              <w:r w:rsidRPr="0057495F">
                <w:rPr>
                  <w:rStyle w:val="Hipervnculo"/>
                  <w:b/>
                  <w:bCs/>
                </w:rPr>
                <w:t>Código Electoral del Estado de México</w:t>
              </w:r>
            </w:hyperlink>
          </w:p>
          <w:p w14:paraId="779331E2" w14:textId="77777777" w:rsidR="00B10B2A" w:rsidRPr="00B06A40" w:rsidRDefault="00B10B2A" w:rsidP="00B06A40">
            <w:pPr>
              <w:ind w:left="65"/>
              <w:jc w:val="center"/>
              <w:rPr>
                <w:b/>
                <w:bCs/>
              </w:rPr>
            </w:pPr>
          </w:p>
          <w:p w14:paraId="64EDA41C" w14:textId="77777777" w:rsidR="00B10B2A" w:rsidRDefault="00B10B2A" w:rsidP="00B06A40">
            <w:pPr>
              <w:ind w:left="65"/>
              <w:jc w:val="center"/>
            </w:pPr>
          </w:p>
          <w:p w14:paraId="0BBDAD80" w14:textId="77777777" w:rsidR="00B10B2A" w:rsidRDefault="00B10B2A" w:rsidP="00B06A40">
            <w:pPr>
              <w:ind w:left="65"/>
              <w:jc w:val="center"/>
            </w:pPr>
          </w:p>
          <w:p w14:paraId="06B5CD7D" w14:textId="77777777" w:rsidR="00B10B2A" w:rsidRDefault="00B10B2A" w:rsidP="00B06A40">
            <w:pPr>
              <w:ind w:left="65"/>
              <w:jc w:val="center"/>
            </w:pPr>
          </w:p>
          <w:p w14:paraId="0798DA8D" w14:textId="77777777" w:rsidR="00B10B2A" w:rsidRDefault="00B10B2A" w:rsidP="00B06A40">
            <w:pPr>
              <w:ind w:left="65"/>
              <w:jc w:val="center"/>
            </w:pPr>
          </w:p>
          <w:p w14:paraId="0E051829" w14:textId="77777777" w:rsidR="00B10B2A" w:rsidRDefault="00B10B2A" w:rsidP="00B06A40">
            <w:pPr>
              <w:ind w:left="65"/>
              <w:jc w:val="center"/>
            </w:pPr>
          </w:p>
          <w:p w14:paraId="747C9490" w14:textId="77777777" w:rsidR="00B10B2A" w:rsidRDefault="00B10B2A" w:rsidP="00B06A40">
            <w:pPr>
              <w:ind w:left="65"/>
              <w:jc w:val="center"/>
            </w:pPr>
          </w:p>
          <w:p w14:paraId="6A5C56F0" w14:textId="77777777" w:rsidR="00B10B2A" w:rsidRDefault="00B10B2A" w:rsidP="00B06A40">
            <w:pPr>
              <w:ind w:left="65"/>
              <w:jc w:val="center"/>
            </w:pPr>
          </w:p>
          <w:p w14:paraId="7380347D" w14:textId="77777777" w:rsidR="00B10B2A" w:rsidRDefault="00B10B2A" w:rsidP="00B06A40">
            <w:pPr>
              <w:ind w:left="65"/>
              <w:jc w:val="center"/>
            </w:pPr>
          </w:p>
          <w:p w14:paraId="186A908E" w14:textId="77777777" w:rsidR="00B10B2A" w:rsidRDefault="00B10B2A" w:rsidP="00B06A40">
            <w:pPr>
              <w:ind w:left="65"/>
              <w:jc w:val="center"/>
            </w:pPr>
          </w:p>
          <w:p w14:paraId="4B3855DA" w14:textId="77777777" w:rsidR="00B10B2A" w:rsidRDefault="00B10B2A" w:rsidP="00B06A40">
            <w:pPr>
              <w:ind w:left="65"/>
              <w:jc w:val="center"/>
            </w:pPr>
          </w:p>
          <w:p w14:paraId="4B4263DC" w14:textId="77777777" w:rsidR="00B10B2A" w:rsidRDefault="00B10B2A" w:rsidP="00B06A40">
            <w:pPr>
              <w:ind w:left="65"/>
              <w:jc w:val="center"/>
            </w:pPr>
          </w:p>
          <w:p w14:paraId="4CFDDCB1" w14:textId="77777777" w:rsidR="00B10B2A" w:rsidRDefault="00B10B2A" w:rsidP="00B06A40">
            <w:pPr>
              <w:ind w:left="65"/>
              <w:jc w:val="center"/>
            </w:pPr>
          </w:p>
          <w:p w14:paraId="4208501C" w14:textId="77777777" w:rsidR="00B10B2A" w:rsidRDefault="00B10B2A" w:rsidP="00B06A40">
            <w:pPr>
              <w:ind w:left="65"/>
              <w:jc w:val="center"/>
            </w:pPr>
          </w:p>
          <w:p w14:paraId="53F62BE5" w14:textId="77777777" w:rsidR="00B10B2A" w:rsidRDefault="00B10B2A" w:rsidP="00B06A40">
            <w:pPr>
              <w:ind w:left="65"/>
              <w:jc w:val="center"/>
            </w:pPr>
          </w:p>
          <w:p w14:paraId="25FED559" w14:textId="77777777" w:rsidR="00B10B2A" w:rsidRDefault="00B10B2A" w:rsidP="00B06A40">
            <w:pPr>
              <w:ind w:left="65"/>
              <w:jc w:val="center"/>
            </w:pPr>
          </w:p>
          <w:p w14:paraId="3C4B730D" w14:textId="77777777" w:rsidR="00B10B2A" w:rsidRDefault="00B10B2A" w:rsidP="00B06A40">
            <w:pPr>
              <w:ind w:left="65"/>
              <w:jc w:val="center"/>
            </w:pPr>
          </w:p>
          <w:p w14:paraId="35898AA5" w14:textId="77777777" w:rsidR="00B10B2A" w:rsidRDefault="00B10B2A" w:rsidP="00B06A40">
            <w:pPr>
              <w:ind w:left="65"/>
              <w:jc w:val="center"/>
            </w:pPr>
          </w:p>
          <w:p w14:paraId="7898BC5F" w14:textId="77777777" w:rsidR="00B10B2A" w:rsidRDefault="00B10B2A" w:rsidP="00B06A40">
            <w:pPr>
              <w:ind w:left="65"/>
              <w:jc w:val="center"/>
            </w:pPr>
          </w:p>
          <w:p w14:paraId="167F7FF3" w14:textId="77777777" w:rsidR="00B10B2A" w:rsidRDefault="00B10B2A" w:rsidP="00B06A40">
            <w:pPr>
              <w:ind w:left="65"/>
              <w:jc w:val="center"/>
            </w:pPr>
          </w:p>
          <w:p w14:paraId="345C556F" w14:textId="77777777" w:rsidR="00B10B2A" w:rsidRDefault="00B10B2A" w:rsidP="00B06A40">
            <w:pPr>
              <w:ind w:left="65"/>
              <w:jc w:val="center"/>
            </w:pPr>
          </w:p>
          <w:p w14:paraId="55465A17" w14:textId="77777777" w:rsidR="00B10B2A" w:rsidRDefault="00B10B2A" w:rsidP="00B06A40">
            <w:pPr>
              <w:ind w:left="65"/>
              <w:jc w:val="center"/>
            </w:pPr>
          </w:p>
          <w:p w14:paraId="06FB0B3C" w14:textId="77777777" w:rsidR="00B10B2A" w:rsidRDefault="00B10B2A" w:rsidP="00B06A40">
            <w:pPr>
              <w:ind w:left="65"/>
              <w:jc w:val="center"/>
            </w:pPr>
          </w:p>
          <w:p w14:paraId="67EABF55" w14:textId="77777777" w:rsidR="00B10B2A" w:rsidRDefault="00B10B2A" w:rsidP="00B06A40">
            <w:pPr>
              <w:ind w:left="65"/>
              <w:jc w:val="center"/>
            </w:pPr>
          </w:p>
          <w:p w14:paraId="33BB051C" w14:textId="77777777" w:rsidR="00B10B2A" w:rsidRDefault="00B10B2A" w:rsidP="00B06A40">
            <w:pPr>
              <w:ind w:left="65"/>
              <w:jc w:val="center"/>
            </w:pPr>
          </w:p>
          <w:p w14:paraId="28BFC5DC" w14:textId="77777777" w:rsidR="00B10B2A" w:rsidRDefault="00B10B2A" w:rsidP="00B06A40">
            <w:pPr>
              <w:ind w:left="65"/>
              <w:jc w:val="center"/>
            </w:pPr>
          </w:p>
          <w:p w14:paraId="601655B9" w14:textId="77777777" w:rsidR="00B10B2A" w:rsidRDefault="00B10B2A" w:rsidP="00B06A40">
            <w:pPr>
              <w:ind w:left="65"/>
              <w:jc w:val="center"/>
            </w:pPr>
          </w:p>
        </w:tc>
        <w:tc>
          <w:tcPr>
            <w:tcW w:w="12190" w:type="dxa"/>
            <w:tcBorders>
              <w:top w:val="single" w:sz="4" w:space="0" w:color="BFBFBF"/>
              <w:left w:val="single" w:sz="4" w:space="0" w:color="BFBFBF"/>
              <w:bottom w:val="single" w:sz="4" w:space="0" w:color="BFBFBF"/>
              <w:right w:val="single" w:sz="4" w:space="0" w:color="BFBFBF"/>
            </w:tcBorders>
            <w:shd w:val="clear" w:color="auto" w:fill="F2F2F2"/>
          </w:tcPr>
          <w:p w14:paraId="0C327434" w14:textId="77777777" w:rsidR="00B10B2A" w:rsidRPr="00560850" w:rsidRDefault="00B10B2A" w:rsidP="00452C62">
            <w:pPr>
              <w:ind w:right="61"/>
              <w:jc w:val="both"/>
              <w:rPr>
                <w:rFonts w:ascii="Century Gothic" w:eastAsiaTheme="minorEastAsia" w:hAnsi="Century Gothic" w:cs="Century Gothic"/>
                <w:sz w:val="20"/>
                <w:szCs w:val="20"/>
              </w:rPr>
            </w:pPr>
            <w:r w:rsidRPr="00560850">
              <w:rPr>
                <w:rFonts w:ascii="Century Gothic" w:eastAsiaTheme="minorEastAsia" w:hAnsi="Century Gothic" w:cs="Century Gothic"/>
                <w:b/>
                <w:bCs/>
                <w:sz w:val="20"/>
                <w:szCs w:val="20"/>
              </w:rPr>
              <w:t>Artículo 57.-</w:t>
            </w:r>
            <w:r w:rsidRPr="00560850">
              <w:rPr>
                <w:rFonts w:ascii="Century Gothic" w:eastAsiaTheme="minorEastAsia" w:hAnsi="Century Gothic" w:cs="Century Gothic"/>
                <w:sz w:val="20"/>
                <w:szCs w:val="20"/>
              </w:rPr>
              <w:t xml:space="preserve"> La cancelación o pérdida del registro traerá como consecuencia que el partido político tenga personalidad jurídica limitada para cumplir con las obligaciones que deriven del proceso de liquidación, exclusivamente. Los dirigentes y candidatos deberán cumplir las obligaciones que en materia de fiscalización establece la normativa aplicable, hasta la conclusión de los procedimientos correspondientes y de liquidación de su patrimonio. </w:t>
            </w:r>
          </w:p>
          <w:p w14:paraId="06A0B3D4" w14:textId="77777777" w:rsidR="00B10B2A" w:rsidRPr="00560850" w:rsidRDefault="00B10B2A" w:rsidP="00452C62">
            <w:pPr>
              <w:ind w:right="61"/>
              <w:jc w:val="both"/>
              <w:rPr>
                <w:rFonts w:ascii="Century Gothic" w:eastAsiaTheme="minorEastAsia" w:hAnsi="Century Gothic" w:cs="Century Gothic"/>
                <w:sz w:val="20"/>
                <w:szCs w:val="20"/>
              </w:rPr>
            </w:pPr>
          </w:p>
          <w:p w14:paraId="5E1F83B0" w14:textId="77777777" w:rsidR="00B10B2A" w:rsidRPr="00560850" w:rsidRDefault="00B10B2A" w:rsidP="00452C62">
            <w:pPr>
              <w:ind w:right="61"/>
              <w:jc w:val="both"/>
              <w:rPr>
                <w:rFonts w:ascii="Century Gothic" w:eastAsiaTheme="minorEastAsia" w:hAnsi="Century Gothic" w:cs="Century Gothic"/>
                <w:sz w:val="20"/>
                <w:szCs w:val="20"/>
              </w:rPr>
            </w:pPr>
            <w:r w:rsidRPr="00560850">
              <w:rPr>
                <w:rFonts w:ascii="Century Gothic" w:eastAsiaTheme="minorEastAsia" w:hAnsi="Century Gothic" w:cs="Century Gothic"/>
                <w:b/>
                <w:bCs/>
                <w:sz w:val="20"/>
                <w:szCs w:val="20"/>
              </w:rPr>
              <w:t>Artículo 69.-</w:t>
            </w:r>
            <w:r w:rsidRPr="00560850">
              <w:rPr>
                <w:rFonts w:ascii="Century Gothic" w:eastAsiaTheme="minorEastAsia" w:hAnsi="Century Gothic" w:cs="Century Gothic"/>
                <w:sz w:val="20"/>
                <w:szCs w:val="20"/>
              </w:rPr>
              <w:t xml:space="preserve"> Los partidos políticos o coaliciones locales deberán presentar ante la Unidad Técnica de Fiscalización del Instituto Nacional Electoral, los informes del origen y monto de los ingresos que reciban por cualquier modalidad de financiamiento, así como su aplicación y empleo, en términos de la Ley General de Partidos Políticos.</w:t>
            </w:r>
          </w:p>
          <w:p w14:paraId="7A0BCF33" w14:textId="77777777" w:rsidR="00B10B2A" w:rsidRPr="00560850" w:rsidRDefault="00B10B2A" w:rsidP="00452C62">
            <w:pPr>
              <w:ind w:right="61"/>
              <w:jc w:val="both"/>
              <w:rPr>
                <w:rFonts w:ascii="Century Gothic" w:eastAsiaTheme="minorEastAsia" w:hAnsi="Century Gothic" w:cs="Century Gothic"/>
                <w:sz w:val="20"/>
                <w:szCs w:val="20"/>
              </w:rPr>
            </w:pPr>
          </w:p>
          <w:p w14:paraId="3218D6AF" w14:textId="77777777" w:rsidR="00B10B2A" w:rsidRPr="00560850" w:rsidRDefault="00B10B2A" w:rsidP="00452C62">
            <w:pPr>
              <w:ind w:right="61"/>
              <w:jc w:val="both"/>
              <w:rPr>
                <w:rFonts w:ascii="Century Gothic" w:eastAsiaTheme="minorEastAsia" w:hAnsi="Century Gothic" w:cs="Century Gothic"/>
                <w:sz w:val="20"/>
                <w:szCs w:val="20"/>
              </w:rPr>
            </w:pPr>
            <w:r w:rsidRPr="00560850">
              <w:rPr>
                <w:rFonts w:ascii="Century Gothic" w:eastAsiaTheme="minorEastAsia" w:hAnsi="Century Gothic" w:cs="Century Gothic"/>
                <w:sz w:val="20"/>
                <w:szCs w:val="20"/>
              </w:rPr>
              <w:t xml:space="preserve">En caso de que el Instituto Nacional Electoral delegue las funciones de fiscalización al Instituto, los partidos políticos o coaliciones deberán presentar los informes, a que se refiere el párrafo anterior, ante la Unidad Técnica de Fiscalización de la Comisión de Fiscalización del Instituto. </w:t>
            </w:r>
          </w:p>
          <w:p w14:paraId="7DF0B47D" w14:textId="77777777" w:rsidR="00B10B2A" w:rsidRPr="00560850" w:rsidRDefault="00B10B2A" w:rsidP="00452C62">
            <w:pPr>
              <w:ind w:right="61"/>
              <w:jc w:val="both"/>
              <w:rPr>
                <w:rFonts w:ascii="Century Gothic" w:eastAsiaTheme="minorEastAsia" w:hAnsi="Century Gothic" w:cs="Century Gothic"/>
                <w:sz w:val="20"/>
                <w:szCs w:val="20"/>
              </w:rPr>
            </w:pPr>
          </w:p>
          <w:p w14:paraId="1649131A" w14:textId="77777777" w:rsidR="00B10B2A" w:rsidRPr="00452C62" w:rsidRDefault="00B10B2A" w:rsidP="00452C62">
            <w:pPr>
              <w:pStyle w:val="Estilo"/>
              <w:rPr>
                <w:rFonts w:ascii="Century Gothic" w:eastAsiaTheme="minorEastAsia" w:hAnsi="Century Gothic" w:cs="Century Gothic"/>
                <w:color w:val="000000"/>
                <w:sz w:val="20"/>
                <w:szCs w:val="20"/>
                <w:lang w:eastAsia="es-MX"/>
              </w:rPr>
            </w:pPr>
            <w:r w:rsidRPr="00B10B2A">
              <w:rPr>
                <w:rFonts w:ascii="Century Gothic" w:eastAsiaTheme="minorEastAsia" w:hAnsi="Century Gothic" w:cs="Century Gothic"/>
                <w:b/>
                <w:bCs/>
                <w:color w:val="000000"/>
                <w:sz w:val="20"/>
                <w:szCs w:val="20"/>
                <w:lang w:eastAsia="es-MX"/>
              </w:rPr>
              <w:t>Artículo 132.</w:t>
            </w:r>
            <w:r w:rsidRPr="00B10B2A">
              <w:rPr>
                <w:rFonts w:ascii="Century Gothic" w:eastAsiaTheme="minorEastAsia" w:hAnsi="Century Gothic" w:cs="Century Gothic"/>
                <w:color w:val="000000"/>
                <w:sz w:val="20"/>
                <w:szCs w:val="20"/>
                <w:lang w:eastAsia="es-MX"/>
              </w:rPr>
              <w:t xml:space="preserve"> Son obligaciones de </w:t>
            </w:r>
            <w:proofErr w:type="gramStart"/>
            <w:r w:rsidRPr="00B10B2A">
              <w:rPr>
                <w:rFonts w:ascii="Century Gothic" w:eastAsiaTheme="minorEastAsia" w:hAnsi="Century Gothic" w:cs="Century Gothic"/>
                <w:color w:val="000000"/>
                <w:sz w:val="20"/>
                <w:szCs w:val="20"/>
                <w:lang w:eastAsia="es-MX"/>
              </w:rPr>
              <w:t>las candidatas y los candidatos</w:t>
            </w:r>
            <w:proofErr w:type="gramEnd"/>
            <w:r w:rsidRPr="00B10B2A">
              <w:rPr>
                <w:rFonts w:ascii="Century Gothic" w:eastAsiaTheme="minorEastAsia" w:hAnsi="Century Gothic" w:cs="Century Gothic"/>
                <w:color w:val="000000"/>
                <w:sz w:val="20"/>
                <w:szCs w:val="20"/>
                <w:lang w:eastAsia="es-MX"/>
              </w:rPr>
              <w:t xml:space="preserve"> independientes registrados:</w:t>
            </w:r>
          </w:p>
          <w:p w14:paraId="0C6E914F" w14:textId="77777777" w:rsidR="00B10B2A" w:rsidRPr="00560850" w:rsidRDefault="00B10B2A" w:rsidP="00452C62">
            <w:pPr>
              <w:ind w:right="61"/>
              <w:jc w:val="both"/>
              <w:rPr>
                <w:rFonts w:ascii="Century Gothic" w:eastAsiaTheme="minorEastAsia" w:hAnsi="Century Gothic" w:cs="Century Gothic"/>
                <w:sz w:val="20"/>
                <w:szCs w:val="20"/>
              </w:rPr>
            </w:pPr>
            <w:r w:rsidRPr="00560850">
              <w:rPr>
                <w:rFonts w:ascii="Century Gothic" w:eastAsiaTheme="minorEastAsia" w:hAnsi="Century Gothic" w:cs="Century Gothic"/>
                <w:sz w:val="20"/>
                <w:szCs w:val="20"/>
              </w:rPr>
              <w:t xml:space="preserve">[…] </w:t>
            </w:r>
          </w:p>
          <w:p w14:paraId="08C93468" w14:textId="77777777" w:rsidR="00B10B2A" w:rsidRPr="00560850" w:rsidRDefault="00B10B2A" w:rsidP="00452C62">
            <w:pPr>
              <w:ind w:right="61"/>
              <w:jc w:val="both"/>
              <w:rPr>
                <w:rFonts w:ascii="Century Gothic" w:eastAsiaTheme="minorEastAsia" w:hAnsi="Century Gothic" w:cs="Century Gothic"/>
                <w:sz w:val="20"/>
                <w:szCs w:val="20"/>
              </w:rPr>
            </w:pPr>
          </w:p>
          <w:p w14:paraId="29EC2FCE" w14:textId="77777777" w:rsidR="00B10B2A" w:rsidRPr="00560850" w:rsidRDefault="00B10B2A" w:rsidP="00452C62">
            <w:pPr>
              <w:ind w:right="61"/>
              <w:jc w:val="both"/>
              <w:rPr>
                <w:rFonts w:ascii="Century Gothic" w:eastAsiaTheme="minorEastAsia" w:hAnsi="Century Gothic" w:cs="Century Gothic"/>
                <w:sz w:val="20"/>
                <w:szCs w:val="20"/>
              </w:rPr>
            </w:pPr>
            <w:r w:rsidRPr="00560850">
              <w:rPr>
                <w:rFonts w:ascii="Century Gothic" w:eastAsiaTheme="minorEastAsia" w:hAnsi="Century Gothic" w:cs="Century Gothic"/>
                <w:sz w:val="20"/>
                <w:szCs w:val="20"/>
              </w:rPr>
              <w:t xml:space="preserve">XV. Ser responsable solidario, junto con el encargado de la administración de sus recursos financieros, dentro de los procedimientos de fiscalización de los recursos correspondientes. </w:t>
            </w:r>
          </w:p>
          <w:p w14:paraId="64F2CA40" w14:textId="77777777" w:rsidR="00B10B2A" w:rsidRDefault="00B10B2A" w:rsidP="00452C62">
            <w:pPr>
              <w:ind w:right="61"/>
              <w:jc w:val="both"/>
              <w:rPr>
                <w:rFonts w:ascii="Century Gothic" w:eastAsiaTheme="minorEastAsia" w:hAnsi="Century Gothic" w:cs="Century Gothic"/>
                <w:sz w:val="20"/>
                <w:szCs w:val="20"/>
              </w:rPr>
            </w:pPr>
            <w:r w:rsidRPr="00560850">
              <w:rPr>
                <w:rFonts w:ascii="Century Gothic" w:eastAsiaTheme="minorEastAsia" w:hAnsi="Century Gothic" w:cs="Century Gothic"/>
                <w:sz w:val="20"/>
                <w:szCs w:val="20"/>
              </w:rPr>
              <w:t xml:space="preserve">… </w:t>
            </w:r>
          </w:p>
          <w:p w14:paraId="5145DFFA" w14:textId="77777777" w:rsidR="00B10B2A" w:rsidRPr="00560850" w:rsidRDefault="00B10B2A" w:rsidP="00452C62">
            <w:pPr>
              <w:ind w:right="61"/>
              <w:jc w:val="both"/>
              <w:rPr>
                <w:rFonts w:ascii="Century Gothic" w:eastAsiaTheme="minorEastAsia" w:hAnsi="Century Gothic" w:cs="Century Gothic"/>
                <w:b/>
                <w:bCs/>
                <w:sz w:val="20"/>
                <w:szCs w:val="20"/>
              </w:rPr>
            </w:pPr>
            <w:r w:rsidRPr="00560850">
              <w:rPr>
                <w:rFonts w:ascii="Century Gothic" w:eastAsiaTheme="minorEastAsia" w:hAnsi="Century Gothic" w:cs="Century Gothic"/>
                <w:b/>
                <w:bCs/>
                <w:sz w:val="20"/>
                <w:szCs w:val="20"/>
              </w:rPr>
              <w:t xml:space="preserve">Artículo 142.- </w:t>
            </w:r>
          </w:p>
          <w:p w14:paraId="00AE54CA" w14:textId="77777777" w:rsidR="00B10B2A" w:rsidRPr="00560850" w:rsidRDefault="00B10B2A" w:rsidP="00452C62">
            <w:pPr>
              <w:ind w:right="61"/>
              <w:jc w:val="both"/>
              <w:rPr>
                <w:rFonts w:ascii="Century Gothic" w:eastAsiaTheme="minorEastAsia" w:hAnsi="Century Gothic" w:cs="Century Gothic"/>
                <w:sz w:val="20"/>
                <w:szCs w:val="20"/>
              </w:rPr>
            </w:pPr>
            <w:r w:rsidRPr="00560850">
              <w:rPr>
                <w:rFonts w:ascii="Century Gothic" w:eastAsiaTheme="minorEastAsia" w:hAnsi="Century Gothic" w:cs="Century Gothic"/>
                <w:sz w:val="20"/>
                <w:szCs w:val="20"/>
              </w:rPr>
              <w:t xml:space="preserve">[…] </w:t>
            </w:r>
          </w:p>
          <w:p w14:paraId="3AF76A21" w14:textId="77777777" w:rsidR="00B10B2A" w:rsidRPr="00560850" w:rsidRDefault="00B10B2A" w:rsidP="00452C62">
            <w:pPr>
              <w:ind w:right="61"/>
              <w:jc w:val="both"/>
              <w:rPr>
                <w:rFonts w:ascii="Century Gothic" w:eastAsiaTheme="minorEastAsia" w:hAnsi="Century Gothic" w:cs="Century Gothic"/>
                <w:sz w:val="20"/>
                <w:szCs w:val="20"/>
              </w:rPr>
            </w:pPr>
          </w:p>
          <w:p w14:paraId="40AF35ED" w14:textId="77777777" w:rsidR="00B10B2A" w:rsidRDefault="00B10B2A" w:rsidP="00452C62">
            <w:pPr>
              <w:ind w:right="61"/>
              <w:jc w:val="both"/>
              <w:rPr>
                <w:rFonts w:ascii="Century Gothic" w:eastAsiaTheme="minorEastAsia" w:hAnsi="Century Gothic" w:cs="Century Gothic"/>
                <w:sz w:val="20"/>
                <w:szCs w:val="20"/>
              </w:rPr>
            </w:pPr>
            <w:r w:rsidRPr="00560850">
              <w:rPr>
                <w:rFonts w:ascii="Century Gothic" w:eastAsiaTheme="minorEastAsia" w:hAnsi="Century Gothic" w:cs="Century Gothic"/>
                <w:sz w:val="20"/>
                <w:szCs w:val="20"/>
              </w:rPr>
              <w:t xml:space="preserve">Los comprobantes que amparen los egresos que realicen los candidatos independientes deberán ser expedidos a su nombre y constar en original, como soporte a los informes financieros de las campañas electorales, los cuales estarán a disposición de la Unidad de Fiscalización de la Comisión de Fiscalización del Instituto Nacional Electoral para su revisión, de conformidad con lo dispuesto en este Código. Dicha documentación deberá cumplir con los requisitos que exigen las disposiciones fiscales aplicables, así como las establecidas por el Reglamento de Fiscalización de la unidad referida. </w:t>
            </w:r>
          </w:p>
          <w:p w14:paraId="1CB4A469" w14:textId="77777777" w:rsidR="00B10B2A" w:rsidRPr="00560850" w:rsidRDefault="00B10B2A" w:rsidP="00452C62">
            <w:pPr>
              <w:ind w:right="61"/>
              <w:jc w:val="both"/>
              <w:rPr>
                <w:rFonts w:ascii="Century Gothic" w:eastAsiaTheme="minorEastAsia" w:hAnsi="Century Gothic" w:cs="Century Gothic"/>
                <w:sz w:val="20"/>
                <w:szCs w:val="20"/>
              </w:rPr>
            </w:pPr>
          </w:p>
          <w:p w14:paraId="5914056B" w14:textId="77777777" w:rsidR="00B10B2A" w:rsidRDefault="00B10B2A" w:rsidP="00452C62">
            <w:pPr>
              <w:pStyle w:val="Default"/>
              <w:jc w:val="both"/>
              <w:rPr>
                <w:sz w:val="20"/>
                <w:szCs w:val="20"/>
              </w:rPr>
            </w:pPr>
            <w:r w:rsidRPr="00560850">
              <w:rPr>
                <w:sz w:val="20"/>
                <w:szCs w:val="20"/>
              </w:rPr>
              <w:t>[…]</w:t>
            </w:r>
          </w:p>
          <w:p w14:paraId="7020B954" w14:textId="77777777" w:rsidR="00B10B2A" w:rsidRPr="00560850" w:rsidRDefault="00B10B2A" w:rsidP="00452C62">
            <w:pPr>
              <w:pStyle w:val="Default"/>
              <w:jc w:val="both"/>
              <w:rPr>
                <w:sz w:val="20"/>
                <w:szCs w:val="20"/>
              </w:rPr>
            </w:pPr>
            <w:r w:rsidRPr="00560850">
              <w:rPr>
                <w:sz w:val="20"/>
                <w:szCs w:val="20"/>
              </w:rPr>
              <w:t xml:space="preserve"> </w:t>
            </w:r>
          </w:p>
          <w:p w14:paraId="3272B517" w14:textId="77777777" w:rsidR="00B10B2A" w:rsidRDefault="00B10B2A" w:rsidP="00452C62">
            <w:pPr>
              <w:pStyle w:val="Default"/>
              <w:jc w:val="both"/>
              <w:rPr>
                <w:sz w:val="20"/>
                <w:szCs w:val="20"/>
              </w:rPr>
            </w:pPr>
            <w:r w:rsidRPr="00560850">
              <w:rPr>
                <w:b/>
                <w:bCs/>
                <w:sz w:val="20"/>
                <w:szCs w:val="20"/>
              </w:rPr>
              <w:lastRenderedPageBreak/>
              <w:t>Artículo 160.-</w:t>
            </w:r>
            <w:r w:rsidRPr="00560850">
              <w:rPr>
                <w:sz w:val="20"/>
                <w:szCs w:val="20"/>
              </w:rPr>
              <w:t xml:space="preserve"> La revisión de los informes que los aspirantes presenten sobre el origen y destino de sus recursos y de actos para el apoyo ciudadano según corresponda, así como la práctica de auditorías sobre el manejo de sus recursos y su situación contable y financiera estará a cargo de la Unidad de Fiscalización del Instituto Nacional Electoral, en los términos que establezca la Ley General de Instituciones y Procedimientos Electorales. </w:t>
            </w:r>
          </w:p>
          <w:p w14:paraId="759A0AA5" w14:textId="77777777" w:rsidR="00B10B2A" w:rsidRPr="00560850" w:rsidRDefault="00B10B2A" w:rsidP="00452C62">
            <w:pPr>
              <w:pStyle w:val="Default"/>
              <w:jc w:val="both"/>
              <w:rPr>
                <w:sz w:val="20"/>
                <w:szCs w:val="20"/>
              </w:rPr>
            </w:pPr>
          </w:p>
          <w:p w14:paraId="31974D3C" w14:textId="77777777" w:rsidR="00B10B2A" w:rsidRDefault="00B10B2A" w:rsidP="00452C62">
            <w:pPr>
              <w:pStyle w:val="Default"/>
              <w:jc w:val="both"/>
              <w:rPr>
                <w:sz w:val="20"/>
                <w:szCs w:val="20"/>
              </w:rPr>
            </w:pPr>
            <w:r w:rsidRPr="00560850">
              <w:rPr>
                <w:b/>
                <w:bCs/>
                <w:sz w:val="20"/>
                <w:szCs w:val="20"/>
              </w:rPr>
              <w:t>Artículo 204.-</w:t>
            </w:r>
            <w:r w:rsidRPr="00560850">
              <w:rPr>
                <w:sz w:val="20"/>
                <w:szCs w:val="20"/>
              </w:rPr>
              <w:t xml:space="preserve"> La Unidad Técnica de Fiscalización de la Comisión de Fiscalización del Instituto es el órgano que tiene a su cargo la coordinación con el Instituto Nacional Electoral en esta materia; en caso de delegación, la recepción y revisión integral de los informes que presenten los partidos políticos respecto del origen, monto, destino y aplicación de los recursos que reciban por cualquier tipo de financiamiento, así como de cualquier otra facultad que sea otorgada por el Consejo General del Instituto o el Instituto Nacional Electoral. </w:t>
            </w:r>
          </w:p>
          <w:p w14:paraId="147AC2DA" w14:textId="77777777" w:rsidR="00B10B2A" w:rsidRDefault="00B10B2A" w:rsidP="00452C62">
            <w:pPr>
              <w:pStyle w:val="Default"/>
              <w:jc w:val="both"/>
              <w:rPr>
                <w:sz w:val="20"/>
                <w:szCs w:val="20"/>
              </w:rPr>
            </w:pPr>
          </w:p>
          <w:p w14:paraId="4491E6AF" w14:textId="77777777" w:rsidR="00B10B2A" w:rsidRDefault="00B10B2A" w:rsidP="00452C62">
            <w:pPr>
              <w:pStyle w:val="Default"/>
              <w:jc w:val="both"/>
              <w:rPr>
                <w:sz w:val="20"/>
                <w:szCs w:val="20"/>
              </w:rPr>
            </w:pPr>
            <w:r w:rsidRPr="00560850">
              <w:rPr>
                <w:sz w:val="20"/>
                <w:szCs w:val="20"/>
              </w:rPr>
              <w:t xml:space="preserve">El titular de la Unidad Técnica de Fiscalización de la Comisión de Fiscalización fungirá como </w:t>
            </w:r>
            <w:proofErr w:type="gramStart"/>
            <w:r w:rsidRPr="00560850">
              <w:rPr>
                <w:sz w:val="20"/>
                <w:szCs w:val="20"/>
              </w:rPr>
              <w:t>Secretario Técnico</w:t>
            </w:r>
            <w:proofErr w:type="gramEnd"/>
            <w:r w:rsidRPr="00560850">
              <w:rPr>
                <w:sz w:val="20"/>
                <w:szCs w:val="20"/>
              </w:rPr>
              <w:t xml:space="preserve"> de dicha Comisión, y podrá ser suplido en dichas funciones</w:t>
            </w:r>
            <w:r>
              <w:rPr>
                <w:sz w:val="20"/>
                <w:szCs w:val="20"/>
              </w:rPr>
              <w:t xml:space="preserve"> por el servidor público de nivel jerárquico inmediato inferior. </w:t>
            </w:r>
          </w:p>
          <w:p w14:paraId="2C4B97F9" w14:textId="77777777" w:rsidR="00B10B2A" w:rsidRDefault="00B10B2A" w:rsidP="00452C62">
            <w:pPr>
              <w:pStyle w:val="Default"/>
              <w:jc w:val="both"/>
              <w:rPr>
                <w:sz w:val="20"/>
                <w:szCs w:val="20"/>
              </w:rPr>
            </w:pPr>
          </w:p>
          <w:p w14:paraId="6B120179" w14:textId="77777777" w:rsidR="00B10B2A" w:rsidRDefault="00B10B2A" w:rsidP="00452C62">
            <w:pPr>
              <w:pStyle w:val="Default"/>
              <w:jc w:val="both"/>
              <w:rPr>
                <w:sz w:val="20"/>
                <w:szCs w:val="20"/>
              </w:rPr>
            </w:pPr>
            <w:r>
              <w:rPr>
                <w:sz w:val="20"/>
                <w:szCs w:val="20"/>
              </w:rPr>
              <w:t xml:space="preserve">El titular de la Unidad Técnica de Fiscalización será designado por el Consejo General, deberá reunir los mismos requisitos que este Código establezca para los directores. Asimismo, deberá comprobar una experiencia mínima de nivel directivo de cinco años en materia de fiscalización. </w:t>
            </w:r>
          </w:p>
          <w:p w14:paraId="2CCF6CE1" w14:textId="77777777" w:rsidR="00B10B2A" w:rsidRDefault="00B10B2A" w:rsidP="00452C62">
            <w:pPr>
              <w:pStyle w:val="Default"/>
              <w:jc w:val="both"/>
              <w:rPr>
                <w:sz w:val="20"/>
                <w:szCs w:val="20"/>
              </w:rPr>
            </w:pPr>
          </w:p>
          <w:p w14:paraId="2C90B933" w14:textId="77777777" w:rsidR="00B10B2A" w:rsidRDefault="00B10B2A" w:rsidP="00452C62">
            <w:pPr>
              <w:pStyle w:val="Default"/>
              <w:jc w:val="both"/>
              <w:rPr>
                <w:sz w:val="20"/>
                <w:szCs w:val="20"/>
              </w:rPr>
            </w:pPr>
            <w:r>
              <w:rPr>
                <w:sz w:val="20"/>
                <w:szCs w:val="20"/>
              </w:rPr>
              <w:t xml:space="preserve">El personal de la Comisión de Fiscalización y la Unidad Técnica de Fiscalización de </w:t>
            </w:r>
            <w:proofErr w:type="gramStart"/>
            <w:r>
              <w:rPr>
                <w:sz w:val="20"/>
                <w:szCs w:val="20"/>
              </w:rPr>
              <w:t>la misma</w:t>
            </w:r>
            <w:proofErr w:type="gramEnd"/>
            <w:r>
              <w:rPr>
                <w:sz w:val="20"/>
                <w:szCs w:val="20"/>
              </w:rPr>
              <w:t xml:space="preserve">, están obligados a guardar reserva sobre el curso de las revisiones y auditorías en las que tenga participación o sobre las que disponga de información. </w:t>
            </w:r>
          </w:p>
          <w:p w14:paraId="471D9B9D" w14:textId="77777777" w:rsidR="00B10B2A" w:rsidRDefault="00B10B2A" w:rsidP="00452C62">
            <w:pPr>
              <w:pStyle w:val="Default"/>
              <w:jc w:val="both"/>
              <w:rPr>
                <w:sz w:val="20"/>
                <w:szCs w:val="20"/>
              </w:rPr>
            </w:pPr>
          </w:p>
          <w:p w14:paraId="55E7B7D1" w14:textId="77777777" w:rsidR="00B10B2A" w:rsidRPr="00560850" w:rsidRDefault="00B10B2A" w:rsidP="00452C62">
            <w:pPr>
              <w:ind w:right="61"/>
              <w:jc w:val="both"/>
              <w:rPr>
                <w:rFonts w:ascii="Century Gothic" w:eastAsiaTheme="minorEastAsia" w:hAnsi="Century Gothic" w:cs="Century Gothic"/>
                <w:sz w:val="20"/>
                <w:szCs w:val="20"/>
              </w:rPr>
            </w:pPr>
            <w:r w:rsidRPr="00560850">
              <w:rPr>
                <w:rFonts w:ascii="Century Gothic" w:eastAsiaTheme="minorEastAsia" w:hAnsi="Century Gothic" w:cs="Century Gothic"/>
                <w:sz w:val="20"/>
                <w:szCs w:val="20"/>
              </w:rPr>
              <w:t xml:space="preserve">La Unidad Técnica de Fiscalización tendrá las facultades siguientes: </w:t>
            </w:r>
          </w:p>
          <w:p w14:paraId="3583A857" w14:textId="77777777" w:rsidR="00B10B2A" w:rsidRDefault="00B10B2A" w:rsidP="00452C62">
            <w:pPr>
              <w:ind w:right="61"/>
              <w:jc w:val="both"/>
              <w:rPr>
                <w:rFonts w:ascii="Century Gothic" w:eastAsiaTheme="minorEastAsia" w:hAnsi="Century Gothic" w:cs="Century Gothic"/>
                <w:sz w:val="20"/>
                <w:szCs w:val="20"/>
              </w:rPr>
            </w:pPr>
          </w:p>
          <w:p w14:paraId="16DDDC29" w14:textId="77777777" w:rsidR="00B10B2A" w:rsidRDefault="00B10B2A" w:rsidP="00452C62">
            <w:pPr>
              <w:ind w:right="61"/>
              <w:jc w:val="both"/>
              <w:rPr>
                <w:rFonts w:ascii="Century Gothic" w:eastAsiaTheme="minorEastAsia" w:hAnsi="Century Gothic" w:cs="Century Gothic"/>
                <w:sz w:val="20"/>
                <w:szCs w:val="20"/>
              </w:rPr>
            </w:pPr>
            <w:r w:rsidRPr="00560850">
              <w:rPr>
                <w:rFonts w:ascii="Century Gothic" w:eastAsiaTheme="minorEastAsia" w:hAnsi="Century Gothic" w:cs="Century Gothic"/>
                <w:sz w:val="20"/>
                <w:szCs w:val="20"/>
              </w:rPr>
              <w:t xml:space="preserve">I. Auditar con plena independencia técnica la documentación soporte, así como la contabilidad que presenten los partidos políticos y en su caso, candidaturas independientes en cada uno de los informes que están obligados a presentar. </w:t>
            </w:r>
          </w:p>
          <w:p w14:paraId="5853E078" w14:textId="77777777" w:rsidR="00B10B2A" w:rsidRDefault="00B10B2A" w:rsidP="00452C62">
            <w:pPr>
              <w:ind w:right="61"/>
              <w:jc w:val="both"/>
              <w:rPr>
                <w:rFonts w:ascii="Century Gothic" w:eastAsiaTheme="minorEastAsia" w:hAnsi="Century Gothic" w:cs="Century Gothic"/>
                <w:sz w:val="20"/>
                <w:szCs w:val="20"/>
              </w:rPr>
            </w:pPr>
          </w:p>
          <w:p w14:paraId="24D731B0" w14:textId="77777777" w:rsidR="00B10B2A" w:rsidRDefault="00B10B2A" w:rsidP="00452C62">
            <w:pPr>
              <w:ind w:right="61"/>
              <w:jc w:val="both"/>
              <w:rPr>
                <w:rFonts w:ascii="Century Gothic" w:eastAsiaTheme="minorEastAsia" w:hAnsi="Century Gothic" w:cs="Century Gothic"/>
                <w:sz w:val="20"/>
                <w:szCs w:val="20"/>
              </w:rPr>
            </w:pPr>
            <w:r w:rsidRPr="00560850">
              <w:rPr>
                <w:rFonts w:ascii="Century Gothic" w:eastAsiaTheme="minorEastAsia" w:hAnsi="Century Gothic" w:cs="Century Gothic"/>
                <w:sz w:val="20"/>
                <w:szCs w:val="20"/>
              </w:rPr>
              <w:t>II. Recibir y revisar los informes trimestrales, anuales, de precampaña y campaña, de los partidos políticos y sus candidatos, dependiendo de la revisión que haya sido delegada.</w:t>
            </w:r>
          </w:p>
          <w:p w14:paraId="6E99FB76" w14:textId="77777777" w:rsidR="00B10B2A" w:rsidRDefault="00B10B2A" w:rsidP="00452C62">
            <w:pPr>
              <w:ind w:right="61"/>
              <w:jc w:val="both"/>
              <w:rPr>
                <w:rFonts w:ascii="Century Gothic" w:eastAsiaTheme="minorEastAsia" w:hAnsi="Century Gothic" w:cs="Century Gothic"/>
                <w:sz w:val="20"/>
                <w:szCs w:val="20"/>
              </w:rPr>
            </w:pPr>
          </w:p>
          <w:p w14:paraId="2450C57F" w14:textId="77777777" w:rsidR="00B10B2A" w:rsidRDefault="00B10B2A" w:rsidP="00452C62">
            <w:pPr>
              <w:ind w:right="61"/>
              <w:jc w:val="both"/>
              <w:rPr>
                <w:rFonts w:ascii="Century Gothic" w:eastAsiaTheme="minorEastAsia" w:hAnsi="Century Gothic" w:cs="Century Gothic"/>
                <w:sz w:val="20"/>
                <w:szCs w:val="20"/>
              </w:rPr>
            </w:pPr>
            <w:r w:rsidRPr="00560850">
              <w:rPr>
                <w:rFonts w:ascii="Century Gothic" w:eastAsiaTheme="minorEastAsia" w:hAnsi="Century Gothic" w:cs="Century Gothic"/>
                <w:sz w:val="20"/>
                <w:szCs w:val="20"/>
              </w:rPr>
              <w:t>III. Requerir información complementaria respecto de los diversos apartados de los informes de ingresos y egresos o documentación comprobatoria de cualquier otro aspecto vinculado a los mismos.</w:t>
            </w:r>
          </w:p>
          <w:p w14:paraId="49B554B4" w14:textId="77777777" w:rsidR="00B10B2A" w:rsidRDefault="00B10B2A" w:rsidP="00452C62">
            <w:pPr>
              <w:ind w:right="61"/>
              <w:jc w:val="both"/>
              <w:rPr>
                <w:rFonts w:ascii="Century Gothic" w:eastAsiaTheme="minorEastAsia" w:hAnsi="Century Gothic" w:cs="Century Gothic"/>
                <w:sz w:val="20"/>
                <w:szCs w:val="20"/>
              </w:rPr>
            </w:pPr>
          </w:p>
          <w:p w14:paraId="4C7F66BD" w14:textId="77777777" w:rsidR="00B10B2A" w:rsidRDefault="00B10B2A" w:rsidP="00452C62">
            <w:pPr>
              <w:ind w:right="61"/>
              <w:jc w:val="both"/>
              <w:rPr>
                <w:rFonts w:ascii="Century Gothic" w:eastAsiaTheme="minorEastAsia" w:hAnsi="Century Gothic" w:cs="Century Gothic"/>
                <w:sz w:val="20"/>
                <w:szCs w:val="20"/>
              </w:rPr>
            </w:pPr>
            <w:r w:rsidRPr="00560850">
              <w:rPr>
                <w:rFonts w:ascii="Century Gothic" w:eastAsiaTheme="minorEastAsia" w:hAnsi="Century Gothic" w:cs="Century Gothic"/>
                <w:sz w:val="20"/>
                <w:szCs w:val="20"/>
              </w:rPr>
              <w:lastRenderedPageBreak/>
              <w:t xml:space="preserve">IV. Proponer a la Comisión de Fiscalización del Instituto, la práctica, directa o a través de terceros, de auditorías a las finanzas de los partidos políticos. </w:t>
            </w:r>
          </w:p>
          <w:p w14:paraId="4E954956" w14:textId="77777777" w:rsidR="00B10B2A" w:rsidRDefault="00B10B2A" w:rsidP="00452C62">
            <w:pPr>
              <w:ind w:right="61"/>
              <w:jc w:val="both"/>
              <w:rPr>
                <w:rFonts w:ascii="Century Gothic" w:eastAsiaTheme="minorEastAsia" w:hAnsi="Century Gothic" w:cs="Century Gothic"/>
                <w:sz w:val="20"/>
                <w:szCs w:val="20"/>
              </w:rPr>
            </w:pPr>
          </w:p>
          <w:p w14:paraId="502B3891" w14:textId="77777777" w:rsidR="00B10B2A" w:rsidRDefault="00B10B2A" w:rsidP="00452C62">
            <w:pPr>
              <w:ind w:right="61"/>
              <w:jc w:val="both"/>
              <w:rPr>
                <w:rFonts w:ascii="Century Gothic" w:eastAsiaTheme="minorEastAsia" w:hAnsi="Century Gothic" w:cs="Century Gothic"/>
                <w:sz w:val="20"/>
                <w:szCs w:val="20"/>
              </w:rPr>
            </w:pPr>
            <w:r w:rsidRPr="00560850">
              <w:rPr>
                <w:rFonts w:ascii="Century Gothic" w:eastAsiaTheme="minorEastAsia" w:hAnsi="Century Gothic" w:cs="Century Gothic"/>
                <w:sz w:val="20"/>
                <w:szCs w:val="20"/>
              </w:rPr>
              <w:t>V. Presentar a la Comisión de Fiscalización los informes de resultados, dictámenes consolidados y en su caso los proyectos de resolución, sobre las auditorías y verificaciones practicadas a los partidos políticos. En los informes se especificarán, en su caso, las irregularidades en que hubiesen incurrido los partidos políticos en la administración de sus recursos, el incumplimiento de la obligación de informar sobre su aplicación y propondrán las sanciones que procedan conforme a la normatividad aplicable.</w:t>
            </w:r>
          </w:p>
          <w:p w14:paraId="2525E1BA" w14:textId="77777777" w:rsidR="00B10B2A" w:rsidRDefault="00B10B2A" w:rsidP="00452C62">
            <w:pPr>
              <w:ind w:right="61"/>
              <w:jc w:val="both"/>
              <w:rPr>
                <w:rFonts w:ascii="Century Gothic" w:eastAsiaTheme="minorEastAsia" w:hAnsi="Century Gothic" w:cs="Century Gothic"/>
                <w:sz w:val="20"/>
                <w:szCs w:val="20"/>
              </w:rPr>
            </w:pPr>
          </w:p>
          <w:p w14:paraId="39516840" w14:textId="77777777" w:rsidR="00B10B2A" w:rsidRDefault="00B10B2A" w:rsidP="00452C62">
            <w:pPr>
              <w:ind w:right="61"/>
              <w:jc w:val="both"/>
              <w:rPr>
                <w:rFonts w:ascii="Century Gothic" w:eastAsiaTheme="minorEastAsia" w:hAnsi="Century Gothic" w:cs="Century Gothic"/>
                <w:sz w:val="20"/>
                <w:szCs w:val="20"/>
              </w:rPr>
            </w:pPr>
            <w:r w:rsidRPr="00560850">
              <w:rPr>
                <w:rFonts w:ascii="Century Gothic" w:eastAsiaTheme="minorEastAsia" w:hAnsi="Century Gothic" w:cs="Century Gothic"/>
                <w:sz w:val="20"/>
                <w:szCs w:val="20"/>
              </w:rPr>
              <w:t xml:space="preserve">VI. Verificar las operaciones de los partidos políticos con los proveedores. </w:t>
            </w:r>
          </w:p>
          <w:p w14:paraId="03192443" w14:textId="77777777" w:rsidR="00B10B2A" w:rsidRDefault="00B10B2A" w:rsidP="00452C62">
            <w:pPr>
              <w:ind w:right="61"/>
              <w:jc w:val="both"/>
              <w:rPr>
                <w:rFonts w:ascii="Century Gothic" w:eastAsiaTheme="minorEastAsia" w:hAnsi="Century Gothic" w:cs="Century Gothic"/>
                <w:sz w:val="20"/>
                <w:szCs w:val="20"/>
              </w:rPr>
            </w:pPr>
          </w:p>
          <w:p w14:paraId="7690DCFA" w14:textId="77777777" w:rsidR="00B10B2A" w:rsidRDefault="00B10B2A" w:rsidP="00452C62">
            <w:pPr>
              <w:ind w:right="61"/>
              <w:jc w:val="both"/>
              <w:rPr>
                <w:rFonts w:ascii="Century Gothic" w:eastAsiaTheme="minorEastAsia" w:hAnsi="Century Gothic" w:cs="Century Gothic"/>
                <w:sz w:val="20"/>
                <w:szCs w:val="20"/>
              </w:rPr>
            </w:pPr>
            <w:r w:rsidRPr="00560850">
              <w:rPr>
                <w:rFonts w:ascii="Century Gothic" w:eastAsiaTheme="minorEastAsia" w:hAnsi="Century Gothic" w:cs="Century Gothic"/>
                <w:sz w:val="20"/>
                <w:szCs w:val="20"/>
              </w:rPr>
              <w:t xml:space="preserve">VII. Junto con la Comisión de Fiscalización, ser responsable de los procedimientos de liquidación de los partidos políticos que pierdan su registro. </w:t>
            </w:r>
          </w:p>
          <w:p w14:paraId="2E7A5D55" w14:textId="77777777" w:rsidR="00B10B2A" w:rsidRDefault="00B10B2A" w:rsidP="00452C62">
            <w:pPr>
              <w:ind w:right="61"/>
              <w:jc w:val="both"/>
              <w:rPr>
                <w:rFonts w:ascii="Century Gothic" w:eastAsiaTheme="minorEastAsia" w:hAnsi="Century Gothic" w:cs="Century Gothic"/>
                <w:sz w:val="20"/>
                <w:szCs w:val="20"/>
              </w:rPr>
            </w:pPr>
          </w:p>
          <w:p w14:paraId="275B4FAF" w14:textId="77777777" w:rsidR="00B10B2A" w:rsidRDefault="00B10B2A" w:rsidP="00452C62">
            <w:pPr>
              <w:ind w:right="61"/>
              <w:jc w:val="both"/>
              <w:rPr>
                <w:rFonts w:ascii="Century Gothic" w:eastAsiaTheme="minorEastAsia" w:hAnsi="Century Gothic" w:cs="Century Gothic"/>
                <w:sz w:val="20"/>
                <w:szCs w:val="20"/>
              </w:rPr>
            </w:pPr>
            <w:r w:rsidRPr="00560850">
              <w:rPr>
                <w:rFonts w:ascii="Century Gothic" w:eastAsiaTheme="minorEastAsia" w:hAnsi="Century Gothic" w:cs="Century Gothic"/>
                <w:sz w:val="20"/>
                <w:szCs w:val="20"/>
              </w:rPr>
              <w:t xml:space="preserve">VIII. En la etapa de campaña, en caso de que así opte el partido político, pagar a través de una de las chequeras que se </w:t>
            </w:r>
            <w:proofErr w:type="spellStart"/>
            <w:r w:rsidRPr="00560850">
              <w:rPr>
                <w:rFonts w:ascii="Century Gothic" w:eastAsiaTheme="minorEastAsia" w:hAnsi="Century Gothic" w:cs="Century Gothic"/>
                <w:sz w:val="20"/>
                <w:szCs w:val="20"/>
              </w:rPr>
              <w:t>aperturará</w:t>
            </w:r>
            <w:proofErr w:type="spellEnd"/>
            <w:r w:rsidRPr="00560850">
              <w:rPr>
                <w:rFonts w:ascii="Century Gothic" w:eastAsiaTheme="minorEastAsia" w:hAnsi="Century Gothic" w:cs="Century Gothic"/>
                <w:sz w:val="20"/>
                <w:szCs w:val="20"/>
              </w:rPr>
              <w:t xml:space="preserve"> por cada tipo de campaña las obligaciones que contraigan los partidos políticos, ya sea de la totalidad de gastos o bien únicamente por lo que hace a la propaganda en vía pública. </w:t>
            </w:r>
          </w:p>
          <w:p w14:paraId="750CC330" w14:textId="77777777" w:rsidR="00B10B2A" w:rsidRDefault="00B10B2A" w:rsidP="00452C62">
            <w:pPr>
              <w:ind w:right="61"/>
              <w:jc w:val="both"/>
              <w:rPr>
                <w:rFonts w:ascii="Century Gothic" w:eastAsiaTheme="minorEastAsia" w:hAnsi="Century Gothic" w:cs="Century Gothic"/>
                <w:sz w:val="20"/>
                <w:szCs w:val="20"/>
              </w:rPr>
            </w:pPr>
          </w:p>
          <w:p w14:paraId="05A907BF" w14:textId="77777777" w:rsidR="00B10B2A" w:rsidRDefault="00B10B2A" w:rsidP="00452C62">
            <w:pPr>
              <w:ind w:right="61"/>
              <w:jc w:val="both"/>
              <w:rPr>
                <w:rFonts w:ascii="Century Gothic" w:eastAsiaTheme="minorEastAsia" w:hAnsi="Century Gothic" w:cs="Century Gothic"/>
                <w:sz w:val="20"/>
                <w:szCs w:val="20"/>
              </w:rPr>
            </w:pPr>
            <w:r w:rsidRPr="00560850">
              <w:rPr>
                <w:rFonts w:ascii="Century Gothic" w:eastAsiaTheme="minorEastAsia" w:hAnsi="Century Gothic" w:cs="Century Gothic"/>
                <w:sz w:val="20"/>
                <w:szCs w:val="20"/>
              </w:rPr>
              <w:t xml:space="preserve">IX. Presentar a la Comisión de Fiscalización los proyectos de resolución respecto de las quejas y procedimientos en materia de fiscalización. </w:t>
            </w:r>
          </w:p>
          <w:p w14:paraId="409ACEE1" w14:textId="77777777" w:rsidR="00B10B2A" w:rsidRDefault="00B10B2A" w:rsidP="00452C62">
            <w:pPr>
              <w:ind w:right="61"/>
              <w:jc w:val="both"/>
              <w:rPr>
                <w:rFonts w:ascii="Century Gothic" w:eastAsiaTheme="minorEastAsia" w:hAnsi="Century Gothic" w:cs="Century Gothic"/>
                <w:sz w:val="20"/>
                <w:szCs w:val="20"/>
              </w:rPr>
            </w:pPr>
          </w:p>
          <w:p w14:paraId="0DFF52D3" w14:textId="77777777" w:rsidR="00B10B2A" w:rsidRDefault="00B10B2A" w:rsidP="00452C62">
            <w:pPr>
              <w:ind w:right="61"/>
              <w:jc w:val="both"/>
              <w:rPr>
                <w:rFonts w:ascii="Century Gothic" w:eastAsiaTheme="minorEastAsia" w:hAnsi="Century Gothic" w:cs="Century Gothic"/>
                <w:sz w:val="20"/>
                <w:szCs w:val="20"/>
              </w:rPr>
            </w:pPr>
            <w:r w:rsidRPr="00560850">
              <w:rPr>
                <w:rFonts w:ascii="Century Gothic" w:eastAsiaTheme="minorEastAsia" w:hAnsi="Century Gothic" w:cs="Century Gothic"/>
                <w:sz w:val="20"/>
                <w:szCs w:val="20"/>
              </w:rPr>
              <w:t>X. Fiscalizar y vigilar los ingresos y gastos de las organizaciones de ciudadanos que pretendan obtener registro como partido político, a partir del momento en que notifiquen de tal propósito al Instituto,</w:t>
            </w:r>
            <w:r>
              <w:rPr>
                <w:rFonts w:ascii="Century Gothic" w:eastAsiaTheme="minorEastAsia" w:hAnsi="Century Gothic" w:cs="Century Gothic"/>
                <w:sz w:val="20"/>
                <w:szCs w:val="20"/>
              </w:rPr>
              <w:t xml:space="preserve"> </w:t>
            </w:r>
            <w:r w:rsidRPr="00560850">
              <w:rPr>
                <w:rFonts w:ascii="Century Gothic" w:eastAsiaTheme="minorEastAsia" w:hAnsi="Century Gothic" w:cs="Century Gothic"/>
                <w:sz w:val="20"/>
                <w:szCs w:val="20"/>
              </w:rPr>
              <w:t xml:space="preserve">en los términos establecidos en esta Ley y demás disposiciones aplicables. </w:t>
            </w:r>
          </w:p>
          <w:p w14:paraId="17192E43" w14:textId="77777777" w:rsidR="00B10B2A" w:rsidRDefault="00B10B2A" w:rsidP="00452C62">
            <w:pPr>
              <w:ind w:right="61"/>
              <w:jc w:val="both"/>
              <w:rPr>
                <w:rFonts w:ascii="Century Gothic" w:eastAsiaTheme="minorEastAsia" w:hAnsi="Century Gothic" w:cs="Century Gothic"/>
                <w:sz w:val="20"/>
                <w:szCs w:val="20"/>
              </w:rPr>
            </w:pPr>
          </w:p>
          <w:p w14:paraId="3C10905D" w14:textId="77777777" w:rsidR="00B10B2A" w:rsidRDefault="00B10B2A" w:rsidP="00452C62">
            <w:pPr>
              <w:ind w:right="61"/>
              <w:jc w:val="both"/>
              <w:rPr>
                <w:rFonts w:ascii="Century Gothic" w:eastAsiaTheme="minorEastAsia" w:hAnsi="Century Gothic" w:cs="Century Gothic"/>
                <w:sz w:val="20"/>
                <w:szCs w:val="20"/>
              </w:rPr>
            </w:pPr>
            <w:r w:rsidRPr="00560850">
              <w:rPr>
                <w:rFonts w:ascii="Century Gothic" w:eastAsiaTheme="minorEastAsia" w:hAnsi="Century Gothic" w:cs="Century Gothic"/>
                <w:sz w:val="20"/>
                <w:szCs w:val="20"/>
              </w:rPr>
              <w:t>XI. Proporcionar a los partidos políticos la orientación, asesoría y capacitación necesarias para el cumplimiento de las obligaciones consignadas, cumpliendo con los criterios técnicos</w:t>
            </w:r>
            <w:r>
              <w:rPr>
                <w:rFonts w:ascii="Century Gothic" w:eastAsiaTheme="minorEastAsia" w:hAnsi="Century Gothic" w:cs="Century Gothic"/>
                <w:sz w:val="20"/>
                <w:szCs w:val="20"/>
              </w:rPr>
              <w:t xml:space="preserve"> emitidos por la Comisión de Fiscalización.</w:t>
            </w:r>
          </w:p>
          <w:p w14:paraId="627F1953" w14:textId="77777777" w:rsidR="00B10B2A" w:rsidRDefault="00B10B2A" w:rsidP="00452C62">
            <w:pPr>
              <w:ind w:right="61"/>
              <w:jc w:val="both"/>
              <w:rPr>
                <w:rFonts w:ascii="Century Gothic" w:eastAsiaTheme="minorEastAsia" w:hAnsi="Century Gothic" w:cs="Century Gothic"/>
                <w:sz w:val="20"/>
                <w:szCs w:val="20"/>
              </w:rPr>
            </w:pPr>
          </w:p>
          <w:p w14:paraId="40FB6150" w14:textId="77777777" w:rsidR="00B10B2A" w:rsidRDefault="00B10B2A" w:rsidP="00452C62">
            <w:pPr>
              <w:ind w:right="61"/>
              <w:jc w:val="both"/>
              <w:rPr>
                <w:rFonts w:ascii="Century Gothic" w:eastAsiaTheme="minorEastAsia" w:hAnsi="Century Gothic" w:cs="Century Gothic"/>
                <w:sz w:val="20"/>
                <w:szCs w:val="20"/>
              </w:rPr>
            </w:pPr>
            <w:r w:rsidRPr="00830E0C">
              <w:rPr>
                <w:rFonts w:ascii="Century Gothic" w:eastAsiaTheme="minorEastAsia" w:hAnsi="Century Gothic" w:cs="Century Gothic"/>
                <w:sz w:val="20"/>
                <w:szCs w:val="20"/>
              </w:rPr>
              <w:t>XII. Proponer a la Comisión de Fiscalización los lineamientos homogéneos de contabilidad que garanticen la publicidad y el acceso por medios electrónicos, en colaboración con las áreas del Instituto que se requieran para el desarrollo del sistema respectivo.</w:t>
            </w:r>
          </w:p>
          <w:p w14:paraId="06D123F1" w14:textId="77777777" w:rsidR="00B10B2A" w:rsidRDefault="00B10B2A" w:rsidP="00452C62">
            <w:pPr>
              <w:ind w:right="61"/>
              <w:jc w:val="both"/>
              <w:rPr>
                <w:rFonts w:ascii="Century Gothic" w:eastAsiaTheme="minorEastAsia" w:hAnsi="Century Gothic" w:cs="Century Gothic"/>
                <w:sz w:val="20"/>
                <w:szCs w:val="20"/>
              </w:rPr>
            </w:pPr>
          </w:p>
          <w:p w14:paraId="205C7AEB" w14:textId="77777777" w:rsidR="00B10B2A" w:rsidRDefault="00B10B2A" w:rsidP="00452C62">
            <w:pPr>
              <w:ind w:right="61"/>
              <w:jc w:val="both"/>
              <w:rPr>
                <w:rFonts w:ascii="Century Gothic" w:eastAsiaTheme="minorEastAsia" w:hAnsi="Century Gothic" w:cs="Century Gothic"/>
                <w:sz w:val="20"/>
                <w:szCs w:val="20"/>
              </w:rPr>
            </w:pPr>
            <w:r w:rsidRPr="00830E0C">
              <w:rPr>
                <w:rFonts w:ascii="Century Gothic" w:eastAsiaTheme="minorEastAsia" w:hAnsi="Century Gothic" w:cs="Century Gothic"/>
                <w:sz w:val="20"/>
                <w:szCs w:val="20"/>
              </w:rPr>
              <w:lastRenderedPageBreak/>
              <w:t>XIII. Proponer a la Comisión de Fiscalización los lineamientos que garanticen la máxima publicidad de los registros y movimientos contables, avisos previos de contratación y requerimientos de validación de contrataciones emitidos por la autoridad electoral.</w:t>
            </w:r>
          </w:p>
          <w:p w14:paraId="16E43CDA" w14:textId="77777777" w:rsidR="00B10B2A" w:rsidRDefault="00B10B2A" w:rsidP="00452C62">
            <w:pPr>
              <w:ind w:right="61"/>
              <w:jc w:val="both"/>
              <w:rPr>
                <w:rFonts w:ascii="Century Gothic" w:eastAsiaTheme="minorEastAsia" w:hAnsi="Century Gothic" w:cs="Century Gothic"/>
                <w:sz w:val="20"/>
                <w:szCs w:val="20"/>
              </w:rPr>
            </w:pPr>
          </w:p>
          <w:p w14:paraId="4CFF2281" w14:textId="77777777" w:rsidR="00B10B2A" w:rsidRDefault="00B10B2A" w:rsidP="00452C62">
            <w:pPr>
              <w:ind w:right="61"/>
              <w:jc w:val="both"/>
              <w:rPr>
                <w:rFonts w:ascii="Century Gothic" w:eastAsiaTheme="minorEastAsia" w:hAnsi="Century Gothic" w:cs="Century Gothic"/>
                <w:sz w:val="20"/>
                <w:szCs w:val="20"/>
              </w:rPr>
            </w:pPr>
            <w:r w:rsidRPr="00830E0C">
              <w:rPr>
                <w:rFonts w:ascii="Century Gothic" w:eastAsiaTheme="minorEastAsia" w:hAnsi="Century Gothic" w:cs="Century Gothic"/>
                <w:sz w:val="20"/>
                <w:szCs w:val="20"/>
              </w:rPr>
              <w:t xml:space="preserve">XIV. Proponer a la Comisión de Fiscalización las sanciones a imponer </w:t>
            </w:r>
            <w:proofErr w:type="gramStart"/>
            <w:r w:rsidRPr="00830E0C">
              <w:rPr>
                <w:rFonts w:ascii="Century Gothic" w:eastAsiaTheme="minorEastAsia" w:hAnsi="Century Gothic" w:cs="Century Gothic"/>
                <w:sz w:val="20"/>
                <w:szCs w:val="20"/>
              </w:rPr>
              <w:t>de acuerdo a</w:t>
            </w:r>
            <w:proofErr w:type="gramEnd"/>
            <w:r w:rsidRPr="00830E0C">
              <w:rPr>
                <w:rFonts w:ascii="Century Gothic" w:eastAsiaTheme="minorEastAsia" w:hAnsi="Century Gothic" w:cs="Century Gothic"/>
                <w:sz w:val="20"/>
                <w:szCs w:val="20"/>
              </w:rPr>
              <w:t xml:space="preserve"> la gravedad de las faltas cometidas. </w:t>
            </w:r>
          </w:p>
          <w:p w14:paraId="72DB8840" w14:textId="77777777" w:rsidR="00B10B2A" w:rsidRDefault="00B10B2A" w:rsidP="00452C62">
            <w:pPr>
              <w:ind w:right="61"/>
              <w:jc w:val="both"/>
              <w:rPr>
                <w:rFonts w:ascii="Century Gothic" w:eastAsiaTheme="minorEastAsia" w:hAnsi="Century Gothic" w:cs="Century Gothic"/>
                <w:sz w:val="20"/>
                <w:szCs w:val="20"/>
              </w:rPr>
            </w:pPr>
          </w:p>
          <w:p w14:paraId="6B06F3D6" w14:textId="77777777" w:rsidR="00B10B2A" w:rsidRDefault="00B10B2A" w:rsidP="00452C62">
            <w:pPr>
              <w:ind w:right="61"/>
              <w:jc w:val="both"/>
              <w:rPr>
                <w:rFonts w:ascii="Century Gothic" w:eastAsiaTheme="minorEastAsia" w:hAnsi="Century Gothic" w:cs="Century Gothic"/>
                <w:sz w:val="20"/>
                <w:szCs w:val="20"/>
              </w:rPr>
            </w:pPr>
            <w:r w:rsidRPr="00830E0C">
              <w:rPr>
                <w:rFonts w:ascii="Century Gothic" w:eastAsiaTheme="minorEastAsia" w:hAnsi="Century Gothic" w:cs="Century Gothic"/>
                <w:sz w:val="20"/>
                <w:szCs w:val="20"/>
              </w:rPr>
              <w:t xml:space="preserve">Las autoridades y las instituciones públicas y privadas están obligadas a responder a la Unidad Técnica de Fiscalización, las solicitudes de información protegidas por el secreto bancario, fiduciario y fiscal, en un plazo máximo de cinco días después de realizada la solicitud. </w:t>
            </w:r>
          </w:p>
          <w:p w14:paraId="04C54ADD" w14:textId="77777777" w:rsidR="00B10B2A" w:rsidRDefault="00B10B2A" w:rsidP="00452C62">
            <w:pPr>
              <w:ind w:right="61"/>
              <w:jc w:val="both"/>
              <w:rPr>
                <w:rFonts w:ascii="Century Gothic" w:eastAsiaTheme="minorEastAsia" w:hAnsi="Century Gothic" w:cs="Century Gothic"/>
                <w:sz w:val="20"/>
                <w:szCs w:val="20"/>
              </w:rPr>
            </w:pPr>
          </w:p>
          <w:p w14:paraId="1FD5A5FA" w14:textId="77777777" w:rsidR="00B10B2A" w:rsidRDefault="00B10B2A" w:rsidP="00452C62">
            <w:pPr>
              <w:ind w:right="61"/>
              <w:jc w:val="both"/>
              <w:rPr>
                <w:rFonts w:ascii="Century Gothic" w:eastAsiaTheme="minorEastAsia" w:hAnsi="Century Gothic" w:cs="Century Gothic"/>
                <w:sz w:val="20"/>
                <w:szCs w:val="20"/>
              </w:rPr>
            </w:pPr>
            <w:r w:rsidRPr="00830E0C">
              <w:rPr>
                <w:rFonts w:ascii="Century Gothic" w:eastAsiaTheme="minorEastAsia" w:hAnsi="Century Gothic" w:cs="Century Gothic"/>
                <w:sz w:val="20"/>
                <w:szCs w:val="20"/>
              </w:rPr>
              <w:t xml:space="preserve">De igual forma la Unidad Técnica de Fiscalización podrá requerir a los particulares, personas físicas y morales, le proporcionen la información y documentación necesaria para el cumplimiento de sus atribuciones, quienes deberán atender el requerimiento en los plazos señalados en el párrafo inmediato anterior. </w:t>
            </w:r>
          </w:p>
          <w:p w14:paraId="624D294E" w14:textId="77777777" w:rsidR="00B10B2A" w:rsidRDefault="00B10B2A" w:rsidP="00452C62">
            <w:pPr>
              <w:ind w:right="61"/>
              <w:jc w:val="both"/>
              <w:rPr>
                <w:rFonts w:ascii="Century Gothic" w:eastAsiaTheme="minorEastAsia" w:hAnsi="Century Gothic" w:cs="Century Gothic"/>
                <w:sz w:val="20"/>
                <w:szCs w:val="20"/>
              </w:rPr>
            </w:pPr>
          </w:p>
          <w:p w14:paraId="45368C19" w14:textId="77777777" w:rsidR="00B10B2A" w:rsidRDefault="00B10B2A" w:rsidP="00C54E92">
            <w:pPr>
              <w:ind w:right="61"/>
              <w:jc w:val="both"/>
              <w:rPr>
                <w:rFonts w:ascii="Century Gothic" w:eastAsiaTheme="minorEastAsia" w:hAnsi="Century Gothic" w:cs="Century Gothic"/>
                <w:sz w:val="20"/>
                <w:szCs w:val="20"/>
              </w:rPr>
            </w:pPr>
            <w:r w:rsidRPr="00830E0C">
              <w:rPr>
                <w:rFonts w:ascii="Century Gothic" w:eastAsiaTheme="minorEastAsia" w:hAnsi="Century Gothic" w:cs="Century Gothic"/>
                <w:sz w:val="20"/>
                <w:szCs w:val="20"/>
              </w:rPr>
              <w:t xml:space="preserve">Las facultades aquí previstas para el Consejo General, la Comisión de Fiscalización y la Unidad Técnica de Fiscalización estarán sujetas a las disposiciones reglas y demás lineamientos que para tales efectos emita el Instituto. </w:t>
            </w:r>
          </w:p>
          <w:p w14:paraId="58A97119" w14:textId="77777777" w:rsidR="00B10B2A" w:rsidRDefault="00B10B2A" w:rsidP="00452C62">
            <w:pPr>
              <w:ind w:right="61"/>
              <w:jc w:val="both"/>
              <w:rPr>
                <w:rFonts w:ascii="Century Gothic" w:eastAsiaTheme="minorEastAsia" w:hAnsi="Century Gothic" w:cs="Century Gothic"/>
                <w:sz w:val="20"/>
                <w:szCs w:val="20"/>
              </w:rPr>
            </w:pPr>
          </w:p>
          <w:p w14:paraId="7764BA00" w14:textId="77777777" w:rsidR="00B10B2A" w:rsidRDefault="00B10B2A" w:rsidP="00452C62">
            <w:pPr>
              <w:ind w:right="61"/>
              <w:jc w:val="both"/>
              <w:rPr>
                <w:rFonts w:ascii="Century Gothic" w:eastAsiaTheme="minorEastAsia" w:hAnsi="Century Gothic" w:cs="Century Gothic"/>
                <w:sz w:val="20"/>
                <w:szCs w:val="20"/>
              </w:rPr>
            </w:pPr>
          </w:p>
          <w:p w14:paraId="6E407DBF" w14:textId="77777777" w:rsidR="00B10B2A" w:rsidRPr="00B10B2A" w:rsidRDefault="00B10B2A" w:rsidP="00C54E92">
            <w:pPr>
              <w:pStyle w:val="Default"/>
              <w:jc w:val="both"/>
              <w:rPr>
                <w:sz w:val="20"/>
                <w:szCs w:val="20"/>
              </w:rPr>
            </w:pPr>
            <w:r w:rsidRPr="00B10B2A">
              <w:rPr>
                <w:b/>
                <w:bCs/>
                <w:sz w:val="20"/>
                <w:szCs w:val="20"/>
              </w:rPr>
              <w:t>Artículo 266.</w:t>
            </w:r>
            <w:r w:rsidRPr="00B10B2A">
              <w:rPr>
                <w:sz w:val="20"/>
                <w:szCs w:val="20"/>
              </w:rPr>
              <w:t xml:space="preserve"> El Instituto incorporará la perspectiva de género al realizar los monitoreos de medios de comunicación electrónicos e impresos, públicos y privados, durante el período de precampaña y campaña electoral, o antes si así lo solicita un partido político. Los monitoreos tendrán como fin garantizar la equidad en la difusión de los actos proselitistas de los partidos, coaliciones y candidatos. El monitoreo de medios servirá para apoyar la fiscalización de los partidos políticos y para prevenir que se rebasen los topes de campaña. El Instituto podrá auxiliarse de empresas externas para realizar dicho monitoreo.</w:t>
            </w:r>
          </w:p>
          <w:p w14:paraId="3B24EA05" w14:textId="77777777" w:rsidR="00B10B2A" w:rsidRPr="00B10B2A" w:rsidRDefault="00B10B2A" w:rsidP="00C54E92">
            <w:pPr>
              <w:pStyle w:val="Default"/>
              <w:jc w:val="both"/>
              <w:rPr>
                <w:sz w:val="20"/>
                <w:szCs w:val="20"/>
              </w:rPr>
            </w:pPr>
          </w:p>
          <w:p w14:paraId="12328F5F" w14:textId="77777777" w:rsidR="00B10B2A" w:rsidRPr="00B10B2A" w:rsidRDefault="00B10B2A" w:rsidP="00C54E92">
            <w:pPr>
              <w:pStyle w:val="Default"/>
              <w:jc w:val="both"/>
              <w:rPr>
                <w:sz w:val="20"/>
                <w:szCs w:val="20"/>
              </w:rPr>
            </w:pPr>
            <w:r w:rsidRPr="00B10B2A">
              <w:rPr>
                <w:sz w:val="20"/>
                <w:szCs w:val="20"/>
              </w:rPr>
              <w:t>El Instituto realizará monitoreos de la propaganda de los partidos políticos colocada en todo tipo de espacio o equipamiento utilizado para difundir mensajes.</w:t>
            </w:r>
          </w:p>
          <w:p w14:paraId="38B2E2EA" w14:textId="77777777" w:rsidR="00B10B2A" w:rsidRPr="00B10B2A" w:rsidRDefault="00B10B2A" w:rsidP="00C54E92">
            <w:pPr>
              <w:pStyle w:val="Default"/>
              <w:jc w:val="both"/>
              <w:rPr>
                <w:sz w:val="20"/>
                <w:szCs w:val="20"/>
              </w:rPr>
            </w:pPr>
          </w:p>
          <w:p w14:paraId="41B7F5B6" w14:textId="77777777" w:rsidR="00B10B2A" w:rsidRPr="00896685" w:rsidRDefault="00B10B2A" w:rsidP="00C54E92">
            <w:pPr>
              <w:pStyle w:val="Default"/>
              <w:jc w:val="both"/>
              <w:rPr>
                <w:b/>
              </w:rPr>
            </w:pPr>
            <w:proofErr w:type="gramStart"/>
            <w:r w:rsidRPr="00B10B2A">
              <w:rPr>
                <w:sz w:val="20"/>
                <w:szCs w:val="20"/>
              </w:rPr>
              <w:t>El resultado de los monitoreos se harán</w:t>
            </w:r>
            <w:proofErr w:type="gramEnd"/>
            <w:r w:rsidRPr="00B10B2A">
              <w:rPr>
                <w:sz w:val="20"/>
                <w:szCs w:val="20"/>
              </w:rPr>
              <w:t xml:space="preserve"> públicos en los términos que determine el Consejo General.</w:t>
            </w:r>
          </w:p>
        </w:tc>
      </w:tr>
    </w:tbl>
    <w:p w14:paraId="223C0257" w14:textId="77777777" w:rsidR="004F35DF" w:rsidRDefault="00FA18E9">
      <w:pPr>
        <w:spacing w:after="0"/>
        <w:ind w:right="15258"/>
        <w:jc w:val="right"/>
      </w:pPr>
      <w:r>
        <w:rPr>
          <w:rFonts w:ascii="Malgun Gothic" w:eastAsia="Malgun Gothic" w:hAnsi="Malgun Gothic" w:cs="Malgun Gothic"/>
        </w:rPr>
        <w:lastRenderedPageBreak/>
        <w:t xml:space="preserve"> </w:t>
      </w:r>
    </w:p>
    <w:p w14:paraId="733292E0" w14:textId="77777777" w:rsidR="004F35DF" w:rsidRDefault="00FA18E9">
      <w:pPr>
        <w:spacing w:after="0"/>
        <w:ind w:left="-24"/>
      </w:pPr>
      <w:r>
        <w:t xml:space="preserve">  </w:t>
      </w:r>
    </w:p>
    <w:tbl>
      <w:tblPr>
        <w:tblStyle w:val="TableGrid"/>
        <w:tblW w:w="18156" w:type="dxa"/>
        <w:tblInd w:w="-17" w:type="dxa"/>
        <w:tblCellMar>
          <w:top w:w="61" w:type="dxa"/>
          <w:left w:w="108" w:type="dxa"/>
          <w:right w:w="57" w:type="dxa"/>
        </w:tblCellMar>
        <w:tblLook w:val="04A0" w:firstRow="1" w:lastRow="0" w:firstColumn="1" w:lastColumn="0" w:noHBand="0" w:noVBand="1"/>
      </w:tblPr>
      <w:tblGrid>
        <w:gridCol w:w="1464"/>
        <w:gridCol w:w="2774"/>
        <w:gridCol w:w="13918"/>
      </w:tblGrid>
      <w:tr w:rsidR="00B10B2A" w14:paraId="35934FD4" w14:textId="77777777" w:rsidTr="009E4240">
        <w:trPr>
          <w:trHeight w:val="406"/>
        </w:trPr>
        <w:tc>
          <w:tcPr>
            <w:tcW w:w="1464" w:type="dxa"/>
            <w:tcBorders>
              <w:top w:val="single" w:sz="4" w:space="0" w:color="BFBFBF"/>
              <w:left w:val="single" w:sz="4" w:space="0" w:color="BFBFBF"/>
              <w:bottom w:val="single" w:sz="4" w:space="0" w:color="BFBFBF"/>
              <w:right w:val="single" w:sz="4" w:space="0" w:color="BFBFBF"/>
            </w:tcBorders>
            <w:shd w:val="clear" w:color="auto" w:fill="76923C"/>
          </w:tcPr>
          <w:p w14:paraId="7639A251" w14:textId="77777777" w:rsidR="00B10B2A" w:rsidRDefault="00B10B2A">
            <w:pPr>
              <w:ind w:left="197"/>
              <w:jc w:val="center"/>
            </w:pPr>
            <w:r>
              <w:rPr>
                <w:rFonts w:ascii="Century Gothic" w:eastAsia="Century Gothic" w:hAnsi="Century Gothic" w:cs="Century Gothic"/>
                <w:b/>
                <w:color w:val="FFFFFF"/>
                <w:sz w:val="20"/>
              </w:rPr>
              <w:lastRenderedPageBreak/>
              <w:t xml:space="preserve"> </w:t>
            </w:r>
          </w:p>
        </w:tc>
        <w:tc>
          <w:tcPr>
            <w:tcW w:w="2774" w:type="dxa"/>
            <w:tcBorders>
              <w:top w:val="single" w:sz="4" w:space="0" w:color="BFBFBF"/>
              <w:left w:val="single" w:sz="4" w:space="0" w:color="BFBFBF"/>
              <w:bottom w:val="single" w:sz="4" w:space="0" w:color="BFBFBF"/>
              <w:right w:val="single" w:sz="4" w:space="0" w:color="BFBFBF"/>
            </w:tcBorders>
            <w:shd w:val="clear" w:color="auto" w:fill="76923C"/>
          </w:tcPr>
          <w:p w14:paraId="1C1502E0" w14:textId="77777777" w:rsidR="00B10B2A" w:rsidRDefault="00B10B2A">
            <w:pPr>
              <w:ind w:right="54"/>
              <w:jc w:val="center"/>
            </w:pPr>
            <w:r>
              <w:rPr>
                <w:rFonts w:ascii="Century Gothic" w:eastAsia="Century Gothic" w:hAnsi="Century Gothic" w:cs="Century Gothic"/>
                <w:b/>
                <w:color w:val="FFFFFF"/>
                <w:sz w:val="20"/>
              </w:rPr>
              <w:t xml:space="preserve">ESTADO </w:t>
            </w:r>
          </w:p>
        </w:tc>
        <w:tc>
          <w:tcPr>
            <w:tcW w:w="13918" w:type="dxa"/>
            <w:tcBorders>
              <w:top w:val="single" w:sz="4" w:space="0" w:color="BFBFBF"/>
              <w:left w:val="single" w:sz="4" w:space="0" w:color="BFBFBF"/>
              <w:bottom w:val="single" w:sz="4" w:space="0" w:color="BFBFBF"/>
              <w:right w:val="single" w:sz="4" w:space="0" w:color="BFBFBF"/>
            </w:tcBorders>
            <w:shd w:val="clear" w:color="auto" w:fill="76923C"/>
          </w:tcPr>
          <w:p w14:paraId="68F26180" w14:textId="024F8B3C" w:rsidR="00B10B2A" w:rsidRDefault="00B10B2A">
            <w:pPr>
              <w:ind w:right="52"/>
              <w:jc w:val="center"/>
            </w:pPr>
            <w:r>
              <w:rPr>
                <w:rFonts w:ascii="Century Gothic" w:eastAsia="Century Gothic" w:hAnsi="Century Gothic" w:cs="Century Gothic"/>
                <w:b/>
                <w:color w:val="FFFFFF"/>
                <w:sz w:val="20"/>
              </w:rPr>
              <w:t xml:space="preserve">  </w:t>
            </w:r>
          </w:p>
        </w:tc>
      </w:tr>
      <w:tr w:rsidR="00D049C6" w14:paraId="3CCE9341" w14:textId="77777777" w:rsidTr="00E77FBA">
        <w:trPr>
          <w:trHeight w:val="479"/>
        </w:trPr>
        <w:tc>
          <w:tcPr>
            <w:tcW w:w="1464" w:type="dxa"/>
            <w:tcBorders>
              <w:top w:val="single" w:sz="4" w:space="0" w:color="BFBFBF"/>
              <w:left w:val="single" w:sz="4" w:space="0" w:color="BFBFBF"/>
              <w:bottom w:val="single" w:sz="4" w:space="0" w:color="BFBFBF"/>
              <w:right w:val="single" w:sz="4" w:space="0" w:color="BFBFBF"/>
            </w:tcBorders>
            <w:shd w:val="clear" w:color="auto" w:fill="F2F2F2"/>
          </w:tcPr>
          <w:p w14:paraId="6F6A5A2B" w14:textId="77777777" w:rsidR="00D049C6" w:rsidRPr="00D049C6" w:rsidRDefault="00FE0BC3" w:rsidP="00FE0BC3">
            <w:pPr>
              <w:rPr>
                <w:b/>
              </w:rPr>
            </w:pPr>
            <w:r>
              <w:rPr>
                <w:b/>
              </w:rPr>
              <w:t xml:space="preserve">          </w:t>
            </w:r>
            <w:r w:rsidR="005A4A6E">
              <w:rPr>
                <w:b/>
              </w:rPr>
              <w:t>2</w:t>
            </w:r>
            <w:r w:rsidR="00D049C6" w:rsidRPr="00D049C6">
              <w:rPr>
                <w:b/>
              </w:rPr>
              <w:t>.</w:t>
            </w:r>
          </w:p>
        </w:tc>
        <w:tc>
          <w:tcPr>
            <w:tcW w:w="2774" w:type="dxa"/>
            <w:tcBorders>
              <w:top w:val="single" w:sz="4" w:space="0" w:color="BFBFBF"/>
              <w:left w:val="single" w:sz="4" w:space="0" w:color="BFBFBF"/>
              <w:bottom w:val="single" w:sz="4" w:space="0" w:color="BFBFBF"/>
              <w:right w:val="single" w:sz="4" w:space="0" w:color="BFBFBF"/>
            </w:tcBorders>
            <w:shd w:val="clear" w:color="auto" w:fill="F2F2F2"/>
          </w:tcPr>
          <w:p w14:paraId="5E1221E0" w14:textId="77777777" w:rsidR="00D049C6" w:rsidRPr="00D049C6" w:rsidRDefault="00D049C6" w:rsidP="00D049C6">
            <w:pPr>
              <w:rPr>
                <w:b/>
              </w:rPr>
            </w:pPr>
          </w:p>
        </w:tc>
        <w:tc>
          <w:tcPr>
            <w:tcW w:w="13918" w:type="dxa"/>
            <w:tcBorders>
              <w:top w:val="single" w:sz="4" w:space="0" w:color="BFBFBF"/>
              <w:left w:val="single" w:sz="4" w:space="0" w:color="BFBFBF"/>
              <w:bottom w:val="single" w:sz="4" w:space="0" w:color="BFBFBF"/>
              <w:right w:val="single" w:sz="4" w:space="0" w:color="BFBFBF"/>
            </w:tcBorders>
            <w:shd w:val="clear" w:color="auto" w:fill="F2F2F2"/>
          </w:tcPr>
          <w:p w14:paraId="78AA6AC2" w14:textId="77777777" w:rsidR="009D3F24" w:rsidRPr="00D049C6" w:rsidRDefault="00B10B2A" w:rsidP="00CE6584">
            <w:pPr>
              <w:jc w:val="center"/>
              <w:rPr>
                <w:b/>
              </w:rPr>
            </w:pPr>
            <w:hyperlink r:id="rId8" w:history="1">
              <w:r w:rsidR="00CE6584" w:rsidRPr="00136A1A">
                <w:rPr>
                  <w:rStyle w:val="Hipervnculo"/>
                  <w:b/>
                </w:rPr>
                <w:t>Ley de Fiscalización Superior del Estado de México</w:t>
              </w:r>
            </w:hyperlink>
            <w:r w:rsidR="007C2E4C">
              <w:rPr>
                <w:b/>
              </w:rPr>
              <w:t xml:space="preserve"> </w:t>
            </w:r>
          </w:p>
        </w:tc>
      </w:tr>
      <w:tr w:rsidR="00D049C6" w14:paraId="38A8AA4E" w14:textId="77777777" w:rsidTr="00E77FBA">
        <w:trPr>
          <w:trHeight w:val="332"/>
        </w:trPr>
        <w:tc>
          <w:tcPr>
            <w:tcW w:w="1464"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BF40B57" w14:textId="77777777" w:rsidR="00D049C6" w:rsidRPr="00FE0BC3" w:rsidRDefault="00FE0BC3" w:rsidP="00FE0BC3">
            <w:pPr>
              <w:ind w:right="413"/>
              <w:rPr>
                <w:rFonts w:ascii="Century Gothic" w:eastAsia="Century Gothic" w:hAnsi="Century Gothic" w:cs="Century Gothic"/>
                <w:b/>
                <w:sz w:val="20"/>
              </w:rPr>
            </w:pPr>
            <w:r w:rsidRPr="00FE0BC3">
              <w:rPr>
                <w:b/>
              </w:rPr>
              <w:t xml:space="preserve">          </w:t>
            </w:r>
            <w:r w:rsidR="005A4A6E">
              <w:rPr>
                <w:b/>
              </w:rPr>
              <w:t>3</w:t>
            </w:r>
            <w:r w:rsidR="00D049C6" w:rsidRPr="00FE0BC3">
              <w:rPr>
                <w:b/>
              </w:rPr>
              <w:t>.</w:t>
            </w:r>
          </w:p>
          <w:p w14:paraId="3C63E392" w14:textId="77777777" w:rsidR="00D049C6" w:rsidRPr="00FE0BC3" w:rsidRDefault="00D049C6" w:rsidP="00FE0BC3">
            <w:pPr>
              <w:ind w:right="413"/>
              <w:jc w:val="center"/>
              <w:rPr>
                <w:rFonts w:ascii="Century Gothic" w:eastAsia="Century Gothic" w:hAnsi="Century Gothic" w:cs="Century Gothic"/>
                <w:b/>
                <w:sz w:val="20"/>
              </w:rPr>
            </w:pPr>
          </w:p>
        </w:tc>
        <w:tc>
          <w:tcPr>
            <w:tcW w:w="2774"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F1E1F25" w14:textId="77777777" w:rsidR="00D049C6" w:rsidRDefault="00D049C6" w:rsidP="00D049C6">
            <w:pPr>
              <w:ind w:right="54"/>
              <w:rPr>
                <w:rFonts w:ascii="Century Gothic" w:eastAsia="Century Gothic" w:hAnsi="Century Gothic" w:cs="Century Gothic"/>
                <w:b/>
                <w:sz w:val="20"/>
              </w:rPr>
            </w:pPr>
          </w:p>
        </w:tc>
        <w:tc>
          <w:tcPr>
            <w:tcW w:w="1391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19DB6BE" w14:textId="77777777" w:rsidR="00D049C6" w:rsidRDefault="00B10B2A" w:rsidP="00CE6584">
            <w:pPr>
              <w:jc w:val="center"/>
              <w:rPr>
                <w:b/>
              </w:rPr>
            </w:pPr>
            <w:hyperlink r:id="rId9" w:history="1">
              <w:r w:rsidR="00CE6584" w:rsidRPr="00136A1A">
                <w:rPr>
                  <w:rStyle w:val="Hipervnculo"/>
                  <w:b/>
                </w:rPr>
                <w:t>Reglamento Interior del Órgano Superior de Fiscalización del Estado de México</w:t>
              </w:r>
            </w:hyperlink>
          </w:p>
          <w:p w14:paraId="3A786ADE" w14:textId="77777777" w:rsidR="005A4A6E" w:rsidRPr="00D049C6" w:rsidRDefault="005A4A6E" w:rsidP="00CE6584">
            <w:pPr>
              <w:jc w:val="center"/>
              <w:rPr>
                <w:b/>
              </w:rPr>
            </w:pPr>
          </w:p>
        </w:tc>
      </w:tr>
    </w:tbl>
    <w:p w14:paraId="399A3C24" w14:textId="409D2F60" w:rsidR="004F35DF" w:rsidRDefault="00FA18E9">
      <w:pPr>
        <w:spacing w:after="0"/>
        <w:ind w:left="-24"/>
      </w:pPr>
      <w:r>
        <w:rPr>
          <w:rFonts w:ascii="Century Gothic" w:eastAsia="Century Gothic" w:hAnsi="Century Gothic" w:cs="Century Gothic"/>
          <w:b/>
          <w:sz w:val="20"/>
        </w:rPr>
        <w:t xml:space="preserve"> </w:t>
      </w:r>
      <w:r w:rsidR="00B10B2A">
        <w:rPr>
          <w:rFonts w:ascii="Century Gothic" w:eastAsia="Century Gothic" w:hAnsi="Century Gothic" w:cs="Century Gothic"/>
          <w:b/>
          <w:sz w:val="20"/>
        </w:rPr>
        <w:t xml:space="preserve"> </w:t>
      </w:r>
    </w:p>
    <w:sectPr w:rsidR="004F35DF">
      <w:headerReference w:type="even" r:id="rId10"/>
      <w:headerReference w:type="default" r:id="rId11"/>
      <w:headerReference w:type="first" r:id="rId12"/>
      <w:pgSz w:w="20160" w:h="12240" w:orient="landscape"/>
      <w:pgMar w:top="1440" w:right="1440" w:bottom="646" w:left="1440" w:header="7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DD19" w14:textId="77777777" w:rsidR="008B4ACD" w:rsidRDefault="008B4ACD">
      <w:pPr>
        <w:spacing w:after="0" w:line="240" w:lineRule="auto"/>
      </w:pPr>
      <w:r>
        <w:separator/>
      </w:r>
    </w:p>
  </w:endnote>
  <w:endnote w:type="continuationSeparator" w:id="0">
    <w:p w14:paraId="1BA70810" w14:textId="77777777" w:rsidR="008B4ACD" w:rsidRDefault="008B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619D" w14:textId="77777777" w:rsidR="008B4ACD" w:rsidRDefault="008B4ACD">
      <w:pPr>
        <w:spacing w:after="0" w:line="240" w:lineRule="auto"/>
      </w:pPr>
      <w:r>
        <w:separator/>
      </w:r>
    </w:p>
  </w:footnote>
  <w:footnote w:type="continuationSeparator" w:id="0">
    <w:p w14:paraId="2A50B913" w14:textId="77777777" w:rsidR="008B4ACD" w:rsidRDefault="008B4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0636" w14:textId="77777777" w:rsidR="004F35DF" w:rsidRDefault="00FA18E9">
    <w:pPr>
      <w:spacing w:after="95"/>
      <w:ind w:right="80"/>
      <w:jc w:val="right"/>
    </w:pPr>
    <w:r>
      <w:rPr>
        <w:rFonts w:ascii="Malgun Gothic" w:eastAsia="Malgun Gothic" w:hAnsi="Malgun Gothic" w:cs="Malgun Gothic"/>
        <w:b/>
        <w:sz w:val="10"/>
      </w:rPr>
      <w:t xml:space="preserve"> </w:t>
    </w:r>
  </w:p>
  <w:p w14:paraId="62F127C5" w14:textId="77777777" w:rsidR="004F35DF" w:rsidRDefault="00FA18E9">
    <w:pPr>
      <w:spacing w:after="0"/>
      <w:ind w:right="115"/>
      <w:jc w:val="right"/>
    </w:pPr>
    <w:r>
      <w:rPr>
        <w:rFonts w:ascii="Arial" w:eastAsia="Arial" w:hAnsi="Arial" w:cs="Arial"/>
        <w:b/>
        <w:i/>
      </w:rPr>
      <w:t>C</w:t>
    </w:r>
    <w:r>
      <w:rPr>
        <w:rFonts w:ascii="Arial" w:eastAsia="Arial" w:hAnsi="Arial" w:cs="Arial"/>
        <w:b/>
        <w:i/>
        <w:sz w:val="18"/>
      </w:rPr>
      <w:t xml:space="preserve">OORDINACIÓN DE </w:t>
    </w:r>
    <w:r>
      <w:rPr>
        <w:rFonts w:ascii="Arial" w:eastAsia="Arial" w:hAnsi="Arial" w:cs="Arial"/>
        <w:b/>
        <w:i/>
      </w:rPr>
      <w:t>J</w:t>
    </w:r>
    <w:r>
      <w:rPr>
        <w:rFonts w:ascii="Arial" w:eastAsia="Arial" w:hAnsi="Arial" w:cs="Arial"/>
        <w:b/>
        <w:i/>
        <w:sz w:val="18"/>
      </w:rPr>
      <w:t>URISPRUDENCIA</w:t>
    </w:r>
    <w:r>
      <w:rPr>
        <w:rFonts w:ascii="Arial" w:eastAsia="Arial" w:hAnsi="Arial" w:cs="Arial"/>
        <w:b/>
        <w:i/>
      </w:rPr>
      <w:t>,</w:t>
    </w:r>
    <w:r>
      <w:rPr>
        <w:rFonts w:ascii="Arial" w:eastAsia="Arial" w:hAnsi="Arial" w:cs="Arial"/>
        <w:b/>
        <w:i/>
        <w:sz w:val="18"/>
      </w:rPr>
      <w:t xml:space="preserve"> SEGUIMIENTO Y CONSULTA</w:t>
    </w:r>
    <w:r>
      <w:rPr>
        <w:rFonts w:ascii="Arial" w:eastAsia="Arial" w:hAnsi="Arial" w:cs="Arial"/>
        <w:b/>
        <w:i/>
      </w:rPr>
      <w:t xml:space="preserve"> </w:t>
    </w:r>
  </w:p>
  <w:p w14:paraId="588FAED2" w14:textId="77777777" w:rsidR="004F35DF" w:rsidRDefault="00FA18E9">
    <w:r>
      <w:rPr>
        <w:noProof/>
      </w:rPr>
      <mc:AlternateContent>
        <mc:Choice Requires="wpg">
          <w:drawing>
            <wp:anchor distT="0" distB="0" distL="114300" distR="114300" simplePos="0" relativeHeight="251658240" behindDoc="1" locked="0" layoutInCell="1" allowOverlap="1" wp14:anchorId="248CC203" wp14:editId="46FBA55C">
              <wp:simplePos x="0" y="0"/>
              <wp:positionH relativeFrom="page">
                <wp:posOffset>987552</wp:posOffset>
              </wp:positionH>
              <wp:positionV relativeFrom="page">
                <wp:posOffset>449580</wp:posOffset>
              </wp:positionV>
              <wp:extent cx="1162812" cy="1178052"/>
              <wp:effectExtent l="0" t="0" r="0" b="0"/>
              <wp:wrapNone/>
              <wp:docPr id="5341" name="Group 5341"/>
              <wp:cNvGraphicFramePr/>
              <a:graphic xmlns:a="http://schemas.openxmlformats.org/drawingml/2006/main">
                <a:graphicData uri="http://schemas.microsoft.com/office/word/2010/wordprocessingGroup">
                  <wpg:wgp>
                    <wpg:cNvGrpSpPr/>
                    <wpg:grpSpPr>
                      <a:xfrm>
                        <a:off x="0" y="0"/>
                        <a:ext cx="1162812" cy="1178052"/>
                        <a:chOff x="0" y="0"/>
                        <a:chExt cx="1162812" cy="1178052"/>
                      </a:xfrm>
                    </wpg:grpSpPr>
                    <pic:pic xmlns:pic="http://schemas.openxmlformats.org/drawingml/2006/picture">
                      <pic:nvPicPr>
                        <pic:cNvPr id="5342" name="Picture 5342"/>
                        <pic:cNvPicPr/>
                      </pic:nvPicPr>
                      <pic:blipFill>
                        <a:blip r:embed="rId1"/>
                        <a:stretch>
                          <a:fillRect/>
                        </a:stretch>
                      </pic:blipFill>
                      <pic:spPr>
                        <a:xfrm>
                          <a:off x="0" y="0"/>
                          <a:ext cx="1162812" cy="1178052"/>
                        </a:xfrm>
                        <a:prstGeom prst="rect">
                          <a:avLst/>
                        </a:prstGeom>
                      </pic:spPr>
                    </pic:pic>
                  </wpg:wgp>
                </a:graphicData>
              </a:graphic>
            </wp:anchor>
          </w:drawing>
        </mc:Choice>
        <mc:Fallback xmlns:a="http://schemas.openxmlformats.org/drawingml/2006/main">
          <w:pict>
            <v:group id="Group 5341" style="width:91.56pt;height:92.76pt;position:absolute;z-index:-2147483648;mso-position-horizontal-relative:page;mso-position-horizontal:absolute;margin-left:77.76pt;mso-position-vertical-relative:page;margin-top:35.4pt;" coordsize="11628,11780">
              <v:shape id="Picture 5342" style="position:absolute;width:11628;height:11780;left:0;top:0;" filled="f">
                <v:imagedata r:id="rI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0764" w14:textId="77777777" w:rsidR="004F35DF" w:rsidRDefault="00FA18E9">
    <w:pPr>
      <w:spacing w:after="95"/>
      <w:ind w:right="80"/>
      <w:jc w:val="right"/>
    </w:pPr>
    <w:r>
      <w:rPr>
        <w:rFonts w:ascii="Malgun Gothic" w:eastAsia="Malgun Gothic" w:hAnsi="Malgun Gothic" w:cs="Malgun Gothic"/>
        <w:b/>
        <w:sz w:val="10"/>
      </w:rPr>
      <w:t xml:space="preserve"> </w:t>
    </w:r>
  </w:p>
  <w:p w14:paraId="6BB4722C" w14:textId="77777777" w:rsidR="00E77FBA" w:rsidRDefault="00E77FBA">
    <w:pPr>
      <w:spacing w:after="0"/>
      <w:ind w:right="115"/>
      <w:jc w:val="right"/>
      <w:rPr>
        <w:rFonts w:ascii="Arial" w:eastAsia="Arial" w:hAnsi="Arial" w:cs="Arial"/>
        <w:b/>
        <w:i/>
        <w:sz w:val="18"/>
      </w:rPr>
    </w:pPr>
    <w:r>
      <w:rPr>
        <w:rFonts w:ascii="Arial" w:eastAsia="Arial" w:hAnsi="Arial" w:cs="Arial"/>
        <w:b/>
        <w:i/>
      </w:rPr>
      <w:t>D</w:t>
    </w:r>
    <w:r w:rsidRPr="00E77FBA">
      <w:rPr>
        <w:rFonts w:ascii="Arial" w:eastAsia="Arial" w:hAnsi="Arial" w:cs="Arial"/>
        <w:b/>
        <w:i/>
        <w:sz w:val="18"/>
        <w:szCs w:val="18"/>
      </w:rPr>
      <w:t>IRECCIÓN</w:t>
    </w:r>
    <w:r>
      <w:rPr>
        <w:rFonts w:ascii="Arial" w:eastAsia="Arial" w:hAnsi="Arial" w:cs="Arial"/>
        <w:b/>
        <w:i/>
      </w:rPr>
      <w:t xml:space="preserve"> G</w:t>
    </w:r>
    <w:r w:rsidRPr="00E77FBA">
      <w:rPr>
        <w:rFonts w:ascii="Arial" w:eastAsia="Arial" w:hAnsi="Arial" w:cs="Arial"/>
        <w:b/>
        <w:i/>
        <w:sz w:val="18"/>
        <w:szCs w:val="18"/>
      </w:rPr>
      <w:t>ENERAL</w:t>
    </w:r>
    <w:r>
      <w:rPr>
        <w:rFonts w:ascii="Arial" w:eastAsia="Arial" w:hAnsi="Arial" w:cs="Arial"/>
        <w:b/>
        <w:i/>
      </w:rPr>
      <w:t xml:space="preserve"> </w:t>
    </w:r>
    <w:r w:rsidR="00FA18E9">
      <w:rPr>
        <w:rFonts w:ascii="Arial" w:eastAsia="Arial" w:hAnsi="Arial" w:cs="Arial"/>
        <w:b/>
        <w:i/>
        <w:sz w:val="18"/>
      </w:rPr>
      <w:t xml:space="preserve">DE </w:t>
    </w:r>
    <w:r w:rsidR="00FA18E9">
      <w:rPr>
        <w:rFonts w:ascii="Arial" w:eastAsia="Arial" w:hAnsi="Arial" w:cs="Arial"/>
        <w:b/>
        <w:i/>
      </w:rPr>
      <w:t>J</w:t>
    </w:r>
    <w:r w:rsidR="00FA18E9">
      <w:rPr>
        <w:rFonts w:ascii="Arial" w:eastAsia="Arial" w:hAnsi="Arial" w:cs="Arial"/>
        <w:b/>
        <w:i/>
        <w:sz w:val="18"/>
      </w:rPr>
      <w:t>URISPRUDENCIA</w:t>
    </w:r>
    <w:r w:rsidR="00FA18E9">
      <w:rPr>
        <w:rFonts w:ascii="Arial" w:eastAsia="Arial" w:hAnsi="Arial" w:cs="Arial"/>
        <w:b/>
        <w:i/>
      </w:rPr>
      <w:t>,</w:t>
    </w:r>
    <w:r w:rsidR="00FA18E9">
      <w:rPr>
        <w:rFonts w:ascii="Arial" w:eastAsia="Arial" w:hAnsi="Arial" w:cs="Arial"/>
        <w:b/>
        <w:i/>
        <w:sz w:val="18"/>
      </w:rPr>
      <w:t xml:space="preserve"> SEGUIMIENTO Y CONSULTA</w:t>
    </w:r>
  </w:p>
  <w:p w14:paraId="048D0317" w14:textId="77777777" w:rsidR="00E77FBA" w:rsidRDefault="00E77FBA">
    <w:pPr>
      <w:spacing w:after="0"/>
      <w:ind w:right="115"/>
      <w:jc w:val="right"/>
      <w:rPr>
        <w:rFonts w:ascii="Arial" w:eastAsia="Arial" w:hAnsi="Arial" w:cs="Arial"/>
        <w:b/>
        <w:i/>
        <w:sz w:val="18"/>
      </w:rPr>
    </w:pPr>
  </w:p>
  <w:p w14:paraId="30BC3BA2" w14:textId="77777777" w:rsidR="004F35DF" w:rsidRDefault="00E77FBA">
    <w:pPr>
      <w:spacing w:after="0"/>
      <w:ind w:right="115"/>
      <w:jc w:val="right"/>
      <w:rPr>
        <w:rFonts w:ascii="Arial" w:eastAsia="Arial" w:hAnsi="Arial" w:cs="Arial"/>
        <w:b/>
        <w:i/>
      </w:rPr>
    </w:pPr>
    <w:r w:rsidRPr="00E77FBA">
      <w:rPr>
        <w:rFonts w:ascii="Arial" w:eastAsia="Arial" w:hAnsi="Arial" w:cs="Arial"/>
        <w:b/>
        <w:i/>
      </w:rPr>
      <w:t>D</w:t>
    </w:r>
    <w:r>
      <w:rPr>
        <w:rFonts w:ascii="Arial" w:eastAsia="Arial" w:hAnsi="Arial" w:cs="Arial"/>
        <w:b/>
        <w:i/>
        <w:sz w:val="18"/>
      </w:rPr>
      <w:t xml:space="preserve">IRECCIÓN DE </w:t>
    </w:r>
    <w:r w:rsidRPr="00E77FBA">
      <w:rPr>
        <w:rFonts w:ascii="Arial" w:eastAsia="Arial" w:hAnsi="Arial" w:cs="Arial"/>
        <w:b/>
        <w:i/>
      </w:rPr>
      <w:t>C</w:t>
    </w:r>
    <w:r>
      <w:rPr>
        <w:rFonts w:ascii="Arial" w:eastAsia="Arial" w:hAnsi="Arial" w:cs="Arial"/>
        <w:b/>
        <w:i/>
        <w:sz w:val="18"/>
      </w:rPr>
      <w:t xml:space="preserve">ONSULTA Y </w:t>
    </w:r>
    <w:r w:rsidRPr="00E77FBA">
      <w:rPr>
        <w:rFonts w:ascii="Arial" w:eastAsia="Arial" w:hAnsi="Arial" w:cs="Arial"/>
        <w:b/>
        <w:i/>
      </w:rPr>
      <w:t>D</w:t>
    </w:r>
    <w:r>
      <w:rPr>
        <w:rFonts w:ascii="Arial" w:eastAsia="Arial" w:hAnsi="Arial" w:cs="Arial"/>
        <w:b/>
        <w:i/>
        <w:sz w:val="18"/>
      </w:rPr>
      <w:t xml:space="preserve">IFUSIÓN </w:t>
    </w:r>
    <w:r w:rsidR="00FA18E9">
      <w:rPr>
        <w:rFonts w:ascii="Arial" w:eastAsia="Arial" w:hAnsi="Arial" w:cs="Arial"/>
        <w:b/>
        <w:i/>
      </w:rPr>
      <w:t xml:space="preserve"> </w:t>
    </w:r>
  </w:p>
  <w:p w14:paraId="40488B1F" w14:textId="77777777" w:rsidR="00501DEE" w:rsidRDefault="00501DEE">
    <w:pPr>
      <w:spacing w:after="0"/>
      <w:ind w:right="115"/>
      <w:jc w:val="right"/>
      <w:rPr>
        <w:rFonts w:ascii="Arial" w:eastAsia="Arial" w:hAnsi="Arial" w:cs="Arial"/>
        <w:b/>
        <w:i/>
      </w:rPr>
    </w:pPr>
  </w:p>
  <w:p w14:paraId="3A0DF2DD" w14:textId="77777777" w:rsidR="00501DEE" w:rsidRDefault="00501DEE">
    <w:pPr>
      <w:spacing w:after="0"/>
      <w:ind w:right="115"/>
      <w:jc w:val="right"/>
      <w:rPr>
        <w:rFonts w:ascii="Arial" w:eastAsia="Arial" w:hAnsi="Arial" w:cs="Arial"/>
        <w:b/>
        <w:i/>
      </w:rPr>
    </w:pPr>
  </w:p>
  <w:p w14:paraId="442AD084" w14:textId="77777777" w:rsidR="004F35DF" w:rsidRDefault="00FA18E9">
    <w:r>
      <w:rPr>
        <w:noProof/>
      </w:rPr>
      <mc:AlternateContent>
        <mc:Choice Requires="wpg">
          <w:drawing>
            <wp:anchor distT="0" distB="0" distL="114300" distR="114300" simplePos="0" relativeHeight="251659264" behindDoc="1" locked="0" layoutInCell="1" allowOverlap="1" wp14:anchorId="3F03A412" wp14:editId="09BA24BA">
              <wp:simplePos x="0" y="0"/>
              <wp:positionH relativeFrom="page">
                <wp:posOffset>987552</wp:posOffset>
              </wp:positionH>
              <wp:positionV relativeFrom="page">
                <wp:posOffset>449580</wp:posOffset>
              </wp:positionV>
              <wp:extent cx="1162812" cy="1178052"/>
              <wp:effectExtent l="0" t="0" r="0" b="0"/>
              <wp:wrapNone/>
              <wp:docPr id="5322" name="Group 5322"/>
              <wp:cNvGraphicFramePr/>
              <a:graphic xmlns:a="http://schemas.openxmlformats.org/drawingml/2006/main">
                <a:graphicData uri="http://schemas.microsoft.com/office/word/2010/wordprocessingGroup">
                  <wpg:wgp>
                    <wpg:cNvGrpSpPr/>
                    <wpg:grpSpPr>
                      <a:xfrm>
                        <a:off x="0" y="0"/>
                        <a:ext cx="1162812" cy="1178052"/>
                        <a:chOff x="0" y="0"/>
                        <a:chExt cx="1162812" cy="1178052"/>
                      </a:xfrm>
                    </wpg:grpSpPr>
                    <pic:pic xmlns:pic="http://schemas.openxmlformats.org/drawingml/2006/picture">
                      <pic:nvPicPr>
                        <pic:cNvPr id="5323" name="Picture 5323"/>
                        <pic:cNvPicPr/>
                      </pic:nvPicPr>
                      <pic:blipFill>
                        <a:blip r:embed="rId1"/>
                        <a:stretch>
                          <a:fillRect/>
                        </a:stretch>
                      </pic:blipFill>
                      <pic:spPr>
                        <a:xfrm>
                          <a:off x="0" y="0"/>
                          <a:ext cx="1162812" cy="1178052"/>
                        </a:xfrm>
                        <a:prstGeom prst="rect">
                          <a:avLst/>
                        </a:prstGeom>
                      </pic:spPr>
                    </pic:pic>
                  </wpg:wgp>
                </a:graphicData>
              </a:graphic>
            </wp:anchor>
          </w:drawing>
        </mc:Choice>
        <mc:Fallback xmlns:a="http://schemas.openxmlformats.org/drawingml/2006/main">
          <w:pict>
            <v:group id="Group 5322" style="width:91.56pt;height:92.76pt;position:absolute;z-index:-2147483648;mso-position-horizontal-relative:page;mso-position-horizontal:absolute;margin-left:77.76pt;mso-position-vertical-relative:page;margin-top:35.4pt;" coordsize="11628,11780">
              <v:shape id="Picture 5323" style="position:absolute;width:11628;height:11780;left:0;top:0;" filled="f">
                <v:imagedata r:id="rId4"/>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83B2" w14:textId="77777777" w:rsidR="004F35DF" w:rsidRDefault="00FA18E9">
    <w:pPr>
      <w:spacing w:after="95"/>
      <w:ind w:right="80"/>
      <w:jc w:val="right"/>
    </w:pPr>
    <w:r>
      <w:rPr>
        <w:rFonts w:ascii="Malgun Gothic" w:eastAsia="Malgun Gothic" w:hAnsi="Malgun Gothic" w:cs="Malgun Gothic"/>
        <w:b/>
        <w:sz w:val="10"/>
      </w:rPr>
      <w:t xml:space="preserve"> </w:t>
    </w:r>
  </w:p>
  <w:p w14:paraId="04FF0694" w14:textId="77777777" w:rsidR="004F35DF" w:rsidRDefault="00FA18E9">
    <w:pPr>
      <w:spacing w:after="0"/>
      <w:ind w:right="115"/>
      <w:jc w:val="right"/>
    </w:pPr>
    <w:r>
      <w:rPr>
        <w:rFonts w:ascii="Arial" w:eastAsia="Arial" w:hAnsi="Arial" w:cs="Arial"/>
        <w:b/>
        <w:i/>
      </w:rPr>
      <w:t>C</w:t>
    </w:r>
    <w:r>
      <w:rPr>
        <w:rFonts w:ascii="Arial" w:eastAsia="Arial" w:hAnsi="Arial" w:cs="Arial"/>
        <w:b/>
        <w:i/>
        <w:sz w:val="18"/>
      </w:rPr>
      <w:t xml:space="preserve">OORDINACIÓN DE </w:t>
    </w:r>
    <w:r>
      <w:rPr>
        <w:rFonts w:ascii="Arial" w:eastAsia="Arial" w:hAnsi="Arial" w:cs="Arial"/>
        <w:b/>
        <w:i/>
      </w:rPr>
      <w:t>J</w:t>
    </w:r>
    <w:r>
      <w:rPr>
        <w:rFonts w:ascii="Arial" w:eastAsia="Arial" w:hAnsi="Arial" w:cs="Arial"/>
        <w:b/>
        <w:i/>
        <w:sz w:val="18"/>
      </w:rPr>
      <w:t>URISPRUDENCIA</w:t>
    </w:r>
    <w:r>
      <w:rPr>
        <w:rFonts w:ascii="Arial" w:eastAsia="Arial" w:hAnsi="Arial" w:cs="Arial"/>
        <w:b/>
        <w:i/>
      </w:rPr>
      <w:t>,</w:t>
    </w:r>
    <w:r>
      <w:rPr>
        <w:rFonts w:ascii="Arial" w:eastAsia="Arial" w:hAnsi="Arial" w:cs="Arial"/>
        <w:b/>
        <w:i/>
        <w:sz w:val="18"/>
      </w:rPr>
      <w:t xml:space="preserve"> SEGUIMIENTO Y CONSULTA</w:t>
    </w:r>
    <w:r>
      <w:rPr>
        <w:rFonts w:ascii="Arial" w:eastAsia="Arial" w:hAnsi="Arial" w:cs="Arial"/>
        <w:b/>
        <w:i/>
      </w:rPr>
      <w:t xml:space="preserve"> </w:t>
    </w:r>
  </w:p>
  <w:p w14:paraId="46AC171C" w14:textId="77777777" w:rsidR="004F35DF" w:rsidRDefault="00FA18E9">
    <w:r>
      <w:rPr>
        <w:noProof/>
      </w:rPr>
      <mc:AlternateContent>
        <mc:Choice Requires="wpg">
          <w:drawing>
            <wp:anchor distT="0" distB="0" distL="114300" distR="114300" simplePos="0" relativeHeight="251660288" behindDoc="1" locked="0" layoutInCell="1" allowOverlap="1" wp14:anchorId="451FB369" wp14:editId="6C3293B1">
              <wp:simplePos x="0" y="0"/>
              <wp:positionH relativeFrom="page">
                <wp:posOffset>987552</wp:posOffset>
              </wp:positionH>
              <wp:positionV relativeFrom="page">
                <wp:posOffset>449580</wp:posOffset>
              </wp:positionV>
              <wp:extent cx="1162812" cy="1178052"/>
              <wp:effectExtent l="0" t="0" r="0" b="0"/>
              <wp:wrapNone/>
              <wp:docPr id="5303" name="Group 5303"/>
              <wp:cNvGraphicFramePr/>
              <a:graphic xmlns:a="http://schemas.openxmlformats.org/drawingml/2006/main">
                <a:graphicData uri="http://schemas.microsoft.com/office/word/2010/wordprocessingGroup">
                  <wpg:wgp>
                    <wpg:cNvGrpSpPr/>
                    <wpg:grpSpPr>
                      <a:xfrm>
                        <a:off x="0" y="0"/>
                        <a:ext cx="1162812" cy="1178052"/>
                        <a:chOff x="0" y="0"/>
                        <a:chExt cx="1162812" cy="1178052"/>
                      </a:xfrm>
                    </wpg:grpSpPr>
                    <pic:pic xmlns:pic="http://schemas.openxmlformats.org/drawingml/2006/picture">
                      <pic:nvPicPr>
                        <pic:cNvPr id="5304" name="Picture 5304"/>
                        <pic:cNvPicPr/>
                      </pic:nvPicPr>
                      <pic:blipFill>
                        <a:blip r:embed="rId1"/>
                        <a:stretch>
                          <a:fillRect/>
                        </a:stretch>
                      </pic:blipFill>
                      <pic:spPr>
                        <a:xfrm>
                          <a:off x="0" y="0"/>
                          <a:ext cx="1162812" cy="1178052"/>
                        </a:xfrm>
                        <a:prstGeom prst="rect">
                          <a:avLst/>
                        </a:prstGeom>
                      </pic:spPr>
                    </pic:pic>
                  </wpg:wgp>
                </a:graphicData>
              </a:graphic>
            </wp:anchor>
          </w:drawing>
        </mc:Choice>
        <mc:Fallback xmlns:a="http://schemas.openxmlformats.org/drawingml/2006/main">
          <w:pict>
            <v:group id="Group 5303" style="width:91.56pt;height:92.76pt;position:absolute;z-index:-2147483648;mso-position-horizontal-relative:page;mso-position-horizontal:absolute;margin-left:77.76pt;mso-position-vertical-relative:page;margin-top:35.4pt;" coordsize="11628,11780">
              <v:shape id="Picture 5304" style="position:absolute;width:11628;height:11780;left:0;top:0;" filled="f">
                <v:imagedata r:id="rId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E185B"/>
    <w:multiLevelType w:val="hybridMultilevel"/>
    <w:tmpl w:val="15BC2004"/>
    <w:lvl w:ilvl="0" w:tplc="8508EE76">
      <w:start w:val="3"/>
      <w:numFmt w:val="upperRoman"/>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B362B00">
      <w:start w:val="1"/>
      <w:numFmt w:val="lowerLetter"/>
      <w:lvlText w:val="%2"/>
      <w:lvlJc w:val="left"/>
      <w:pPr>
        <w:ind w:left="11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2F09B26">
      <w:start w:val="1"/>
      <w:numFmt w:val="lowerRoman"/>
      <w:lvlText w:val="%3"/>
      <w:lvlJc w:val="left"/>
      <w:pPr>
        <w:ind w:left="19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5D87364">
      <w:start w:val="1"/>
      <w:numFmt w:val="decimal"/>
      <w:lvlText w:val="%4"/>
      <w:lvlJc w:val="left"/>
      <w:pPr>
        <w:ind w:left="26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39A83EA">
      <w:start w:val="1"/>
      <w:numFmt w:val="lowerLetter"/>
      <w:lvlText w:val="%5"/>
      <w:lvlJc w:val="left"/>
      <w:pPr>
        <w:ind w:left="33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1225AD6">
      <w:start w:val="1"/>
      <w:numFmt w:val="lowerRoman"/>
      <w:lvlText w:val="%6"/>
      <w:lvlJc w:val="left"/>
      <w:pPr>
        <w:ind w:left="40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3A8EDA">
      <w:start w:val="1"/>
      <w:numFmt w:val="decimal"/>
      <w:lvlText w:val="%7"/>
      <w:lvlJc w:val="left"/>
      <w:pPr>
        <w:ind w:left="4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0646FEE">
      <w:start w:val="1"/>
      <w:numFmt w:val="lowerLetter"/>
      <w:lvlText w:val="%8"/>
      <w:lvlJc w:val="left"/>
      <w:pPr>
        <w:ind w:left="5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09A1FBA">
      <w:start w:val="1"/>
      <w:numFmt w:val="lowerRoman"/>
      <w:lvlText w:val="%9"/>
      <w:lvlJc w:val="left"/>
      <w:pPr>
        <w:ind w:left="6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A856658"/>
    <w:multiLevelType w:val="hybridMultilevel"/>
    <w:tmpl w:val="2D22F3CA"/>
    <w:lvl w:ilvl="0" w:tplc="17E637EC">
      <w:start w:val="1"/>
      <w:numFmt w:val="decimal"/>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B04A1DE">
      <w:start w:val="1"/>
      <w:numFmt w:val="lowerLetter"/>
      <w:lvlText w:val="%2"/>
      <w:lvlJc w:val="left"/>
      <w:pPr>
        <w:ind w:left="11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49A8004">
      <w:start w:val="1"/>
      <w:numFmt w:val="lowerRoman"/>
      <w:lvlText w:val="%3"/>
      <w:lvlJc w:val="left"/>
      <w:pPr>
        <w:ind w:left="19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1F67ED2">
      <w:start w:val="1"/>
      <w:numFmt w:val="decimal"/>
      <w:lvlText w:val="%4"/>
      <w:lvlJc w:val="left"/>
      <w:pPr>
        <w:ind w:left="26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4527F7C">
      <w:start w:val="1"/>
      <w:numFmt w:val="lowerLetter"/>
      <w:lvlText w:val="%5"/>
      <w:lvlJc w:val="left"/>
      <w:pPr>
        <w:ind w:left="33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B1013B2">
      <w:start w:val="1"/>
      <w:numFmt w:val="lowerRoman"/>
      <w:lvlText w:val="%6"/>
      <w:lvlJc w:val="left"/>
      <w:pPr>
        <w:ind w:left="40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8EA7E60">
      <w:start w:val="1"/>
      <w:numFmt w:val="decimal"/>
      <w:lvlText w:val="%7"/>
      <w:lvlJc w:val="left"/>
      <w:pPr>
        <w:ind w:left="4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41875EA">
      <w:start w:val="1"/>
      <w:numFmt w:val="lowerLetter"/>
      <w:lvlText w:val="%8"/>
      <w:lvlJc w:val="left"/>
      <w:pPr>
        <w:ind w:left="5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8C8BD4A">
      <w:start w:val="1"/>
      <w:numFmt w:val="lowerRoman"/>
      <w:lvlText w:val="%9"/>
      <w:lvlJc w:val="left"/>
      <w:pPr>
        <w:ind w:left="6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B8D1298"/>
    <w:multiLevelType w:val="hybridMultilevel"/>
    <w:tmpl w:val="2F9CFD2A"/>
    <w:lvl w:ilvl="0" w:tplc="CBB6B01E">
      <w:start w:val="1"/>
      <w:numFmt w:val="decimal"/>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6A6F656">
      <w:start w:val="1"/>
      <w:numFmt w:val="lowerLetter"/>
      <w:lvlText w:val="%2"/>
      <w:lvlJc w:val="left"/>
      <w:pPr>
        <w:ind w:left="11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5BC650A">
      <w:start w:val="1"/>
      <w:numFmt w:val="lowerRoman"/>
      <w:lvlText w:val="%3"/>
      <w:lvlJc w:val="left"/>
      <w:pPr>
        <w:ind w:left="19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0B6EF66">
      <w:start w:val="1"/>
      <w:numFmt w:val="decimal"/>
      <w:lvlText w:val="%4"/>
      <w:lvlJc w:val="left"/>
      <w:pPr>
        <w:ind w:left="26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C881838">
      <w:start w:val="1"/>
      <w:numFmt w:val="lowerLetter"/>
      <w:lvlText w:val="%5"/>
      <w:lvlJc w:val="left"/>
      <w:pPr>
        <w:ind w:left="33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10286EE">
      <w:start w:val="1"/>
      <w:numFmt w:val="lowerRoman"/>
      <w:lvlText w:val="%6"/>
      <w:lvlJc w:val="left"/>
      <w:pPr>
        <w:ind w:left="40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8C8E80A">
      <w:start w:val="1"/>
      <w:numFmt w:val="decimal"/>
      <w:lvlText w:val="%7"/>
      <w:lvlJc w:val="left"/>
      <w:pPr>
        <w:ind w:left="4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CCB84C">
      <w:start w:val="1"/>
      <w:numFmt w:val="lowerLetter"/>
      <w:lvlText w:val="%8"/>
      <w:lvlJc w:val="left"/>
      <w:pPr>
        <w:ind w:left="5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EC25470">
      <w:start w:val="1"/>
      <w:numFmt w:val="lowerRoman"/>
      <w:lvlText w:val="%9"/>
      <w:lvlJc w:val="left"/>
      <w:pPr>
        <w:ind w:left="6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16cid:durableId="440759230">
    <w:abstractNumId w:val="1"/>
  </w:num>
  <w:num w:numId="2" w16cid:durableId="1169833497">
    <w:abstractNumId w:val="0"/>
  </w:num>
  <w:num w:numId="3" w16cid:durableId="1034772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5DF"/>
    <w:rsid w:val="00052C0F"/>
    <w:rsid w:val="00063301"/>
    <w:rsid w:val="00103009"/>
    <w:rsid w:val="00104A02"/>
    <w:rsid w:val="0010728E"/>
    <w:rsid w:val="00136A1A"/>
    <w:rsid w:val="00155697"/>
    <w:rsid w:val="00296B76"/>
    <w:rsid w:val="002D649F"/>
    <w:rsid w:val="004100F5"/>
    <w:rsid w:val="004479D3"/>
    <w:rsid w:val="00452C62"/>
    <w:rsid w:val="004A6A73"/>
    <w:rsid w:val="004F35DF"/>
    <w:rsid w:val="00501DEE"/>
    <w:rsid w:val="00511E81"/>
    <w:rsid w:val="00530597"/>
    <w:rsid w:val="00560850"/>
    <w:rsid w:val="0057495F"/>
    <w:rsid w:val="005A4A6E"/>
    <w:rsid w:val="005B664E"/>
    <w:rsid w:val="006404D9"/>
    <w:rsid w:val="00654522"/>
    <w:rsid w:val="006B3317"/>
    <w:rsid w:val="0075406E"/>
    <w:rsid w:val="007833E6"/>
    <w:rsid w:val="007C2E4C"/>
    <w:rsid w:val="007D1938"/>
    <w:rsid w:val="007D629B"/>
    <w:rsid w:val="007D6F67"/>
    <w:rsid w:val="00830E0C"/>
    <w:rsid w:val="00896685"/>
    <w:rsid w:val="008B47FB"/>
    <w:rsid w:val="008B4ACD"/>
    <w:rsid w:val="00926D01"/>
    <w:rsid w:val="00954131"/>
    <w:rsid w:val="00954269"/>
    <w:rsid w:val="009C5309"/>
    <w:rsid w:val="009D3F24"/>
    <w:rsid w:val="00A37F48"/>
    <w:rsid w:val="00AB2A4E"/>
    <w:rsid w:val="00AD3DDC"/>
    <w:rsid w:val="00B06A40"/>
    <w:rsid w:val="00B1020A"/>
    <w:rsid w:val="00B10B2A"/>
    <w:rsid w:val="00B87487"/>
    <w:rsid w:val="00BE09F8"/>
    <w:rsid w:val="00BE182D"/>
    <w:rsid w:val="00C45D5E"/>
    <w:rsid w:val="00C54E92"/>
    <w:rsid w:val="00C70BE5"/>
    <w:rsid w:val="00CD1722"/>
    <w:rsid w:val="00CE6584"/>
    <w:rsid w:val="00D049C6"/>
    <w:rsid w:val="00E52EE0"/>
    <w:rsid w:val="00E77FBA"/>
    <w:rsid w:val="00E878D4"/>
    <w:rsid w:val="00EC2DBB"/>
    <w:rsid w:val="00F07BBB"/>
    <w:rsid w:val="00F20F0A"/>
    <w:rsid w:val="00F869E4"/>
    <w:rsid w:val="00F90AC5"/>
    <w:rsid w:val="00FA18E9"/>
    <w:rsid w:val="00FE0B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2E6B4"/>
  <w15:docId w15:val="{FE05B40C-7C4B-4514-8C01-0A239BE2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E92"/>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C45D5E"/>
    <w:rPr>
      <w:color w:val="0563C1" w:themeColor="hyperlink"/>
      <w:u w:val="single"/>
    </w:rPr>
  </w:style>
  <w:style w:type="character" w:styleId="Hipervnculovisitado">
    <w:name w:val="FollowedHyperlink"/>
    <w:basedOn w:val="Fuentedeprrafopredeter"/>
    <w:uiPriority w:val="99"/>
    <w:semiHidden/>
    <w:unhideWhenUsed/>
    <w:rsid w:val="00C45D5E"/>
    <w:rPr>
      <w:color w:val="954F72" w:themeColor="followedHyperlink"/>
      <w:u w:val="single"/>
    </w:rPr>
  </w:style>
  <w:style w:type="paragraph" w:styleId="Prrafodelista">
    <w:name w:val="List Paragraph"/>
    <w:basedOn w:val="Normal"/>
    <w:uiPriority w:val="34"/>
    <w:qFormat/>
    <w:rsid w:val="00896685"/>
    <w:pPr>
      <w:ind w:left="720"/>
      <w:contextualSpacing/>
    </w:pPr>
  </w:style>
  <w:style w:type="paragraph" w:styleId="Piedepgina">
    <w:name w:val="footer"/>
    <w:basedOn w:val="Normal"/>
    <w:link w:val="PiedepginaCar"/>
    <w:uiPriority w:val="99"/>
    <w:unhideWhenUsed/>
    <w:rsid w:val="00501D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DEE"/>
    <w:rPr>
      <w:rFonts w:ascii="Calibri" w:eastAsia="Calibri" w:hAnsi="Calibri" w:cs="Calibri"/>
      <w:color w:val="000000"/>
    </w:rPr>
  </w:style>
  <w:style w:type="character" w:styleId="Mencinsinresolver">
    <w:name w:val="Unresolved Mention"/>
    <w:basedOn w:val="Fuentedeprrafopredeter"/>
    <w:uiPriority w:val="99"/>
    <w:semiHidden/>
    <w:unhideWhenUsed/>
    <w:rsid w:val="00BE09F8"/>
    <w:rPr>
      <w:color w:val="605E5C"/>
      <w:shd w:val="clear" w:color="auto" w:fill="E1DFDD"/>
    </w:rPr>
  </w:style>
  <w:style w:type="paragraph" w:customStyle="1" w:styleId="Default">
    <w:name w:val="Default"/>
    <w:rsid w:val="00560850"/>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Estilo">
    <w:name w:val="Estilo"/>
    <w:basedOn w:val="Sinespaciado"/>
    <w:link w:val="EstiloCar"/>
    <w:qFormat/>
    <w:rsid w:val="00452C62"/>
    <w:pPr>
      <w:jc w:val="both"/>
    </w:pPr>
    <w:rPr>
      <w:rFonts w:ascii="Arial" w:eastAsiaTheme="minorHAnsi" w:hAnsi="Arial" w:cstheme="minorBidi"/>
      <w:color w:val="auto"/>
      <w:sz w:val="24"/>
      <w:lang w:eastAsia="en-US"/>
    </w:rPr>
  </w:style>
  <w:style w:type="character" w:customStyle="1" w:styleId="EstiloCar">
    <w:name w:val="Estilo Car"/>
    <w:basedOn w:val="Fuentedeprrafopredeter"/>
    <w:link w:val="Estilo"/>
    <w:rsid w:val="00452C62"/>
    <w:rPr>
      <w:rFonts w:ascii="Arial" w:eastAsiaTheme="minorHAnsi" w:hAnsi="Arial"/>
      <w:sz w:val="24"/>
      <w:lang w:eastAsia="en-US"/>
    </w:rPr>
  </w:style>
  <w:style w:type="paragraph" w:styleId="Sinespaciado">
    <w:name w:val="No Spacing"/>
    <w:uiPriority w:val="1"/>
    <w:qFormat/>
    <w:rsid w:val="00452C62"/>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458059">
      <w:bodyDiv w:val="1"/>
      <w:marLeft w:val="0"/>
      <w:marRight w:val="0"/>
      <w:marTop w:val="0"/>
      <w:marBottom w:val="0"/>
      <w:divBdr>
        <w:top w:val="none" w:sz="0" w:space="0" w:color="auto"/>
        <w:left w:val="none" w:sz="0" w:space="0" w:color="auto"/>
        <w:bottom w:val="none" w:sz="0" w:space="0" w:color="auto"/>
        <w:right w:val="none" w:sz="0" w:space="0" w:color="auto"/>
      </w:divBdr>
    </w:div>
    <w:div w:id="825247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ovmsilap.scjn.pjf.gob.mx/Buscador/Paginas/AbrirDocArticulo.aspx?q=1vgDEVdMMZD6s8UENeVd/iuyLQhKus7gafkcAEUs0Km4uQhL1Gqtx3hgIjKpSWFYWda0gauMPcCyQlieehhJ0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gob.mx/legislacion/page/seleccion/5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ovmsilap.scjn.pjf.gob.mx/Buscador/Paginas/AbrirDocReforma.aspx?q=/Uzk6PWWUGGbrFgW/MQRhQ0L0t2lsySf5QWLDBXdZe3jyDod3p+ALCipMr6FIZOjLst4YMaasfrlzt1b8WZGc3iy0hdJZ/t/it60VcXCzsxcyCkdrw+aKOEmaZhYGPg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5</Pages>
  <Words>1462</Words>
  <Characters>8045</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 Isay Martínez Flores</dc:creator>
  <cp:keywords/>
  <cp:lastModifiedBy>Herman Hernández Sánchez</cp:lastModifiedBy>
  <cp:revision>449</cp:revision>
  <dcterms:created xsi:type="dcterms:W3CDTF">2018-08-09T17:31:00Z</dcterms:created>
  <dcterms:modified xsi:type="dcterms:W3CDTF">2023-06-13T19:27:00Z</dcterms:modified>
</cp:coreProperties>
</file>