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D0" w:rsidRDefault="00CD1CE7">
      <w:pPr>
        <w:pStyle w:val="Textoindependiente"/>
        <w:rPr>
          <w:rFonts w:ascii="Times New Roman"/>
          <w:b w:val="0"/>
          <w:i w:val="0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1052604</wp:posOffset>
            </wp:positionH>
            <wp:positionV relativeFrom="page">
              <wp:posOffset>567385</wp:posOffset>
            </wp:positionV>
            <wp:extent cx="1040838" cy="10013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38" cy="100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spacing w:before="7"/>
        <w:rPr>
          <w:rFonts w:ascii="Times New Roman"/>
          <w:b w:val="0"/>
          <w:i w:val="0"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402"/>
        <w:gridCol w:w="3833"/>
        <w:gridCol w:w="9642"/>
      </w:tblGrid>
      <w:tr w:rsidR="00FC02D0">
        <w:trPr>
          <w:trHeight w:val="479"/>
        </w:trPr>
        <w:tc>
          <w:tcPr>
            <w:tcW w:w="1272" w:type="dxa"/>
            <w:shd w:val="clear" w:color="auto" w:fill="76923B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804" w:right="7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ESTADO</w:t>
            </w:r>
          </w:p>
        </w:tc>
        <w:tc>
          <w:tcPr>
            <w:tcW w:w="3833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337" w:right="3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LEY</w:t>
            </w:r>
          </w:p>
        </w:tc>
        <w:tc>
          <w:tcPr>
            <w:tcW w:w="9642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3437" w:right="343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ARTÍCULO (TRANSCRIPCIÓN)</w:t>
            </w:r>
          </w:p>
        </w:tc>
      </w:tr>
      <w:tr w:rsidR="00FC02D0" w:rsidTr="002E5B4F">
        <w:trPr>
          <w:trHeight w:val="1471"/>
        </w:trPr>
        <w:tc>
          <w:tcPr>
            <w:tcW w:w="1272" w:type="dxa"/>
            <w:shd w:val="clear" w:color="auto" w:fill="auto"/>
          </w:tcPr>
          <w:p w:rsidR="00FC02D0" w:rsidRDefault="00CD1CE7">
            <w:pPr>
              <w:pStyle w:val="TableParagraph"/>
              <w:spacing w:before="111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02" w:type="dxa"/>
            <w:shd w:val="clear" w:color="auto" w:fill="auto"/>
          </w:tcPr>
          <w:p w:rsidR="00FC02D0" w:rsidRDefault="00CD1CE7">
            <w:pPr>
              <w:pStyle w:val="TableParagraph"/>
              <w:spacing w:before="11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BAJA CALIFORNIA</w:t>
            </w:r>
          </w:p>
        </w:tc>
        <w:tc>
          <w:tcPr>
            <w:tcW w:w="3833" w:type="dxa"/>
            <w:shd w:val="clear" w:color="auto" w:fill="auto"/>
          </w:tcPr>
          <w:p w:rsidR="00FC02D0" w:rsidRDefault="00F71A02">
            <w:pPr>
              <w:pStyle w:val="TableParagraph"/>
              <w:spacing w:before="115" w:line="235" w:lineRule="auto"/>
              <w:ind w:left="108" w:right="99"/>
              <w:rPr>
                <w:b/>
                <w:sz w:val="20"/>
              </w:rPr>
            </w:pPr>
            <w:hyperlink r:id="rId7" w:history="1">
              <w:r w:rsidR="00CD1CE7" w:rsidRPr="0030768F">
                <w:rPr>
                  <w:rStyle w:val="Hipervnculo"/>
                  <w:b/>
                  <w:sz w:val="20"/>
                </w:rPr>
                <w:t>Constitución Política del Estado Libre y Soberano de Baja California</w:t>
              </w:r>
            </w:hyperlink>
          </w:p>
        </w:tc>
        <w:tc>
          <w:tcPr>
            <w:tcW w:w="9642" w:type="dxa"/>
            <w:shd w:val="clear" w:color="auto" w:fill="auto"/>
          </w:tcPr>
          <w:p w:rsidR="00FC02D0" w:rsidRDefault="00CD1CE7">
            <w:pPr>
              <w:pStyle w:val="TableParagraph"/>
              <w:spacing w:before="3"/>
              <w:ind w:left="106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DÉCIMO </w:t>
            </w:r>
            <w:proofErr w:type="gramStart"/>
            <w:r>
              <w:rPr>
                <w:b/>
                <w:sz w:val="20"/>
              </w:rPr>
              <w:t>SEGUNDO.-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Los gastos realizados por los partidos políticos hasta antes de la entrada en vigor de la Ley General de Instituciones y Procedimientos Electorales, serán fiscalizados por el Instituto Electoral local con sustento en las disposiciones jurídicas y administrativas vigentes al momento de su ejercicio, los cuales deberán ser dictaminados y resueltos a más tardar el último día de diciembre de 2014.</w:t>
            </w:r>
          </w:p>
        </w:tc>
      </w:tr>
      <w:tr w:rsidR="0030768F" w:rsidTr="009962FC">
        <w:trPr>
          <w:trHeight w:val="6039"/>
        </w:trPr>
        <w:tc>
          <w:tcPr>
            <w:tcW w:w="1272" w:type="dxa"/>
          </w:tcPr>
          <w:p w:rsidR="0030768F" w:rsidRDefault="0030768F">
            <w:pPr>
              <w:pStyle w:val="TableParagraph"/>
              <w:spacing w:before="110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402" w:type="dxa"/>
          </w:tcPr>
          <w:p w:rsidR="0030768F" w:rsidRDefault="0030768F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BAJA CALIFORNIA</w:t>
            </w:r>
          </w:p>
        </w:tc>
        <w:tc>
          <w:tcPr>
            <w:tcW w:w="3833" w:type="dxa"/>
          </w:tcPr>
          <w:p w:rsidR="0030768F" w:rsidRDefault="00F71A02">
            <w:pPr>
              <w:pStyle w:val="TableParagraph"/>
              <w:spacing w:before="114" w:line="235" w:lineRule="auto"/>
              <w:ind w:left="108" w:right="99"/>
              <w:rPr>
                <w:b/>
                <w:sz w:val="20"/>
              </w:rPr>
            </w:pPr>
            <w:hyperlink r:id="rId8" w:history="1">
              <w:r w:rsidR="0030768F" w:rsidRPr="0030768F">
                <w:rPr>
                  <w:rStyle w:val="Hipervnculo"/>
                  <w:b/>
                  <w:sz w:val="20"/>
                </w:rPr>
                <w:t>Ley Electoral del Estado de Baja California</w:t>
              </w:r>
            </w:hyperlink>
          </w:p>
        </w:tc>
        <w:tc>
          <w:tcPr>
            <w:tcW w:w="9642" w:type="dxa"/>
          </w:tcPr>
          <w:p w:rsidR="0030768F" w:rsidRDefault="0030768F" w:rsidP="0030768F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Artículo 124.- </w:t>
            </w:r>
            <w:r>
              <w:rPr>
                <w:sz w:val="20"/>
              </w:rPr>
              <w:t>La fiscalización de los egresos e ingresos en la precampaña, se realizará en los</w:t>
            </w:r>
          </w:p>
          <w:p w:rsidR="0030768F" w:rsidRDefault="0030768F" w:rsidP="0030768F">
            <w:pPr>
              <w:pStyle w:val="TableParagraph"/>
              <w:spacing w:before="8" w:line="24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términos y conforme a los procedimientos previstos en la Ley General y en la Ley General de Partidos Políticos.</w:t>
            </w:r>
          </w:p>
          <w:p w:rsidR="0030768F" w:rsidRDefault="0030768F" w:rsidP="0030768F">
            <w:pPr>
              <w:pStyle w:val="TableParagraph"/>
              <w:spacing w:line="241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30768F" w:rsidRDefault="0030768F" w:rsidP="0030768F">
            <w:pPr>
              <w:pStyle w:val="TableParagraph"/>
              <w:spacing w:before="122" w:line="225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Artículo 126.- </w:t>
            </w:r>
            <w:r>
              <w:rPr>
                <w:sz w:val="20"/>
              </w:rPr>
              <w:t xml:space="preserve">Si un precandidato incumple la obligación de entregar el informe de ingresos y gastos de precampaña y hubiese obtenido la mayoría de </w:t>
            </w:r>
            <w:proofErr w:type="gramStart"/>
            <w:r>
              <w:rPr>
                <w:sz w:val="20"/>
              </w:rPr>
              <w:t>votos</w:t>
            </w:r>
            <w:proofErr w:type="gramEnd"/>
            <w:r>
              <w:rPr>
                <w:sz w:val="20"/>
              </w:rPr>
              <w:t xml:space="preserve"> en la consulta interna o en la asamblea respectiva, no será registrado legalmente como candidato. Los precandidatos que sin haber obtenido la postulación a la candidatura no entreguen el informe antes señalado serán sancionados en los términos de lo establecido en Libro Octavo de la Ley General.</w:t>
            </w:r>
          </w:p>
          <w:p w:rsidR="0030768F" w:rsidRDefault="0030768F" w:rsidP="0030768F">
            <w:pPr>
              <w:pStyle w:val="TableParagraph"/>
              <w:spacing w:before="122" w:line="225" w:lineRule="exact"/>
              <w:ind w:left="106"/>
              <w:jc w:val="both"/>
              <w:rPr>
                <w:sz w:val="20"/>
              </w:rPr>
            </w:pPr>
          </w:p>
          <w:p w:rsidR="0030768F" w:rsidRDefault="0030768F" w:rsidP="0030768F">
            <w:pPr>
              <w:pStyle w:val="TableParagraph"/>
              <w:spacing w:before="122" w:line="225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Artículo 129.- </w:t>
            </w:r>
            <w:r>
              <w:rPr>
                <w:sz w:val="20"/>
              </w:rPr>
              <w:t>A las precampañas y a los precandidatos que en ellas participen les serán aplicables, en lo conducente, las normas previstas en las leyes generales aplicables y en esta Ley respecto de los actos de campaña y propaganda electoral.</w:t>
            </w:r>
          </w:p>
          <w:p w:rsidR="0030768F" w:rsidRDefault="0030768F" w:rsidP="0030768F">
            <w:pPr>
              <w:pStyle w:val="TableParagraph"/>
              <w:spacing w:line="24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30768F" w:rsidRDefault="0030768F" w:rsidP="0030768F">
            <w:pPr>
              <w:pStyle w:val="TableParagraph"/>
              <w:spacing w:line="245" w:lineRule="exact"/>
              <w:ind w:left="106"/>
              <w:jc w:val="both"/>
              <w:rPr>
                <w:sz w:val="20"/>
              </w:rPr>
            </w:pPr>
          </w:p>
          <w:p w:rsidR="0030768F" w:rsidRDefault="0030768F" w:rsidP="0030768F">
            <w:pPr>
              <w:pStyle w:val="TableParagraph"/>
              <w:spacing w:before="122" w:line="225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Artículo 130.- </w:t>
            </w:r>
            <w:r>
              <w:rPr>
                <w:sz w:val="20"/>
              </w:rPr>
              <w:t>El Consejo General emitirá los demás reglamentos y acuerdos que sean necesarios</w:t>
            </w:r>
          </w:p>
          <w:p w:rsidR="0030768F" w:rsidRDefault="0030768F" w:rsidP="0030768F">
            <w:pPr>
              <w:pStyle w:val="TableParagraph"/>
              <w:spacing w:line="22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para la debida regulación de los procesos de precampañas, de conformidad con lo establecido</w:t>
            </w:r>
          </w:p>
          <w:p w:rsidR="0030768F" w:rsidRDefault="0030768F" w:rsidP="0030768F">
            <w:pPr>
              <w:pStyle w:val="TableParagraph"/>
              <w:spacing w:line="24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en las leyes aplicables y en este Código.</w:t>
            </w:r>
          </w:p>
          <w:p w:rsidR="0030768F" w:rsidRDefault="0030768F" w:rsidP="0030768F">
            <w:pPr>
              <w:pStyle w:val="TableParagraph"/>
              <w:spacing w:before="123"/>
              <w:ind w:left="106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  <w:p w:rsidR="0030768F" w:rsidRDefault="0030768F" w:rsidP="0030768F">
            <w:pPr>
              <w:pStyle w:val="TableParagraph"/>
              <w:spacing w:before="122" w:line="225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Artículo 358.- </w:t>
            </w:r>
            <w:r>
              <w:rPr>
                <w:sz w:val="20"/>
              </w:rPr>
              <w:t>Todo lo relacionado a infracciones en materia de fiscalización de recursos públicos</w:t>
            </w:r>
          </w:p>
          <w:p w:rsidR="0030768F" w:rsidRDefault="0030768F" w:rsidP="0030768F">
            <w:pPr>
              <w:pStyle w:val="TableParagraph"/>
              <w:spacing w:line="22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y privados serán sancionadas bajo los supuestos, términos y condiciones que señala la</w:t>
            </w:r>
          </w:p>
        </w:tc>
      </w:tr>
    </w:tbl>
    <w:p w:rsidR="00FC02D0" w:rsidRDefault="00FC02D0">
      <w:pPr>
        <w:spacing w:line="224" w:lineRule="exact"/>
        <w:rPr>
          <w:sz w:val="20"/>
        </w:rPr>
        <w:sectPr w:rsidR="00FC02D0">
          <w:headerReference w:type="default" r:id="rId9"/>
          <w:type w:val="continuous"/>
          <w:pgSz w:w="20160" w:h="12240" w:orient="landscape"/>
          <w:pgMar w:top="1120" w:right="1380" w:bottom="280" w:left="1400" w:header="885" w:footer="720" w:gutter="0"/>
          <w:cols w:space="720"/>
        </w:sectPr>
      </w:pPr>
    </w:p>
    <w:p w:rsidR="00FC02D0" w:rsidRDefault="00CD1CE7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1052604</wp:posOffset>
            </wp:positionH>
            <wp:positionV relativeFrom="page">
              <wp:posOffset>567385</wp:posOffset>
            </wp:positionV>
            <wp:extent cx="1040838" cy="100134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38" cy="100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spacing w:before="10"/>
        <w:rPr>
          <w:rFonts w:ascii="Times New Roman"/>
          <w:b w:val="0"/>
          <w:i w:val="0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402"/>
        <w:gridCol w:w="3833"/>
        <w:gridCol w:w="9642"/>
      </w:tblGrid>
      <w:tr w:rsidR="00FC02D0">
        <w:trPr>
          <w:trHeight w:val="479"/>
        </w:trPr>
        <w:tc>
          <w:tcPr>
            <w:tcW w:w="1272" w:type="dxa"/>
            <w:shd w:val="clear" w:color="auto" w:fill="76923B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804" w:right="7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ESTADO</w:t>
            </w:r>
          </w:p>
        </w:tc>
        <w:tc>
          <w:tcPr>
            <w:tcW w:w="3833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337" w:right="3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LEY</w:t>
            </w:r>
          </w:p>
        </w:tc>
        <w:tc>
          <w:tcPr>
            <w:tcW w:w="9642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3437" w:right="343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ARTÍCULO (TRANSCRIPCIÓN)</w:t>
            </w:r>
          </w:p>
        </w:tc>
      </w:tr>
      <w:tr w:rsidR="00FC02D0">
        <w:trPr>
          <w:trHeight w:val="736"/>
        </w:trPr>
        <w:tc>
          <w:tcPr>
            <w:tcW w:w="1272" w:type="dxa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2" w:type="dxa"/>
          </w:tcPr>
          <w:p w:rsidR="00FC02D0" w:rsidRDefault="00CD1CE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Constitución Política de los Estados Unidos Mexicanos, La Ley General de Instituciones y Procedimientos Electorales y demás disposiciones aplicables.</w:t>
            </w:r>
          </w:p>
        </w:tc>
      </w:tr>
      <w:tr w:rsidR="0030768F" w:rsidTr="002E5B4F">
        <w:trPr>
          <w:trHeight w:val="7346"/>
        </w:trPr>
        <w:tc>
          <w:tcPr>
            <w:tcW w:w="1272" w:type="dxa"/>
            <w:shd w:val="clear" w:color="auto" w:fill="auto"/>
          </w:tcPr>
          <w:p w:rsidR="0030768F" w:rsidRDefault="0030768F">
            <w:pPr>
              <w:pStyle w:val="TableParagraph"/>
              <w:spacing w:before="110"/>
              <w:ind w:left="448" w:right="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402" w:type="dxa"/>
            <w:shd w:val="clear" w:color="auto" w:fill="auto"/>
          </w:tcPr>
          <w:p w:rsidR="0030768F" w:rsidRDefault="003076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BAJA CALIFORNIA</w:t>
            </w:r>
          </w:p>
        </w:tc>
        <w:tc>
          <w:tcPr>
            <w:tcW w:w="3833" w:type="dxa"/>
            <w:shd w:val="clear" w:color="auto" w:fill="auto"/>
          </w:tcPr>
          <w:p w:rsidR="0030768F" w:rsidRDefault="00F71A02">
            <w:pPr>
              <w:pStyle w:val="TableParagraph"/>
              <w:spacing w:before="114" w:line="235" w:lineRule="auto"/>
              <w:ind w:left="108" w:right="3"/>
              <w:rPr>
                <w:b/>
                <w:sz w:val="20"/>
              </w:rPr>
            </w:pPr>
            <w:hyperlink r:id="rId10" w:history="1">
              <w:r w:rsidR="0030768F" w:rsidRPr="0030768F">
                <w:rPr>
                  <w:rStyle w:val="Hipervnculo"/>
                  <w:b/>
                  <w:sz w:val="20"/>
                </w:rPr>
                <w:t>Ley de Partidos Políticos del Estado de Baja California</w:t>
              </w:r>
            </w:hyperlink>
          </w:p>
        </w:tc>
        <w:tc>
          <w:tcPr>
            <w:tcW w:w="9642" w:type="dxa"/>
            <w:shd w:val="clear" w:color="auto" w:fill="auto"/>
          </w:tcPr>
          <w:p w:rsidR="0030768F" w:rsidRDefault="0030768F" w:rsidP="0030768F">
            <w:pPr>
              <w:pStyle w:val="TableParagraph"/>
              <w:spacing w:before="8" w:line="244" w:lineRule="exact"/>
              <w:ind w:left="106" w:right="10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Artículo 9. </w:t>
            </w:r>
            <w:r>
              <w:rPr>
                <w:sz w:val="20"/>
              </w:rPr>
              <w:t>El Instituto Estatal, si la disponibilidad presupuestal lo permite, podrá contar con los recursos técnicos, humanos y materiales que requiera para el ejercicio de las funciones y atribuciones, que en su caso delegue el INE en términos de la Ley General, de la fiscalización de</w:t>
            </w:r>
          </w:p>
          <w:p w:rsidR="0030768F" w:rsidRDefault="0030768F" w:rsidP="0030768F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los ingresos y egresos de los partidos políticos locales, sus coaliciones y de los candidatos a cargos</w:t>
            </w:r>
          </w:p>
          <w:p w:rsidR="0030768F" w:rsidRDefault="0030768F" w:rsidP="0030768F">
            <w:pPr>
              <w:pStyle w:val="TableParagraph"/>
              <w:spacing w:line="241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de elección popular en la entidad.</w:t>
            </w:r>
          </w:p>
          <w:p w:rsidR="0030768F" w:rsidRDefault="0030768F" w:rsidP="0030768F">
            <w:pPr>
              <w:pStyle w:val="TableParagraph"/>
              <w:spacing w:line="241" w:lineRule="exact"/>
              <w:ind w:left="106"/>
              <w:jc w:val="both"/>
              <w:rPr>
                <w:sz w:val="20"/>
              </w:rPr>
            </w:pPr>
          </w:p>
          <w:p w:rsidR="0030768F" w:rsidRDefault="0030768F" w:rsidP="0030768F">
            <w:pPr>
              <w:pStyle w:val="TableParagraph"/>
              <w:spacing w:line="241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El Instituto Estatal, deberán ejercitar las facultades que le delegue el INE en materia de Fiscalización, sujetándose a lo previsto por la Ley General, los lineamientos, acuerdos generales,</w:t>
            </w:r>
          </w:p>
          <w:p w:rsidR="0030768F" w:rsidRDefault="0030768F" w:rsidP="0030768F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normas técnicas y demás disposiciones que emita el Consejo General del INE.</w:t>
            </w:r>
          </w:p>
          <w:p w:rsidR="0030768F" w:rsidRDefault="0030768F" w:rsidP="0030768F">
            <w:pPr>
              <w:pStyle w:val="TableParagraph"/>
              <w:spacing w:line="24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30768F" w:rsidRDefault="0030768F" w:rsidP="0030768F">
            <w:pPr>
              <w:pStyle w:val="TableParagraph"/>
              <w:spacing w:line="240" w:lineRule="exact"/>
              <w:ind w:left="106"/>
              <w:jc w:val="both"/>
              <w:rPr>
                <w:sz w:val="20"/>
              </w:rPr>
            </w:pPr>
          </w:p>
          <w:p w:rsidR="0030768F" w:rsidRDefault="0030768F" w:rsidP="0030768F">
            <w:pPr>
              <w:pStyle w:val="TableParagraph"/>
              <w:spacing w:before="118" w:line="220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Artículo 56. </w:t>
            </w:r>
            <w:r>
              <w:rPr>
                <w:sz w:val="20"/>
              </w:rPr>
              <w:t>La fiscalización de los egresos e ingresos de los partidos políticos nacionales y locales,</w:t>
            </w:r>
          </w:p>
          <w:p w:rsidR="0030768F" w:rsidRDefault="0030768F" w:rsidP="0030768F">
            <w:pPr>
              <w:pStyle w:val="TableParagraph"/>
              <w:spacing w:line="24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se realizará en los términos y conforme a los procedimientos previstos en la Ley General.</w:t>
            </w:r>
          </w:p>
          <w:p w:rsidR="0030768F" w:rsidRDefault="0030768F" w:rsidP="0030768F">
            <w:pPr>
              <w:pStyle w:val="TableParagraph"/>
              <w:spacing w:before="117" w:line="22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El Instituto Estatal podrá asumir la función de la fiscalización ordinaria de los partidos políticos, por delegación, sujetándose invariablemente a lo dispuesto en el Título VIII de la Ley General de</w:t>
            </w:r>
          </w:p>
          <w:p w:rsidR="0030768F" w:rsidRDefault="0030768F" w:rsidP="0030768F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Partidos Políticos.</w:t>
            </w:r>
          </w:p>
          <w:p w:rsidR="0030768F" w:rsidRDefault="0030768F" w:rsidP="0030768F">
            <w:pPr>
              <w:pStyle w:val="TableParagraph"/>
              <w:spacing w:line="24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30768F" w:rsidRDefault="0030768F" w:rsidP="0030768F">
            <w:pPr>
              <w:pStyle w:val="TableParagraph"/>
              <w:spacing w:before="117" w:line="220" w:lineRule="exact"/>
              <w:ind w:lef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Artículo 64.- </w:t>
            </w:r>
          </w:p>
          <w:p w:rsidR="0030768F" w:rsidRDefault="0030768F" w:rsidP="0030768F">
            <w:pPr>
              <w:pStyle w:val="TableParagraph"/>
              <w:spacing w:before="117" w:line="22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Al partido político local que pierda su registro le será cancelado el mismo y perderá</w:t>
            </w:r>
          </w:p>
          <w:p w:rsidR="0030768F" w:rsidRDefault="0030768F" w:rsidP="0030768F">
            <w:pPr>
              <w:pStyle w:val="TableParagraph"/>
              <w:spacing w:line="24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todos los derechos y prerrogativas que establece esta Ley.</w:t>
            </w:r>
          </w:p>
          <w:p w:rsidR="0030768F" w:rsidRDefault="0030768F" w:rsidP="0030768F">
            <w:pPr>
              <w:pStyle w:val="TableParagraph"/>
              <w:spacing w:before="118" w:line="22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La cancelación o pérdida del registro extinguirá la personalidad jurídica del partido político local,</w:t>
            </w:r>
          </w:p>
          <w:p w:rsidR="0030768F" w:rsidRDefault="0030768F" w:rsidP="0030768F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pero quienes hayan sido sus dirigentes y candidatos deberán cumplir las obligaciones que en</w:t>
            </w:r>
          </w:p>
          <w:p w:rsidR="0030768F" w:rsidRDefault="0030768F" w:rsidP="0030768F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materia de fiscalización establece esta Ley, hasta la conclusión de los procedimientos respectivos</w:t>
            </w:r>
          </w:p>
          <w:p w:rsidR="0030768F" w:rsidRDefault="0030768F" w:rsidP="0030768F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y de liquidación de su patrimonio.</w:t>
            </w:r>
          </w:p>
          <w:p w:rsidR="0030768F" w:rsidRDefault="0030768F" w:rsidP="0030768F">
            <w:pPr>
              <w:pStyle w:val="TableParagraph"/>
              <w:spacing w:line="24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30768F" w:rsidRDefault="0030768F" w:rsidP="0030768F">
            <w:pPr>
              <w:pStyle w:val="TableParagraph"/>
              <w:spacing w:line="240" w:lineRule="exact"/>
              <w:ind w:left="106"/>
              <w:jc w:val="both"/>
              <w:rPr>
                <w:sz w:val="20"/>
              </w:rPr>
            </w:pPr>
          </w:p>
          <w:p w:rsidR="0030768F" w:rsidRDefault="0030768F" w:rsidP="0030768F">
            <w:pPr>
              <w:pStyle w:val="TableParagraph"/>
              <w:spacing w:before="118" w:line="220" w:lineRule="exact"/>
              <w:ind w:left="106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SEXTO.-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 efecto de dar cumplimiento al artículo décimo octavo transitorio de la Ley General de</w:t>
            </w:r>
          </w:p>
          <w:p w:rsidR="0030768F" w:rsidRDefault="0030768F" w:rsidP="0030768F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Instituciones y Procedimientos Electorales, correlacionado con el artículo transitorio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Décimo</w:t>
            </w:r>
          </w:p>
        </w:tc>
      </w:tr>
    </w:tbl>
    <w:p w:rsidR="00FC02D0" w:rsidRDefault="00FC02D0">
      <w:pPr>
        <w:spacing w:line="216" w:lineRule="exact"/>
        <w:rPr>
          <w:sz w:val="20"/>
        </w:rPr>
        <w:sectPr w:rsidR="00FC02D0">
          <w:pgSz w:w="20160" w:h="12240" w:orient="landscape"/>
          <w:pgMar w:top="1120" w:right="1380" w:bottom="280" w:left="1400" w:header="885" w:footer="0" w:gutter="0"/>
          <w:cols w:space="720"/>
        </w:sectPr>
      </w:pPr>
    </w:p>
    <w:p w:rsidR="00FC02D0" w:rsidRDefault="00CD1CE7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1052604</wp:posOffset>
            </wp:positionH>
            <wp:positionV relativeFrom="page">
              <wp:posOffset>567385</wp:posOffset>
            </wp:positionV>
            <wp:extent cx="1040838" cy="100134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38" cy="100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spacing w:before="10"/>
        <w:rPr>
          <w:rFonts w:ascii="Times New Roman"/>
          <w:b w:val="0"/>
          <w:i w:val="0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402"/>
        <w:gridCol w:w="3833"/>
        <w:gridCol w:w="9642"/>
      </w:tblGrid>
      <w:tr w:rsidR="00FC02D0">
        <w:trPr>
          <w:trHeight w:val="479"/>
        </w:trPr>
        <w:tc>
          <w:tcPr>
            <w:tcW w:w="1272" w:type="dxa"/>
            <w:shd w:val="clear" w:color="auto" w:fill="76923B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804" w:right="7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ESTADO</w:t>
            </w:r>
          </w:p>
        </w:tc>
        <w:tc>
          <w:tcPr>
            <w:tcW w:w="3833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337" w:right="3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LEY</w:t>
            </w:r>
          </w:p>
        </w:tc>
        <w:tc>
          <w:tcPr>
            <w:tcW w:w="9642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3437" w:right="343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ARTÍCULO (TRANSCRIPCIÓN)</w:t>
            </w:r>
          </w:p>
        </w:tc>
      </w:tr>
      <w:tr w:rsidR="00FC02D0" w:rsidTr="002E5B4F">
        <w:trPr>
          <w:trHeight w:val="1716"/>
        </w:trPr>
        <w:tc>
          <w:tcPr>
            <w:tcW w:w="1272" w:type="dxa"/>
            <w:shd w:val="clear" w:color="auto" w:fill="auto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shd w:val="clear" w:color="auto" w:fill="auto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  <w:shd w:val="clear" w:color="auto" w:fill="auto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2" w:type="dxa"/>
            <w:shd w:val="clear" w:color="auto" w:fill="auto"/>
          </w:tcPr>
          <w:p w:rsidR="00FC02D0" w:rsidRDefault="00CD1CE7">
            <w:pPr>
              <w:pStyle w:val="TableParagraph"/>
              <w:spacing w:before="2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Segundo del Decreto 112 mediante el cual se reforman diversas disposiciones de la Constitución del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Estado,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2014,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Estatal y los partidos políticos nacionales y locales, deberán atender el ACUERDO INE/CG93/2014 DEL CONSEJO GENERAL DEL INSTITUTO NACIONAL ELECTORAL POR EL CUAL SE DETERMINAN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</w:p>
          <w:p w:rsidR="00FC02D0" w:rsidRDefault="00CD1CE7">
            <w:pPr>
              <w:pStyle w:val="TableParagraph"/>
              <w:spacing w:before="2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DE TRANSICIÓN EN MATERIA DE FISCALIZACIÓN, y en su caso, el acuerdo o reglamentario que lo sustituya.</w:t>
            </w:r>
          </w:p>
        </w:tc>
      </w:tr>
      <w:tr w:rsidR="004F290C" w:rsidTr="00637A80">
        <w:trPr>
          <w:trHeight w:val="6372"/>
        </w:trPr>
        <w:tc>
          <w:tcPr>
            <w:tcW w:w="1272" w:type="dxa"/>
          </w:tcPr>
          <w:p w:rsidR="004F290C" w:rsidRDefault="004F290C">
            <w:pPr>
              <w:pStyle w:val="TableParagraph"/>
              <w:spacing w:before="113"/>
              <w:ind w:left="448" w:right="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402" w:type="dxa"/>
          </w:tcPr>
          <w:p w:rsidR="004F290C" w:rsidRDefault="004F2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</w:tcPr>
          <w:p w:rsidR="004F290C" w:rsidRDefault="00F71A02" w:rsidP="004F290C">
            <w:pPr>
              <w:pStyle w:val="Estilo"/>
            </w:pPr>
            <w:hyperlink r:id="rId11" w:history="1">
              <w:r w:rsidR="004F290C" w:rsidRPr="0024477B">
                <w:rPr>
                  <w:rStyle w:val="Hipervnculo"/>
                </w:rPr>
                <w:t>Ley que Reglamenta las Candidaturas Independientes en el Estado de Baja California</w:t>
              </w:r>
            </w:hyperlink>
          </w:p>
          <w:p w:rsidR="004F290C" w:rsidRDefault="004F290C" w:rsidP="000E7670">
            <w:pPr>
              <w:pStyle w:val="TableParagraph"/>
              <w:spacing w:line="235" w:lineRule="auto"/>
              <w:ind w:left="108" w:right="99"/>
              <w:rPr>
                <w:b/>
                <w:sz w:val="20"/>
              </w:rPr>
            </w:pPr>
          </w:p>
        </w:tc>
        <w:tc>
          <w:tcPr>
            <w:tcW w:w="9642" w:type="dxa"/>
          </w:tcPr>
          <w:p w:rsidR="004F290C" w:rsidRDefault="004F290C" w:rsidP="004F290C">
            <w:pPr>
              <w:pStyle w:val="TableParagraph"/>
              <w:spacing w:before="5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Artículo 18.- </w:t>
            </w:r>
            <w:r>
              <w:rPr>
                <w:sz w:val="20"/>
              </w:rPr>
              <w:t>[…]</w:t>
            </w:r>
          </w:p>
          <w:p w:rsidR="004F290C" w:rsidRDefault="004F290C" w:rsidP="004F290C">
            <w:pPr>
              <w:pStyle w:val="TableParagraph"/>
              <w:spacing w:before="139" w:line="24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La utilización de la cuenta será a partir del inicio de los actos tendentes a obtener el apoyo ciudadano y hasta la conclusión de las campañas electorales y con posterioridad,</w:t>
            </w:r>
          </w:p>
          <w:p w:rsidR="004F290C" w:rsidRDefault="004F290C" w:rsidP="004F290C">
            <w:pPr>
              <w:pStyle w:val="TableParagraph"/>
              <w:spacing w:line="20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exclusivamente para cubrir los pasivos contraídos y demás erogaciones. Su cancelación deberá</w:t>
            </w:r>
          </w:p>
          <w:p w:rsidR="004F290C" w:rsidRDefault="004F290C" w:rsidP="004F290C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realizarse una vez que se concluyan los procedimientos de fiscalización respectivos en términos</w:t>
            </w:r>
          </w:p>
          <w:p w:rsidR="004F290C" w:rsidRDefault="004F290C" w:rsidP="004F290C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de la legislación aplicable.</w:t>
            </w:r>
          </w:p>
          <w:p w:rsidR="004F290C" w:rsidRDefault="004F290C" w:rsidP="004F290C">
            <w:pPr>
              <w:pStyle w:val="TableParagraph"/>
              <w:spacing w:line="24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4F290C" w:rsidRDefault="004F290C" w:rsidP="004F290C">
            <w:pPr>
              <w:pStyle w:val="TableParagraph"/>
              <w:spacing w:before="117" w:line="220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Artículo 35.- </w:t>
            </w:r>
            <w:r>
              <w:rPr>
                <w:sz w:val="20"/>
              </w:rPr>
              <w:t>Son obligaciones de los Candidatos Independientes registrados:</w:t>
            </w:r>
          </w:p>
          <w:p w:rsidR="004F290C" w:rsidRDefault="004F290C" w:rsidP="004F290C">
            <w:pPr>
              <w:pStyle w:val="TableParagraph"/>
              <w:spacing w:line="24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4F290C" w:rsidRDefault="004F290C" w:rsidP="004F290C">
            <w:pPr>
              <w:pStyle w:val="TableParagraph"/>
              <w:spacing w:line="240" w:lineRule="exact"/>
              <w:ind w:left="106"/>
              <w:jc w:val="both"/>
              <w:rPr>
                <w:sz w:val="20"/>
              </w:rPr>
            </w:pPr>
          </w:p>
          <w:p w:rsidR="004F290C" w:rsidRDefault="004F290C" w:rsidP="004F290C">
            <w:pPr>
              <w:pStyle w:val="TableParagraph"/>
              <w:spacing w:line="24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XIII. Presentar, en los mismos términos en que lo hagan los partidos políticos, los informes de campaña sobre el origen y monto de todos sus ingresos, así como su aplicación y empleo;</w:t>
            </w:r>
          </w:p>
          <w:p w:rsidR="004F290C" w:rsidRDefault="004F290C" w:rsidP="004F290C">
            <w:pPr>
              <w:pStyle w:val="TableParagraph"/>
              <w:spacing w:before="117" w:line="22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XIV. Ser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responsable solidario, junto con el encargado de la administración de sus recursos financieros, dentro de los procedimientos de fiscalización de los recursos correspondientes, y</w:t>
            </w:r>
          </w:p>
          <w:p w:rsidR="004F290C" w:rsidRDefault="004F290C" w:rsidP="004F290C">
            <w:pPr>
              <w:pStyle w:val="TableParagraph"/>
              <w:spacing w:before="118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XV. Las demás que establezcan esta Ley, y demás ordenamientos.</w:t>
            </w:r>
          </w:p>
          <w:p w:rsidR="004F290C" w:rsidRDefault="004F290C" w:rsidP="004F290C">
            <w:pPr>
              <w:pStyle w:val="TableParagraph"/>
              <w:spacing w:before="117" w:line="22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Los Candidatos Independientes que incumplan con la normatividad electoral que les resulte aplicable, serán sancionados en términos de esta Ley y la legislación electoral aplicable.</w:t>
            </w:r>
          </w:p>
          <w:p w:rsidR="004F290C" w:rsidRDefault="004F290C" w:rsidP="004F290C">
            <w:pPr>
              <w:pStyle w:val="TableParagraph"/>
              <w:spacing w:line="24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4F290C" w:rsidRDefault="004F290C" w:rsidP="004F290C">
            <w:pPr>
              <w:pStyle w:val="TableParagraph"/>
              <w:spacing w:before="118" w:line="220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Artículo 43.- </w:t>
            </w:r>
            <w:r>
              <w:rPr>
                <w:sz w:val="20"/>
              </w:rPr>
              <w:t>Todo egreso deberá cubrirse con cheque nominativo o transferencia electrónica. En</w:t>
            </w:r>
          </w:p>
          <w:p w:rsidR="004F290C" w:rsidRDefault="004F290C" w:rsidP="004F290C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el caso de los pagos por la prestación de bienes o servicios, adicionalmente el cheque deberá</w:t>
            </w:r>
          </w:p>
        </w:tc>
      </w:tr>
    </w:tbl>
    <w:p w:rsidR="00FC02D0" w:rsidRDefault="00FC02D0">
      <w:pPr>
        <w:spacing w:line="216" w:lineRule="exact"/>
        <w:rPr>
          <w:sz w:val="20"/>
        </w:rPr>
        <w:sectPr w:rsidR="00FC02D0">
          <w:pgSz w:w="20160" w:h="12240" w:orient="landscape"/>
          <w:pgMar w:top="1120" w:right="1380" w:bottom="280" w:left="1400" w:header="885" w:footer="0" w:gutter="0"/>
          <w:cols w:space="720"/>
        </w:sectPr>
      </w:pPr>
    </w:p>
    <w:p w:rsidR="00FC02D0" w:rsidRDefault="00CD1CE7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1052604</wp:posOffset>
            </wp:positionH>
            <wp:positionV relativeFrom="page">
              <wp:posOffset>567385</wp:posOffset>
            </wp:positionV>
            <wp:extent cx="1040838" cy="100134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38" cy="100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spacing w:before="10"/>
        <w:rPr>
          <w:rFonts w:ascii="Times New Roman"/>
          <w:b w:val="0"/>
          <w:i w:val="0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402"/>
        <w:gridCol w:w="3833"/>
        <w:gridCol w:w="9642"/>
      </w:tblGrid>
      <w:tr w:rsidR="00FC02D0">
        <w:trPr>
          <w:trHeight w:val="479"/>
        </w:trPr>
        <w:tc>
          <w:tcPr>
            <w:tcW w:w="1272" w:type="dxa"/>
            <w:shd w:val="clear" w:color="auto" w:fill="76923B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804" w:right="7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ESTADO</w:t>
            </w:r>
          </w:p>
        </w:tc>
        <w:tc>
          <w:tcPr>
            <w:tcW w:w="3833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337" w:right="3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LEY</w:t>
            </w:r>
          </w:p>
        </w:tc>
        <w:tc>
          <w:tcPr>
            <w:tcW w:w="9642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3437" w:right="343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ARTÍCULO (TRANSCRIPCIÓN)</w:t>
            </w:r>
          </w:p>
        </w:tc>
      </w:tr>
      <w:tr w:rsidR="00FC02D0">
        <w:trPr>
          <w:trHeight w:val="6867"/>
        </w:trPr>
        <w:tc>
          <w:tcPr>
            <w:tcW w:w="1272" w:type="dxa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2" w:type="dxa"/>
          </w:tcPr>
          <w:p w:rsidR="00FC02D0" w:rsidRDefault="00CD1CE7">
            <w:pPr>
              <w:pStyle w:val="TableParagraph"/>
              <w:spacing w:before="2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contener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leyenda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"para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beneficiario".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pólizas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cheques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deberán conservarse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anexas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comprobatoria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 hace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referencia.</w:t>
            </w:r>
          </w:p>
          <w:p w:rsidR="00FC02D0" w:rsidRDefault="00FC02D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C02D0" w:rsidRDefault="00CD1CE7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Los comprobantes que amparen los egresos que realicen los Candidatos Independientes, deberán ser expedidos a su nombre y constar en original como soporte a los informes financieros de las campañas electorales, los cuales estarán a disposición de la unidad de fiscalización del Instituto Nacional Electoral para su revisión de conformidad con lo legislación aplicable. Dicha documentación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exigen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aplicables, así como las establecidas por el Reglamento de Fiscalización de la Unidad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referida.</w:t>
            </w:r>
          </w:p>
          <w:p w:rsidR="00FC02D0" w:rsidRDefault="00CD1CE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FC02D0" w:rsidRDefault="00FC02D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C02D0" w:rsidRDefault="00CD1CE7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Artículo 56.- </w:t>
            </w:r>
            <w:r>
              <w:rPr>
                <w:sz w:val="20"/>
              </w:rPr>
              <w:t>La fiscalización de los recursos de los aspirantes a Candidatos Independientes y de los Candidatos Independientes, a cargos de elección popular locales se rige por lo dispuesto en la Ley General de Instituciones y Procedimientos Electorales, y demás disposiciones que emita el Instituto Nacional Electoral.</w:t>
            </w:r>
          </w:p>
          <w:p w:rsidR="00FC02D0" w:rsidRDefault="00FC02D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C02D0" w:rsidRDefault="00CD1CE7">
            <w:pPr>
              <w:pStyle w:val="TableParagraph"/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Artículo 57.- </w:t>
            </w:r>
            <w:r>
              <w:rPr>
                <w:sz w:val="20"/>
              </w:rPr>
              <w:t>De conformidad con el artículo 41 fracción V, apartado B, inciso a) numeral 6 de la Constitución federal, corresponde al Instituto Nacional Electoral, a través de los órganos que establece la Ley General de Instituciones y Procedimientos Electorales la fiscalización de los ingresos y egresos de los Candidatos Independientes y los aspirantes a Candidatos Independientes.</w:t>
            </w:r>
          </w:p>
          <w:p w:rsidR="00FC02D0" w:rsidRDefault="00FC02D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C02D0" w:rsidRDefault="00CD1CE7">
            <w:pPr>
              <w:pStyle w:val="TableParagraph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El Instituto Estatal podrá asumir la función de la fiscalización de los ingresos y egresos de los Candidatos Independientes, por delegación del Instituto Nacional Electoral, sujetándose invariablemente a lo dispuesto en la Ley General aplicable.</w:t>
            </w:r>
          </w:p>
          <w:p w:rsidR="00FC02D0" w:rsidRDefault="00CD1CE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[…]</w:t>
            </w:r>
          </w:p>
        </w:tc>
      </w:tr>
      <w:tr w:rsidR="00FC02D0" w:rsidTr="002E5B4F">
        <w:trPr>
          <w:trHeight w:val="1225"/>
        </w:trPr>
        <w:tc>
          <w:tcPr>
            <w:tcW w:w="1272" w:type="dxa"/>
            <w:shd w:val="clear" w:color="auto" w:fill="auto"/>
          </w:tcPr>
          <w:p w:rsidR="00FC02D0" w:rsidRDefault="00CD1CE7">
            <w:pPr>
              <w:pStyle w:val="TableParagraph"/>
              <w:spacing w:before="110"/>
              <w:ind w:left="448" w:right="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402" w:type="dxa"/>
            <w:shd w:val="clear" w:color="auto" w:fill="auto"/>
          </w:tcPr>
          <w:p w:rsidR="00FC02D0" w:rsidRDefault="00CD1CE7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BAJA CALIFORNIA</w:t>
            </w:r>
          </w:p>
        </w:tc>
        <w:tc>
          <w:tcPr>
            <w:tcW w:w="3833" w:type="dxa"/>
            <w:shd w:val="clear" w:color="auto" w:fill="auto"/>
          </w:tcPr>
          <w:p w:rsidR="00FC02D0" w:rsidRDefault="00F71A02">
            <w:pPr>
              <w:pStyle w:val="TableParagraph"/>
              <w:spacing w:before="114" w:line="235" w:lineRule="auto"/>
              <w:ind w:left="108" w:right="99"/>
              <w:rPr>
                <w:b/>
                <w:sz w:val="20"/>
              </w:rPr>
            </w:pPr>
            <w:hyperlink r:id="rId12" w:history="1">
              <w:r w:rsidR="00CD1CE7" w:rsidRPr="002B1021">
                <w:rPr>
                  <w:rStyle w:val="Hipervnculo"/>
                  <w:b/>
                  <w:sz w:val="20"/>
                </w:rPr>
                <w:t>Ley Orgánica del Poder Judicial del Estado de Baja California</w:t>
              </w:r>
            </w:hyperlink>
          </w:p>
        </w:tc>
        <w:tc>
          <w:tcPr>
            <w:tcW w:w="9642" w:type="dxa"/>
            <w:shd w:val="clear" w:color="auto" w:fill="auto"/>
          </w:tcPr>
          <w:p w:rsidR="00FC02D0" w:rsidRDefault="003142F5">
            <w:pPr>
              <w:pStyle w:val="TableParagraph"/>
              <w:spacing w:before="2" w:line="245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Articulo </w:t>
            </w:r>
            <w:r w:rsidR="00CD1CE7">
              <w:rPr>
                <w:b/>
                <w:sz w:val="20"/>
              </w:rPr>
              <w:t xml:space="preserve">245.- </w:t>
            </w:r>
            <w:r w:rsidR="00CD1CE7">
              <w:rPr>
                <w:sz w:val="20"/>
              </w:rPr>
              <w:t>El Tribunal es competente para:</w:t>
            </w:r>
          </w:p>
          <w:p w:rsidR="00FC02D0" w:rsidRDefault="00CD1CE7">
            <w:pPr>
              <w:pStyle w:val="TableParagraph"/>
              <w:spacing w:line="245" w:lineRule="exact"/>
              <w:ind w:left="106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FC02D0" w:rsidRDefault="00FC02D0">
            <w:pPr>
              <w:pStyle w:val="TableParagraph"/>
              <w:rPr>
                <w:rFonts w:ascii="Times New Roman"/>
              </w:rPr>
            </w:pPr>
          </w:p>
          <w:p w:rsidR="00FC02D0" w:rsidRDefault="00CD1CE7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II.- Resolver en Sala Unitaria, la imposición de sanciones derivadas de las quejas o denuncias instruidas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Consejo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Electoral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Electoral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</w:tr>
    </w:tbl>
    <w:p w:rsidR="00FC02D0" w:rsidRDefault="00FC02D0">
      <w:pPr>
        <w:spacing w:line="244" w:lineRule="exact"/>
        <w:rPr>
          <w:sz w:val="20"/>
        </w:rPr>
        <w:sectPr w:rsidR="00FC02D0">
          <w:pgSz w:w="20160" w:h="12240" w:orient="landscape"/>
          <w:pgMar w:top="1120" w:right="1380" w:bottom="280" w:left="1400" w:header="885" w:footer="0" w:gutter="0"/>
          <w:cols w:space="720"/>
        </w:sectPr>
      </w:pPr>
    </w:p>
    <w:p w:rsidR="00FC02D0" w:rsidRDefault="00CD1CE7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1052604</wp:posOffset>
            </wp:positionH>
            <wp:positionV relativeFrom="page">
              <wp:posOffset>567385</wp:posOffset>
            </wp:positionV>
            <wp:extent cx="1040838" cy="100134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38" cy="100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spacing w:before="10"/>
        <w:rPr>
          <w:rFonts w:ascii="Times New Roman"/>
          <w:b w:val="0"/>
          <w:i w:val="0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402"/>
        <w:gridCol w:w="3833"/>
        <w:gridCol w:w="9642"/>
      </w:tblGrid>
      <w:tr w:rsidR="00FC02D0">
        <w:trPr>
          <w:trHeight w:val="479"/>
        </w:trPr>
        <w:tc>
          <w:tcPr>
            <w:tcW w:w="1272" w:type="dxa"/>
            <w:shd w:val="clear" w:color="auto" w:fill="76923B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804" w:right="7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ESTADO</w:t>
            </w:r>
          </w:p>
        </w:tc>
        <w:tc>
          <w:tcPr>
            <w:tcW w:w="3833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337" w:right="3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LEY</w:t>
            </w:r>
          </w:p>
        </w:tc>
        <w:tc>
          <w:tcPr>
            <w:tcW w:w="9642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3437" w:right="343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ARTÍCULO (TRANSCRIPCIÓN)</w:t>
            </w:r>
          </w:p>
        </w:tc>
      </w:tr>
      <w:tr w:rsidR="00FC02D0" w:rsidTr="00F71A02">
        <w:trPr>
          <w:trHeight w:val="2208"/>
        </w:trPr>
        <w:tc>
          <w:tcPr>
            <w:tcW w:w="1272" w:type="dxa"/>
            <w:shd w:val="clear" w:color="auto" w:fill="auto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shd w:val="clear" w:color="auto" w:fill="auto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  <w:shd w:val="clear" w:color="auto" w:fill="auto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2" w:type="dxa"/>
            <w:shd w:val="clear" w:color="auto" w:fill="auto"/>
          </w:tcPr>
          <w:p w:rsidR="00FC02D0" w:rsidRDefault="00CD1CE7">
            <w:pPr>
              <w:pStyle w:val="TableParagraph"/>
              <w:spacing w:before="2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Estado, por actos o hechos emitidos por los partidos políticos, sus dirigentes, militantes o simpatizantes, a excepción de las derivadas en materia de fiscalización sobre el origen, monto y destino de sus recursos, y</w:t>
            </w:r>
          </w:p>
          <w:p w:rsidR="00FC02D0" w:rsidRDefault="00CD1CE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FC02D0" w:rsidRDefault="00FC02D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C02D0" w:rsidRDefault="00CD1CE7">
            <w:pPr>
              <w:pStyle w:val="TableParagraph"/>
              <w:ind w:left="106" w:right="99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TERCERO.-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El Consejo General del Instituto Electoral, en la siguiente sesión pública que celebre, después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vigor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decreto,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integrar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Fiscalización de los Recursos de los Partidos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Políticos.</w:t>
            </w:r>
          </w:p>
        </w:tc>
      </w:tr>
      <w:tr w:rsidR="00CD1CE7" w:rsidTr="00C17A8A">
        <w:trPr>
          <w:trHeight w:val="6046"/>
        </w:trPr>
        <w:tc>
          <w:tcPr>
            <w:tcW w:w="1272" w:type="dxa"/>
          </w:tcPr>
          <w:p w:rsidR="00CD1CE7" w:rsidRDefault="00CD1CE7">
            <w:pPr>
              <w:pStyle w:val="TableParagraph"/>
              <w:spacing w:before="110"/>
              <w:ind w:left="448" w:right="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402" w:type="dxa"/>
          </w:tcPr>
          <w:p w:rsidR="00CD1CE7" w:rsidRDefault="00CD1CE7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BAJA CALIFORNIA</w:t>
            </w:r>
          </w:p>
        </w:tc>
        <w:tc>
          <w:tcPr>
            <w:tcW w:w="3833" w:type="dxa"/>
          </w:tcPr>
          <w:p w:rsidR="00CD1CE7" w:rsidRDefault="00CD1CE7">
            <w:pPr>
              <w:pStyle w:val="TableParagraph"/>
              <w:tabs>
                <w:tab w:val="left" w:pos="1525"/>
                <w:tab w:val="left" w:pos="2435"/>
                <w:tab w:val="left" w:pos="2982"/>
              </w:tabs>
              <w:spacing w:before="114" w:line="235" w:lineRule="auto"/>
              <w:ind w:left="108" w:right="99"/>
              <w:rPr>
                <w:b/>
                <w:sz w:val="20"/>
              </w:rPr>
            </w:pPr>
            <w:r>
              <w:rPr>
                <w:b/>
                <w:color w:val="762022"/>
                <w:sz w:val="20"/>
              </w:rPr>
              <w:t>Reglamento</w:t>
            </w:r>
            <w:r>
              <w:rPr>
                <w:b/>
                <w:color w:val="762022"/>
                <w:sz w:val="20"/>
              </w:rPr>
              <w:tab/>
              <w:t>Interior</w:t>
            </w:r>
            <w:r>
              <w:rPr>
                <w:b/>
                <w:color w:val="762022"/>
                <w:sz w:val="20"/>
              </w:rPr>
              <w:tab/>
              <w:t>del</w:t>
            </w:r>
            <w:r>
              <w:rPr>
                <w:b/>
                <w:color w:val="762022"/>
                <w:sz w:val="20"/>
              </w:rPr>
              <w:tab/>
            </w:r>
            <w:r>
              <w:rPr>
                <w:b/>
                <w:color w:val="762022"/>
                <w:spacing w:val="-3"/>
                <w:sz w:val="20"/>
              </w:rPr>
              <w:t xml:space="preserve">Instituto </w:t>
            </w:r>
            <w:r>
              <w:rPr>
                <w:b/>
                <w:color w:val="762022"/>
                <w:sz w:val="20"/>
              </w:rPr>
              <w:t>Estatal Electoral de Baja</w:t>
            </w:r>
            <w:r>
              <w:rPr>
                <w:b/>
                <w:color w:val="762022"/>
                <w:spacing w:val="-8"/>
                <w:sz w:val="20"/>
              </w:rPr>
              <w:t xml:space="preserve"> </w:t>
            </w:r>
            <w:r>
              <w:rPr>
                <w:b/>
                <w:color w:val="762022"/>
                <w:sz w:val="20"/>
              </w:rPr>
              <w:t>California</w:t>
            </w:r>
          </w:p>
        </w:tc>
        <w:tc>
          <w:tcPr>
            <w:tcW w:w="9642" w:type="dxa"/>
          </w:tcPr>
          <w:p w:rsidR="00CD1CE7" w:rsidRDefault="00CD1CE7" w:rsidP="00CD1CE7">
            <w:pPr>
              <w:pStyle w:val="TableParagraph"/>
              <w:spacing w:before="2" w:line="245" w:lineRule="exact"/>
              <w:ind w:lef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Artículo 56.</w:t>
            </w:r>
          </w:p>
          <w:p w:rsidR="00CD1CE7" w:rsidRDefault="00CD1CE7" w:rsidP="00CD1CE7">
            <w:pPr>
              <w:pStyle w:val="TableParagraph"/>
              <w:spacing w:before="6" w:line="24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1. Para el cumplimiento de las atribuciones que la Ley Electoral le confiere, corresponde a la Unidad de lo Contencioso.</w:t>
            </w:r>
          </w:p>
          <w:p w:rsidR="00CD1CE7" w:rsidRDefault="00CD1CE7" w:rsidP="00CD1CE7">
            <w:pPr>
              <w:pStyle w:val="TableParagraph"/>
              <w:spacing w:line="241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CD1CE7" w:rsidRDefault="00CD1CE7" w:rsidP="00CD1CE7">
            <w:pPr>
              <w:pStyle w:val="TableParagraph"/>
              <w:spacing w:before="123" w:line="22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w) Remitir al Instituto Nacional Electoral las quejas y denuncias que se reciban, cuando los hechos</w:t>
            </w:r>
          </w:p>
          <w:p w:rsidR="00CD1CE7" w:rsidRDefault="00CD1CE7" w:rsidP="00CD1CE7">
            <w:pPr>
              <w:pStyle w:val="TableParagraph"/>
              <w:spacing w:line="22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denunciados versen sobre propaganda en radio y televisión, y fiscalización electoral;</w:t>
            </w:r>
          </w:p>
          <w:p w:rsidR="00CD1CE7" w:rsidRDefault="00CD1CE7" w:rsidP="00CD1CE7">
            <w:pPr>
              <w:pStyle w:val="TableParagraph"/>
              <w:spacing w:line="24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CD1CE7" w:rsidRDefault="00CD1CE7" w:rsidP="00CD1CE7">
            <w:pPr>
              <w:pStyle w:val="TableParagraph"/>
              <w:spacing w:before="122" w:line="227" w:lineRule="exact"/>
              <w:ind w:lef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Artículo 59.</w:t>
            </w:r>
          </w:p>
          <w:p w:rsidR="00CD1CE7" w:rsidRDefault="00CD1CE7" w:rsidP="00CD1CE7">
            <w:pPr>
              <w:pStyle w:val="TableParagraph"/>
              <w:spacing w:line="22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1. Para su apropiado funcionamiento la Coordinación de Partidos contará con la Oficina de Partidos Políticos y Candidaturas Independientes, así como la Oficina de Prerrogativas y</w:t>
            </w:r>
          </w:p>
          <w:p w:rsidR="00CD1CE7" w:rsidRDefault="00CD1CE7" w:rsidP="00CD1CE7">
            <w:pPr>
              <w:pStyle w:val="TableParagraph"/>
              <w:spacing w:line="22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Financiamiento, quienes tendrán las siguientes funciones:</w:t>
            </w:r>
          </w:p>
          <w:p w:rsidR="00CD1CE7" w:rsidRDefault="00CD1CE7" w:rsidP="00CD1CE7">
            <w:pPr>
              <w:pStyle w:val="TableParagraph"/>
              <w:spacing w:line="24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CD1CE7" w:rsidRDefault="00CD1CE7" w:rsidP="00CD1CE7">
            <w:pPr>
              <w:pStyle w:val="TableParagraph"/>
              <w:spacing w:before="122" w:line="22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b) Oficina de Prerrogativas y Financiamiento:</w:t>
            </w:r>
          </w:p>
          <w:p w:rsidR="00CD1CE7" w:rsidRDefault="00CD1CE7" w:rsidP="00CD1CE7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  <w:p w:rsidR="00CD1CE7" w:rsidRDefault="00CD1CE7" w:rsidP="00CD1CE7">
            <w:pPr>
              <w:pStyle w:val="TableParagraph"/>
              <w:spacing w:before="122" w:line="22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IV. Realizar los trabajos de fiscalización que por delegación otorgue el Instituto Nacional Electoral</w:t>
            </w:r>
          </w:p>
          <w:p w:rsidR="00CD1CE7" w:rsidRDefault="00CD1CE7" w:rsidP="00CD1CE7">
            <w:pPr>
              <w:pStyle w:val="TableParagraph"/>
              <w:spacing w:line="22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al Instituto, así como coadyuvar en la recepción y revisión de los informes financieros que presenten las agrupaciones políticas que aspiren obtener su registro como partidos políticos</w:t>
            </w:r>
          </w:p>
          <w:p w:rsidR="00CD1CE7" w:rsidRDefault="00CD1CE7" w:rsidP="00CD1CE7">
            <w:pPr>
              <w:pStyle w:val="TableParagraph"/>
              <w:spacing w:line="22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locales, y</w:t>
            </w:r>
          </w:p>
          <w:p w:rsidR="00CD1CE7" w:rsidRDefault="00CD1CE7" w:rsidP="00CD1CE7">
            <w:pPr>
              <w:pStyle w:val="TableParagraph"/>
              <w:spacing w:line="226" w:lineRule="exact"/>
              <w:ind w:left="106"/>
              <w:jc w:val="both"/>
              <w:rPr>
                <w:sz w:val="20"/>
              </w:rPr>
            </w:pPr>
          </w:p>
          <w:p w:rsidR="00CD1CE7" w:rsidRDefault="00CD1CE7" w:rsidP="00CD1CE7">
            <w:pPr>
              <w:pStyle w:val="TableParagraph"/>
              <w:spacing w:line="22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V. Las demás que le sean conferidas el titular de por la Coordinación de Partidos.</w:t>
            </w:r>
          </w:p>
          <w:p w:rsidR="00CD1CE7" w:rsidRDefault="00CD1CE7" w:rsidP="00CD1CE7">
            <w:pPr>
              <w:pStyle w:val="TableParagraph"/>
              <w:spacing w:line="221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[…]</w:t>
            </w:r>
          </w:p>
        </w:tc>
      </w:tr>
    </w:tbl>
    <w:p w:rsidR="00FC02D0" w:rsidRDefault="00FC02D0">
      <w:pPr>
        <w:spacing w:line="221" w:lineRule="exact"/>
        <w:rPr>
          <w:sz w:val="20"/>
        </w:rPr>
        <w:sectPr w:rsidR="00FC02D0">
          <w:pgSz w:w="20160" w:h="12240" w:orient="landscape"/>
          <w:pgMar w:top="1120" w:right="1380" w:bottom="280" w:left="1400" w:header="885" w:footer="0" w:gutter="0"/>
          <w:cols w:space="720"/>
        </w:sectPr>
      </w:pPr>
    </w:p>
    <w:p w:rsidR="00FC02D0" w:rsidRDefault="00CD1CE7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1052604</wp:posOffset>
            </wp:positionH>
            <wp:positionV relativeFrom="page">
              <wp:posOffset>567385</wp:posOffset>
            </wp:positionV>
            <wp:extent cx="1040838" cy="1001344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38" cy="100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FC02D0" w:rsidRDefault="00FC02D0">
      <w:pPr>
        <w:pStyle w:val="Textoindependiente"/>
        <w:spacing w:before="10"/>
        <w:rPr>
          <w:rFonts w:ascii="Times New Roman"/>
          <w:b w:val="0"/>
          <w:i w:val="0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402"/>
        <w:gridCol w:w="3833"/>
        <w:gridCol w:w="9642"/>
      </w:tblGrid>
      <w:tr w:rsidR="00FC02D0">
        <w:trPr>
          <w:trHeight w:val="479"/>
        </w:trPr>
        <w:tc>
          <w:tcPr>
            <w:tcW w:w="1272" w:type="dxa"/>
            <w:shd w:val="clear" w:color="auto" w:fill="76923B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804" w:right="7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ESTADO</w:t>
            </w:r>
          </w:p>
        </w:tc>
        <w:tc>
          <w:tcPr>
            <w:tcW w:w="3833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337" w:right="3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LEY</w:t>
            </w:r>
          </w:p>
        </w:tc>
        <w:tc>
          <w:tcPr>
            <w:tcW w:w="9642" w:type="dxa"/>
            <w:shd w:val="clear" w:color="auto" w:fill="76923B"/>
          </w:tcPr>
          <w:p w:rsidR="00FC02D0" w:rsidRDefault="00CD1CE7">
            <w:pPr>
              <w:pStyle w:val="TableParagraph"/>
              <w:spacing w:before="110"/>
              <w:ind w:left="3437" w:right="343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ARTÍCULO (TRANSCRIPCIÓN)</w:t>
            </w:r>
          </w:p>
        </w:tc>
      </w:tr>
      <w:tr w:rsidR="00FC02D0">
        <w:trPr>
          <w:trHeight w:val="705"/>
        </w:trPr>
        <w:tc>
          <w:tcPr>
            <w:tcW w:w="1272" w:type="dxa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2" w:type="dxa"/>
          </w:tcPr>
          <w:p w:rsidR="00FC02D0" w:rsidRDefault="00FC0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2D0" w:rsidTr="002E5B4F">
        <w:trPr>
          <w:trHeight w:val="707"/>
        </w:trPr>
        <w:tc>
          <w:tcPr>
            <w:tcW w:w="1272" w:type="dxa"/>
            <w:shd w:val="clear" w:color="auto" w:fill="auto"/>
          </w:tcPr>
          <w:p w:rsidR="00FC02D0" w:rsidRDefault="00CD1CE7">
            <w:pPr>
              <w:pStyle w:val="TableParagraph"/>
              <w:spacing w:before="110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402" w:type="dxa"/>
            <w:shd w:val="clear" w:color="auto" w:fill="auto"/>
          </w:tcPr>
          <w:p w:rsidR="00FC02D0" w:rsidRDefault="00CD1CE7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BAJA CALIFORNIA</w:t>
            </w:r>
          </w:p>
        </w:tc>
        <w:tc>
          <w:tcPr>
            <w:tcW w:w="13475" w:type="dxa"/>
            <w:gridSpan w:val="2"/>
            <w:shd w:val="clear" w:color="auto" w:fill="auto"/>
          </w:tcPr>
          <w:p w:rsidR="00FC02D0" w:rsidRDefault="00F71A02">
            <w:pPr>
              <w:pStyle w:val="TableParagraph"/>
              <w:spacing w:before="110"/>
              <w:ind w:left="108"/>
              <w:rPr>
                <w:b/>
                <w:sz w:val="20"/>
              </w:rPr>
            </w:pPr>
            <w:hyperlink r:id="rId13" w:history="1">
              <w:r w:rsidR="00CD1CE7" w:rsidRPr="004E60E3">
                <w:rPr>
                  <w:rStyle w:val="Hipervnculo"/>
                  <w:b/>
                  <w:sz w:val="20"/>
                </w:rPr>
                <w:t>Reglamento que establece los lineamientos aplicables a las prerrogativas, fiscalización de los recursos y liquidación de los partidos políticos en el estado de Baja California</w:t>
              </w:r>
            </w:hyperlink>
          </w:p>
        </w:tc>
      </w:tr>
      <w:tr w:rsidR="004E60E3" w:rsidTr="002E5B4F">
        <w:trPr>
          <w:trHeight w:val="707"/>
        </w:trPr>
        <w:tc>
          <w:tcPr>
            <w:tcW w:w="1272" w:type="dxa"/>
            <w:shd w:val="clear" w:color="auto" w:fill="auto"/>
          </w:tcPr>
          <w:p w:rsidR="004E60E3" w:rsidRDefault="004E60E3" w:rsidP="004E60E3">
            <w:pPr>
              <w:pStyle w:val="TableParagraph"/>
              <w:spacing w:before="110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402" w:type="dxa"/>
            <w:shd w:val="clear" w:color="auto" w:fill="auto"/>
          </w:tcPr>
          <w:p w:rsidR="004E60E3" w:rsidRDefault="004E60E3" w:rsidP="004E60E3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BAJA CALIFORNIA</w:t>
            </w:r>
          </w:p>
        </w:tc>
        <w:tc>
          <w:tcPr>
            <w:tcW w:w="13475" w:type="dxa"/>
            <w:gridSpan w:val="2"/>
            <w:shd w:val="clear" w:color="auto" w:fill="auto"/>
          </w:tcPr>
          <w:p w:rsidR="004E60E3" w:rsidRDefault="00F71A02" w:rsidP="004E60E3">
            <w:pPr>
              <w:pStyle w:val="TableParagraph"/>
              <w:spacing w:before="110"/>
              <w:ind w:left="108"/>
              <w:rPr>
                <w:b/>
                <w:color w:val="762022"/>
                <w:sz w:val="20"/>
              </w:rPr>
            </w:pPr>
            <w:hyperlink r:id="rId14" w:history="1">
              <w:r w:rsidR="004E60E3" w:rsidRPr="004E60E3">
                <w:rPr>
                  <w:rStyle w:val="Hipervnculo"/>
                  <w:b/>
                  <w:sz w:val="20"/>
                </w:rPr>
                <w:t>Reglamento que establece Los Lineamientos para la presentación y fiscalización de los informes Financieros de Los Partidos Políticos Y Coaliciones</w:t>
              </w:r>
            </w:hyperlink>
          </w:p>
        </w:tc>
      </w:tr>
      <w:tr w:rsidR="00FC02D0">
        <w:trPr>
          <w:trHeight w:val="705"/>
        </w:trPr>
        <w:tc>
          <w:tcPr>
            <w:tcW w:w="1272" w:type="dxa"/>
          </w:tcPr>
          <w:p w:rsidR="00FC02D0" w:rsidRDefault="00CD1CE7">
            <w:pPr>
              <w:pStyle w:val="TableParagraph"/>
              <w:spacing w:before="110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402" w:type="dxa"/>
          </w:tcPr>
          <w:p w:rsidR="00FC02D0" w:rsidRDefault="00CD1CE7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BAJA CALIFORNIA</w:t>
            </w:r>
          </w:p>
        </w:tc>
        <w:tc>
          <w:tcPr>
            <w:tcW w:w="13475" w:type="dxa"/>
            <w:gridSpan w:val="2"/>
          </w:tcPr>
          <w:p w:rsidR="00FC02D0" w:rsidRDefault="00FC02D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C02D0" w:rsidRDefault="00CD1CE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762022"/>
                <w:sz w:val="20"/>
              </w:rPr>
              <w:t>R</w:t>
            </w:r>
            <w:hyperlink r:id="rId15" w:history="1">
              <w:r w:rsidRPr="004E60E3">
                <w:rPr>
                  <w:rStyle w:val="Hipervnculo"/>
                  <w:b/>
                  <w:sz w:val="20"/>
                </w:rPr>
                <w:t>eglamento de quejas en materia de fiscalización y vigilancia de los recursos de los partidos políticos en el Estado de Baja California</w:t>
              </w:r>
            </w:hyperlink>
          </w:p>
        </w:tc>
      </w:tr>
    </w:tbl>
    <w:p w:rsidR="00FC02D0" w:rsidRDefault="00FC02D0">
      <w:pPr>
        <w:spacing w:line="244" w:lineRule="exact"/>
        <w:jc w:val="both"/>
        <w:rPr>
          <w:sz w:val="20"/>
        </w:rPr>
        <w:sectPr w:rsidR="00FC02D0">
          <w:pgSz w:w="20160" w:h="12240" w:orient="landscape"/>
          <w:pgMar w:top="1120" w:right="1380" w:bottom="280" w:left="1400" w:header="885" w:footer="0" w:gutter="0"/>
          <w:cols w:space="720"/>
        </w:sectPr>
      </w:pPr>
    </w:p>
    <w:p w:rsidR="00FC02D0" w:rsidRDefault="00FC02D0">
      <w:pPr>
        <w:pStyle w:val="Textoindependiente"/>
        <w:rPr>
          <w:rFonts w:ascii="Times New Roman"/>
          <w:b w:val="0"/>
          <w:i w:val="0"/>
          <w:sz w:val="20"/>
        </w:rPr>
      </w:pPr>
    </w:p>
    <w:p w:rsidR="005626C8" w:rsidRDefault="005626C8" w:rsidP="004E60E3"/>
    <w:sectPr w:rsidR="005626C8">
      <w:pgSz w:w="20160" w:h="12240" w:orient="landscape"/>
      <w:pgMar w:top="1120" w:right="1380" w:bottom="280" w:left="1400" w:header="8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C8" w:rsidRDefault="00CD1CE7">
      <w:r>
        <w:separator/>
      </w:r>
    </w:p>
  </w:endnote>
  <w:endnote w:type="continuationSeparator" w:id="0">
    <w:p w:rsidR="005626C8" w:rsidRDefault="00CD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C8" w:rsidRDefault="00CD1CE7">
      <w:r>
        <w:separator/>
      </w:r>
    </w:p>
  </w:footnote>
  <w:footnote w:type="continuationSeparator" w:id="0">
    <w:p w:rsidR="005626C8" w:rsidRDefault="00CD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2D0" w:rsidRDefault="003636F3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7559439</wp:posOffset>
              </wp:positionH>
              <wp:positionV relativeFrom="topMargin">
                <wp:posOffset>393050</wp:posOffset>
              </wp:positionV>
              <wp:extent cx="4614530" cy="212652"/>
              <wp:effectExtent l="0" t="0" r="15240" b="165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4530" cy="2126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2D0" w:rsidRDefault="00707301" w:rsidP="00707301">
                          <w:pPr>
                            <w:pStyle w:val="Textoindependiente"/>
                            <w:spacing w:before="13"/>
                          </w:pPr>
                          <w:r w:rsidRPr="00707301">
                            <w:t xml:space="preserve">DIRECCIÓN GENERAL DE </w:t>
                          </w:r>
                          <w:r w:rsidR="00CD1CE7" w:rsidRPr="00707301">
                            <w:t>J</w:t>
                          </w:r>
                          <w:r w:rsidR="00CD1CE7">
                            <w:t>URISPRUDENCIA</w:t>
                          </w:r>
                          <w:r w:rsidR="00CD1CE7" w:rsidRPr="00707301">
                            <w:t xml:space="preserve">, </w:t>
                          </w:r>
                          <w:r w:rsidR="00CD1CE7">
                            <w:t>SEGUIMIENTO Y</w:t>
                          </w:r>
                          <w:r>
                            <w:t xml:space="preserve"> CONSULTA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5.25pt;margin-top:30.95pt;width:363.3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" filled="f" stroked="f">
              <v:textbox inset="0,0,0,0">
                <w:txbxContent>
                  <w:p w:rsidR="00FC02D0" w:rsidRDefault="00707301" w:rsidP="00707301">
                    <w:pPr>
                      <w:pStyle w:val="Textoindependiente"/>
                      <w:spacing w:before="13"/>
                    </w:pPr>
                    <w:r w:rsidRPr="00707301">
                      <w:t xml:space="preserve">DIRECCIÓN GENERAL DE </w:t>
                    </w:r>
                    <w:r w:rsidR="00CD1CE7" w:rsidRPr="00707301">
                      <w:t>J</w:t>
                    </w:r>
                    <w:r w:rsidR="00CD1CE7">
                      <w:t>URISPRUDENCIA</w:t>
                    </w:r>
                    <w:r w:rsidR="00CD1CE7" w:rsidRPr="00707301">
                      <w:t xml:space="preserve">, </w:t>
                    </w:r>
                    <w:r w:rsidR="00CD1CE7">
                      <w:t>SEGUIMIENTO Y</w:t>
                    </w:r>
                    <w:r>
                      <w:t xml:space="preserve"> CONSULTA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D0"/>
    <w:rsid w:val="0024477B"/>
    <w:rsid w:val="002B1021"/>
    <w:rsid w:val="002E5B4F"/>
    <w:rsid w:val="0030768F"/>
    <w:rsid w:val="003142F5"/>
    <w:rsid w:val="003636F3"/>
    <w:rsid w:val="004E60E3"/>
    <w:rsid w:val="004F290C"/>
    <w:rsid w:val="005626C8"/>
    <w:rsid w:val="00707301"/>
    <w:rsid w:val="0094140D"/>
    <w:rsid w:val="00CD1CE7"/>
    <w:rsid w:val="00D20F47"/>
    <w:rsid w:val="00F71A02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A962F47-869B-4C5A-A3E5-AC5ECBFD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i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73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301"/>
    <w:rPr>
      <w:rFonts w:ascii="Century Gothic" w:eastAsia="Century Gothic" w:hAnsi="Century Gothic" w:cs="Century Gothic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073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301"/>
    <w:rPr>
      <w:rFonts w:ascii="Century Gothic" w:eastAsia="Century Gothic" w:hAnsi="Century Gothic" w:cs="Century Gothic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30768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76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68F"/>
    <w:rPr>
      <w:color w:val="800080" w:themeColor="followedHyperlink"/>
      <w:u w:val="single"/>
    </w:rPr>
  </w:style>
  <w:style w:type="paragraph" w:customStyle="1" w:styleId="Estilo">
    <w:name w:val="Estilo"/>
    <w:basedOn w:val="Sinespaciado"/>
    <w:link w:val="EstiloCar"/>
    <w:qFormat/>
    <w:rsid w:val="004F290C"/>
    <w:pPr>
      <w:widowControl/>
      <w:autoSpaceDE/>
      <w:autoSpaceDN/>
      <w:jc w:val="both"/>
    </w:pPr>
    <w:rPr>
      <w:rFonts w:ascii="Arial" w:eastAsiaTheme="minorHAnsi" w:hAnsi="Arial" w:cstheme="minorBidi"/>
      <w:sz w:val="24"/>
      <w:lang w:eastAsia="en-US" w:bidi="ar-SA"/>
    </w:rPr>
  </w:style>
  <w:style w:type="character" w:customStyle="1" w:styleId="EstiloCar">
    <w:name w:val="Estilo Car"/>
    <w:basedOn w:val="Fuentedeprrafopredeter"/>
    <w:link w:val="Estilo"/>
    <w:rsid w:val="004F290C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4F290C"/>
    <w:rPr>
      <w:rFonts w:ascii="Century Gothic" w:eastAsia="Century Gothic" w:hAnsi="Century Gothic" w:cs="Century Gothic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vmsilap.scjn.pjf.gob.mx/Buscador/Paginas/AbrirDocArticulo.aspx?q=u+uol4XmeVVQSBV20oBZU9keKq4FKHCa0aAk3FXZNC1bLO5umXyOZumJxSkh170N0WCnTWU34DChT7ld4wWX9A==" TargetMode="External"/><Relationship Id="rId13" Type="http://schemas.openxmlformats.org/officeDocument/2006/relationships/hyperlink" Target="http://bovmsilap.scjn.pjf.gob.mx/Buscador/Paginas/AbrirDocArticulo.aspx?q=IcKODUt8wZ03W94AioOOvjzBQIQ4vvJ1VxbsC3+W+X6nRyBiylY6VS/pfYr0yPiDOmPZGXT8CKPDXfrpIj+9/Q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vmsilap.scjn.pjf.gob.mx/Buscador/Paginas/AbrirDocArticulo.aspx?q=hElxwBCy5fkagUtYnAvBndULryclnz+IPbI037GwBLVk9Eite/S1gUaS8/g0ZRRyDcFPbDaoeyZuWHrQCPcFGA==" TargetMode="External"/><Relationship Id="rId12" Type="http://schemas.openxmlformats.org/officeDocument/2006/relationships/hyperlink" Target="http://bovmsilap.scjn.pjf.gob.mx/Buscador/Paginas/AbrirDocReforma.aspx?q=Upmvcxia2ntX3YVztB0yTplRQeJVjOSzcn+782j35kAsyJ8uxVtTdDQxjglpJEbcmfBFLb/l3QbnB6qSYWNNXBwsBsqlFf+nhEndMuY9VodOAFDx8Q58Ni+NyoVtYpI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ovmsilap.scjn.pjf.gob.mx/Buscador/Paginas/AbrirDocArticulo.aspx?q=u+uol4XmeVVQSBV20oBZU8wOT3SaO6fcQJ0sL0XXmX/ydRFnbSlyj5IwLzx6nJrC1TnaMGFIWdEKFxLqPFkjtw==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ovmsilap.scjn.pjf.gob.mx/Buscador/Paginas/AbrirDocArticulo.aspx?q=IcKODUt8wZ03W94AioOOviQWMbRuwRLmH/V0qjd4EWIKfK/M+Fmqa3j0Yizh5Z2CTNPNG7eGrs3Pl9x20YvD9w==" TargetMode="External"/><Relationship Id="rId10" Type="http://schemas.openxmlformats.org/officeDocument/2006/relationships/hyperlink" Target="http://bovmsilap.scjn.pjf.gob.mx/Buscador/Paginas/AbrirDocArticulo.aspx?q=u+uol4XmeVVQSBV20oBZU/Em9tdbycG5E2nQPFV14+8mf12oWYM6sfEfHTQjWVjPblylOvhKklzZJpTT8RiCeg==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bovmsilap.scjn.pjf.gob.mx/Buscador/Paginas/AbrirDocArticulo.aspx?q=f1G76H8Whi01YsK4VdoyO5K3H53RdJ0nesweT8NXrm+Zec6sJVrlOYzDVyLGQjlWOuHqW6bk3pvNJL2UiVMqG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1802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Isay Martínez Flores</dc:creator>
  <cp:lastModifiedBy>José Francisco Jiménez Guerrero</cp:lastModifiedBy>
  <cp:revision>12</cp:revision>
  <dcterms:created xsi:type="dcterms:W3CDTF">2021-11-01T20:30:00Z</dcterms:created>
  <dcterms:modified xsi:type="dcterms:W3CDTF">2021-11-03T21:22:00Z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