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8B17" w14:textId="77777777" w:rsidR="004F35DF" w:rsidRDefault="004F35DF">
      <w:pPr>
        <w:spacing w:after="0"/>
        <w:ind w:left="-24" w:right="17248"/>
        <w:jc w:val="both"/>
      </w:pPr>
    </w:p>
    <w:tbl>
      <w:tblPr>
        <w:tblStyle w:val="TableGrid"/>
        <w:tblW w:w="17731" w:type="dxa"/>
        <w:tblInd w:w="-17" w:type="dxa"/>
        <w:tblLayout w:type="fixed"/>
        <w:tblCellMar>
          <w:top w:w="61" w:type="dxa"/>
          <w:left w:w="108" w:type="dxa"/>
          <w:right w:w="51" w:type="dxa"/>
        </w:tblCellMar>
        <w:tblLook w:val="04A0" w:firstRow="1" w:lastRow="0" w:firstColumn="1" w:lastColumn="0" w:noHBand="0" w:noVBand="1"/>
      </w:tblPr>
      <w:tblGrid>
        <w:gridCol w:w="863"/>
        <w:gridCol w:w="1417"/>
        <w:gridCol w:w="5245"/>
        <w:gridCol w:w="10206"/>
      </w:tblGrid>
      <w:tr w:rsidR="00111874" w14:paraId="005C51CB" w14:textId="77777777" w:rsidTr="001D0B4C">
        <w:trPr>
          <w:trHeight w:val="408"/>
          <w:tblHeader/>
        </w:trPr>
        <w:tc>
          <w:tcPr>
            <w:tcW w:w="863" w:type="dxa"/>
            <w:tcBorders>
              <w:top w:val="single" w:sz="4" w:space="0" w:color="BFBFBF"/>
              <w:left w:val="single" w:sz="4" w:space="0" w:color="BFBFBF"/>
              <w:bottom w:val="single" w:sz="4" w:space="0" w:color="BFBFBF"/>
              <w:right w:val="single" w:sz="4" w:space="0" w:color="BFBFBF"/>
            </w:tcBorders>
            <w:shd w:val="clear" w:color="auto" w:fill="76923C"/>
          </w:tcPr>
          <w:p w14:paraId="5890EE09" w14:textId="77777777" w:rsidR="00111874" w:rsidRDefault="00111874">
            <w:pPr>
              <w:ind w:left="191"/>
              <w:jc w:val="center"/>
            </w:pPr>
            <w:r>
              <w:rPr>
                <w:rFonts w:ascii="Century Gothic" w:eastAsia="Century Gothic" w:hAnsi="Century Gothic" w:cs="Century Gothic"/>
                <w:b/>
                <w:color w:val="FFFFFF"/>
                <w:sz w:val="20"/>
              </w:rPr>
              <w:t xml:space="preserve"> </w:t>
            </w:r>
          </w:p>
        </w:tc>
        <w:tc>
          <w:tcPr>
            <w:tcW w:w="1417" w:type="dxa"/>
            <w:tcBorders>
              <w:top w:val="single" w:sz="4" w:space="0" w:color="BFBFBF"/>
              <w:left w:val="single" w:sz="4" w:space="0" w:color="BFBFBF"/>
              <w:bottom w:val="single" w:sz="4" w:space="0" w:color="BFBFBF"/>
              <w:right w:val="single" w:sz="4" w:space="0" w:color="BFBFBF"/>
            </w:tcBorders>
            <w:shd w:val="clear" w:color="auto" w:fill="76923C"/>
          </w:tcPr>
          <w:p w14:paraId="4B08B2B3" w14:textId="77777777" w:rsidR="00111874" w:rsidRDefault="00111874">
            <w:pPr>
              <w:ind w:right="60"/>
              <w:jc w:val="center"/>
            </w:pPr>
            <w:r>
              <w:rPr>
                <w:rFonts w:ascii="Century Gothic" w:eastAsia="Century Gothic" w:hAnsi="Century Gothic" w:cs="Century Gothic"/>
                <w:b/>
                <w:color w:val="FFFFFF"/>
                <w:sz w:val="20"/>
              </w:rPr>
              <w:t xml:space="preserve">ESTADO </w:t>
            </w:r>
          </w:p>
        </w:tc>
        <w:tc>
          <w:tcPr>
            <w:tcW w:w="5245" w:type="dxa"/>
            <w:tcBorders>
              <w:top w:val="single" w:sz="4" w:space="0" w:color="BFBFBF"/>
              <w:left w:val="single" w:sz="4" w:space="0" w:color="BFBFBF"/>
              <w:bottom w:val="single" w:sz="4" w:space="0" w:color="BFBFBF"/>
              <w:right w:val="single" w:sz="4" w:space="0" w:color="BFBFBF"/>
            </w:tcBorders>
            <w:shd w:val="clear" w:color="auto" w:fill="76923C"/>
          </w:tcPr>
          <w:p w14:paraId="27BC584B" w14:textId="77777777" w:rsidR="00111874" w:rsidRDefault="00111874">
            <w:pPr>
              <w:ind w:right="58"/>
              <w:jc w:val="center"/>
            </w:pPr>
            <w:r>
              <w:rPr>
                <w:rFonts w:ascii="Century Gothic" w:eastAsia="Century Gothic" w:hAnsi="Century Gothic" w:cs="Century Gothic"/>
                <w:b/>
                <w:color w:val="FFFFFF"/>
                <w:sz w:val="20"/>
              </w:rPr>
              <w:t xml:space="preserve">LEY </w:t>
            </w:r>
          </w:p>
        </w:tc>
        <w:tc>
          <w:tcPr>
            <w:tcW w:w="10206" w:type="dxa"/>
            <w:tcBorders>
              <w:top w:val="single" w:sz="4" w:space="0" w:color="BFBFBF"/>
              <w:left w:val="single" w:sz="4" w:space="0" w:color="BFBFBF"/>
              <w:bottom w:val="single" w:sz="4" w:space="0" w:color="BFBFBF"/>
              <w:right w:val="single" w:sz="4" w:space="0" w:color="BFBFBF"/>
            </w:tcBorders>
            <w:shd w:val="clear" w:color="auto" w:fill="76923C"/>
          </w:tcPr>
          <w:p w14:paraId="69B28319" w14:textId="799010C4" w:rsidR="00111874" w:rsidRDefault="00111874">
            <w:pPr>
              <w:ind w:right="58"/>
              <w:jc w:val="center"/>
              <w:rPr>
                <w:rFonts w:ascii="Century Gothic" w:eastAsia="Century Gothic" w:hAnsi="Century Gothic" w:cs="Century Gothic"/>
                <w:b/>
                <w:color w:val="FFFFFF"/>
                <w:sz w:val="20"/>
              </w:rPr>
            </w:pPr>
            <w:r w:rsidRPr="00E77FBA">
              <w:rPr>
                <w:rFonts w:ascii="Century Gothic" w:eastAsia="Century Gothic" w:hAnsi="Century Gothic" w:cs="Century Gothic"/>
                <w:b/>
                <w:color w:val="FFFFFF"/>
                <w:sz w:val="20"/>
              </w:rPr>
              <w:t>ARTÍCULO (TRANSCRIPCIÓN)</w:t>
            </w:r>
          </w:p>
        </w:tc>
      </w:tr>
      <w:tr w:rsidR="00111874" w14:paraId="0F249EAF" w14:textId="77777777" w:rsidTr="001D0B4C">
        <w:trPr>
          <w:trHeight w:val="1529"/>
        </w:trPr>
        <w:tc>
          <w:tcPr>
            <w:tcW w:w="86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0BA87F3" w14:textId="77777777" w:rsidR="00111874" w:rsidRDefault="00111874">
            <w:pPr>
              <w:ind w:right="419"/>
              <w:jc w:val="center"/>
              <w:rPr>
                <w:rFonts w:ascii="Century Gothic" w:eastAsia="Century Gothic" w:hAnsi="Century Gothic" w:cs="Century Gothic"/>
                <w:b/>
                <w:sz w:val="20"/>
              </w:rPr>
            </w:pPr>
          </w:p>
          <w:p w14:paraId="3EFE5FC1" w14:textId="77777777" w:rsidR="00111874" w:rsidRDefault="00111874">
            <w:pPr>
              <w:ind w:right="419"/>
              <w:jc w:val="center"/>
              <w:rPr>
                <w:rFonts w:ascii="Century Gothic" w:eastAsia="Century Gothic" w:hAnsi="Century Gothic" w:cs="Century Gothic"/>
                <w:b/>
                <w:sz w:val="20"/>
              </w:rPr>
            </w:pPr>
          </w:p>
          <w:p w14:paraId="3FAC3552" w14:textId="77777777" w:rsidR="00111874" w:rsidRDefault="00111874">
            <w:pPr>
              <w:ind w:right="419"/>
              <w:jc w:val="center"/>
              <w:rPr>
                <w:rFonts w:ascii="Century Gothic" w:eastAsia="Century Gothic" w:hAnsi="Century Gothic" w:cs="Century Gothic"/>
                <w:b/>
                <w:sz w:val="20"/>
              </w:rPr>
            </w:pPr>
          </w:p>
          <w:p w14:paraId="4C866C32" w14:textId="77777777" w:rsidR="00111874" w:rsidRDefault="00111874">
            <w:pPr>
              <w:ind w:right="419"/>
              <w:jc w:val="center"/>
              <w:rPr>
                <w:rFonts w:ascii="Century Gothic" w:eastAsia="Century Gothic" w:hAnsi="Century Gothic" w:cs="Century Gothic"/>
                <w:b/>
                <w:sz w:val="20"/>
              </w:rPr>
            </w:pPr>
          </w:p>
          <w:p w14:paraId="5BF19919" w14:textId="77777777" w:rsidR="00111874" w:rsidRDefault="00111874">
            <w:pPr>
              <w:ind w:right="419"/>
              <w:jc w:val="center"/>
              <w:rPr>
                <w:rFonts w:ascii="Century Gothic" w:eastAsia="Century Gothic" w:hAnsi="Century Gothic" w:cs="Century Gothic"/>
                <w:b/>
                <w:sz w:val="20"/>
              </w:rPr>
            </w:pPr>
          </w:p>
          <w:p w14:paraId="5E8B333D" w14:textId="77777777" w:rsidR="00111874" w:rsidRDefault="00111874">
            <w:pPr>
              <w:ind w:right="419"/>
              <w:jc w:val="center"/>
              <w:rPr>
                <w:rFonts w:ascii="Century Gothic" w:eastAsia="Century Gothic" w:hAnsi="Century Gothic" w:cs="Century Gothic"/>
                <w:b/>
                <w:sz w:val="20"/>
              </w:rPr>
            </w:pPr>
          </w:p>
          <w:p w14:paraId="1D399F3A" w14:textId="77777777" w:rsidR="00111874" w:rsidRDefault="00111874">
            <w:pPr>
              <w:ind w:right="419"/>
              <w:jc w:val="center"/>
              <w:rPr>
                <w:rFonts w:ascii="Century Gothic" w:eastAsia="Century Gothic" w:hAnsi="Century Gothic" w:cs="Century Gothic"/>
                <w:b/>
                <w:sz w:val="20"/>
              </w:rPr>
            </w:pPr>
          </w:p>
          <w:p w14:paraId="469E3568" w14:textId="77777777" w:rsidR="00111874" w:rsidRDefault="00111874">
            <w:pPr>
              <w:ind w:right="419"/>
              <w:jc w:val="center"/>
              <w:rPr>
                <w:rFonts w:ascii="Century Gothic" w:eastAsia="Century Gothic" w:hAnsi="Century Gothic" w:cs="Century Gothic"/>
                <w:b/>
                <w:sz w:val="20"/>
              </w:rPr>
            </w:pPr>
          </w:p>
          <w:p w14:paraId="3E73BF9B" w14:textId="77777777" w:rsidR="00111874" w:rsidRDefault="00111874">
            <w:pPr>
              <w:ind w:right="419"/>
              <w:jc w:val="center"/>
              <w:rPr>
                <w:rFonts w:ascii="Century Gothic" w:eastAsia="Century Gothic" w:hAnsi="Century Gothic" w:cs="Century Gothic"/>
                <w:b/>
                <w:sz w:val="20"/>
              </w:rPr>
            </w:pPr>
          </w:p>
          <w:p w14:paraId="798A7B91" w14:textId="77777777" w:rsidR="00111874" w:rsidRDefault="00111874">
            <w:pPr>
              <w:ind w:right="419"/>
              <w:jc w:val="center"/>
              <w:rPr>
                <w:rFonts w:ascii="Century Gothic" w:eastAsia="Century Gothic" w:hAnsi="Century Gothic" w:cs="Century Gothic"/>
                <w:b/>
                <w:sz w:val="20"/>
              </w:rPr>
            </w:pPr>
          </w:p>
          <w:p w14:paraId="50B356D8" w14:textId="77777777" w:rsidR="00111874" w:rsidRDefault="00111874">
            <w:pPr>
              <w:ind w:right="419"/>
              <w:jc w:val="center"/>
              <w:rPr>
                <w:rFonts w:ascii="Century Gothic" w:eastAsia="Century Gothic" w:hAnsi="Century Gothic" w:cs="Century Gothic"/>
                <w:b/>
                <w:sz w:val="20"/>
              </w:rPr>
            </w:pPr>
          </w:p>
          <w:p w14:paraId="0B178F56" w14:textId="77777777" w:rsidR="00111874" w:rsidRDefault="00111874">
            <w:pPr>
              <w:ind w:right="419"/>
              <w:jc w:val="center"/>
              <w:rPr>
                <w:rFonts w:ascii="Century Gothic" w:eastAsia="Century Gothic" w:hAnsi="Century Gothic" w:cs="Century Gothic"/>
                <w:b/>
                <w:sz w:val="20"/>
              </w:rPr>
            </w:pPr>
          </w:p>
          <w:p w14:paraId="21E29B2E" w14:textId="77777777" w:rsidR="00111874" w:rsidRDefault="00111874">
            <w:pPr>
              <w:ind w:right="419"/>
              <w:jc w:val="center"/>
              <w:rPr>
                <w:rFonts w:ascii="Century Gothic" w:eastAsia="Century Gothic" w:hAnsi="Century Gothic" w:cs="Century Gothic"/>
                <w:b/>
                <w:sz w:val="20"/>
              </w:rPr>
            </w:pPr>
          </w:p>
          <w:p w14:paraId="0D67EB63" w14:textId="77777777" w:rsidR="00111874" w:rsidRDefault="00111874">
            <w:pPr>
              <w:ind w:right="419"/>
              <w:jc w:val="center"/>
              <w:rPr>
                <w:rFonts w:ascii="Century Gothic" w:eastAsia="Century Gothic" w:hAnsi="Century Gothic" w:cs="Century Gothic"/>
                <w:b/>
                <w:sz w:val="20"/>
              </w:rPr>
            </w:pPr>
          </w:p>
          <w:p w14:paraId="66BDE6DD" w14:textId="77777777" w:rsidR="00111874" w:rsidRDefault="00111874">
            <w:pPr>
              <w:ind w:right="419"/>
              <w:jc w:val="center"/>
              <w:rPr>
                <w:rFonts w:ascii="Century Gothic" w:eastAsia="Century Gothic" w:hAnsi="Century Gothic" w:cs="Century Gothic"/>
                <w:b/>
                <w:sz w:val="20"/>
              </w:rPr>
            </w:pPr>
          </w:p>
          <w:p w14:paraId="1E4EAB71" w14:textId="77777777" w:rsidR="00111874" w:rsidRDefault="00111874">
            <w:pPr>
              <w:ind w:right="419"/>
              <w:jc w:val="center"/>
              <w:rPr>
                <w:rFonts w:ascii="Arial" w:eastAsia="Arial" w:hAnsi="Arial" w:cs="Arial"/>
                <w:b/>
                <w:sz w:val="20"/>
              </w:rPr>
            </w:pPr>
            <w:r>
              <w:rPr>
                <w:rFonts w:ascii="Century Gothic" w:eastAsia="Century Gothic" w:hAnsi="Century Gothic" w:cs="Century Gothic"/>
                <w:b/>
                <w:sz w:val="20"/>
              </w:rPr>
              <w:t>1.</w:t>
            </w:r>
            <w:r>
              <w:rPr>
                <w:rFonts w:ascii="Arial" w:eastAsia="Arial" w:hAnsi="Arial" w:cs="Arial"/>
                <w:b/>
                <w:sz w:val="20"/>
              </w:rPr>
              <w:t xml:space="preserve"> </w:t>
            </w:r>
          </w:p>
          <w:p w14:paraId="4B13CAE4" w14:textId="77777777" w:rsidR="00111874" w:rsidRDefault="00111874">
            <w:pPr>
              <w:ind w:right="419"/>
              <w:jc w:val="center"/>
              <w:rPr>
                <w:rFonts w:ascii="Arial" w:eastAsia="Arial" w:hAnsi="Arial" w:cs="Arial"/>
                <w:b/>
                <w:sz w:val="20"/>
              </w:rPr>
            </w:pPr>
          </w:p>
          <w:p w14:paraId="515B798C" w14:textId="77777777" w:rsidR="00111874" w:rsidRDefault="00111874">
            <w:pPr>
              <w:ind w:right="419"/>
              <w:jc w:val="center"/>
              <w:rPr>
                <w:rFonts w:ascii="Arial" w:eastAsia="Arial" w:hAnsi="Arial" w:cs="Arial"/>
                <w:b/>
                <w:sz w:val="20"/>
              </w:rPr>
            </w:pPr>
          </w:p>
          <w:p w14:paraId="3D52DF34" w14:textId="77777777" w:rsidR="00111874" w:rsidRDefault="00111874">
            <w:pPr>
              <w:ind w:right="419"/>
              <w:jc w:val="center"/>
              <w:rPr>
                <w:rFonts w:ascii="Arial" w:eastAsia="Arial" w:hAnsi="Arial" w:cs="Arial"/>
                <w:b/>
                <w:sz w:val="20"/>
              </w:rPr>
            </w:pPr>
          </w:p>
          <w:p w14:paraId="2F49A496" w14:textId="77777777" w:rsidR="00111874" w:rsidRDefault="00111874">
            <w:pPr>
              <w:ind w:right="419"/>
              <w:jc w:val="center"/>
              <w:rPr>
                <w:rFonts w:ascii="Arial" w:eastAsia="Arial" w:hAnsi="Arial" w:cs="Arial"/>
                <w:b/>
                <w:sz w:val="20"/>
              </w:rPr>
            </w:pPr>
          </w:p>
          <w:p w14:paraId="373BC80A" w14:textId="77777777" w:rsidR="00111874" w:rsidRDefault="00111874">
            <w:pPr>
              <w:ind w:right="419"/>
              <w:jc w:val="center"/>
              <w:rPr>
                <w:rFonts w:ascii="Arial" w:eastAsia="Arial" w:hAnsi="Arial" w:cs="Arial"/>
                <w:b/>
                <w:sz w:val="20"/>
              </w:rPr>
            </w:pPr>
          </w:p>
          <w:p w14:paraId="0B75EE4B" w14:textId="77777777" w:rsidR="00111874" w:rsidRDefault="00111874">
            <w:pPr>
              <w:ind w:right="419"/>
              <w:jc w:val="center"/>
              <w:rPr>
                <w:rFonts w:ascii="Arial" w:eastAsia="Arial" w:hAnsi="Arial" w:cs="Arial"/>
                <w:b/>
                <w:sz w:val="20"/>
              </w:rPr>
            </w:pPr>
          </w:p>
          <w:p w14:paraId="464371BC" w14:textId="77777777" w:rsidR="00111874" w:rsidRDefault="00111874">
            <w:pPr>
              <w:ind w:right="419"/>
              <w:jc w:val="center"/>
              <w:rPr>
                <w:rFonts w:ascii="Arial" w:eastAsia="Arial" w:hAnsi="Arial" w:cs="Arial"/>
                <w:b/>
                <w:sz w:val="20"/>
              </w:rPr>
            </w:pPr>
          </w:p>
          <w:p w14:paraId="246F25DF" w14:textId="77777777" w:rsidR="00111874" w:rsidRDefault="00111874">
            <w:pPr>
              <w:ind w:right="419"/>
              <w:jc w:val="center"/>
              <w:rPr>
                <w:rFonts w:ascii="Arial" w:eastAsia="Arial" w:hAnsi="Arial" w:cs="Arial"/>
                <w:b/>
                <w:sz w:val="20"/>
              </w:rPr>
            </w:pPr>
          </w:p>
          <w:p w14:paraId="570C970E" w14:textId="77777777" w:rsidR="00111874" w:rsidRDefault="00111874">
            <w:pPr>
              <w:ind w:right="419"/>
              <w:jc w:val="center"/>
              <w:rPr>
                <w:rFonts w:ascii="Arial" w:eastAsia="Arial" w:hAnsi="Arial" w:cs="Arial"/>
                <w:b/>
                <w:sz w:val="20"/>
              </w:rPr>
            </w:pPr>
          </w:p>
          <w:p w14:paraId="190BD306" w14:textId="77777777" w:rsidR="00111874" w:rsidRDefault="00111874">
            <w:pPr>
              <w:ind w:right="419"/>
              <w:jc w:val="center"/>
              <w:rPr>
                <w:rFonts w:ascii="Arial" w:eastAsia="Arial" w:hAnsi="Arial" w:cs="Arial"/>
                <w:b/>
                <w:sz w:val="20"/>
              </w:rPr>
            </w:pPr>
          </w:p>
          <w:p w14:paraId="75AB45F9" w14:textId="77777777" w:rsidR="00111874" w:rsidRDefault="00111874">
            <w:pPr>
              <w:ind w:right="419"/>
              <w:jc w:val="center"/>
              <w:rPr>
                <w:rFonts w:ascii="Arial" w:eastAsia="Arial" w:hAnsi="Arial" w:cs="Arial"/>
                <w:b/>
                <w:sz w:val="20"/>
              </w:rPr>
            </w:pPr>
          </w:p>
          <w:p w14:paraId="46A85585" w14:textId="77777777" w:rsidR="00111874" w:rsidRDefault="00111874">
            <w:pPr>
              <w:ind w:right="419"/>
              <w:jc w:val="center"/>
              <w:rPr>
                <w:rFonts w:ascii="Arial" w:eastAsia="Arial" w:hAnsi="Arial" w:cs="Arial"/>
                <w:b/>
                <w:sz w:val="20"/>
              </w:rPr>
            </w:pPr>
          </w:p>
          <w:p w14:paraId="42E5B718" w14:textId="77777777" w:rsidR="00111874" w:rsidRDefault="00111874">
            <w:pPr>
              <w:ind w:right="419"/>
              <w:jc w:val="center"/>
              <w:rPr>
                <w:rFonts w:ascii="Arial" w:eastAsia="Arial" w:hAnsi="Arial" w:cs="Arial"/>
                <w:b/>
                <w:sz w:val="20"/>
              </w:rPr>
            </w:pPr>
          </w:p>
          <w:p w14:paraId="01ADDD27" w14:textId="77777777" w:rsidR="00111874" w:rsidRDefault="00111874">
            <w:pPr>
              <w:ind w:right="419"/>
              <w:jc w:val="center"/>
              <w:rPr>
                <w:rFonts w:ascii="Arial" w:eastAsia="Arial" w:hAnsi="Arial" w:cs="Arial"/>
                <w:b/>
                <w:sz w:val="20"/>
              </w:rPr>
            </w:pPr>
          </w:p>
          <w:p w14:paraId="0609D4F3" w14:textId="77777777" w:rsidR="00111874" w:rsidRDefault="00111874">
            <w:pPr>
              <w:ind w:right="419"/>
              <w:jc w:val="center"/>
              <w:rPr>
                <w:rFonts w:ascii="Arial" w:eastAsia="Arial" w:hAnsi="Arial" w:cs="Arial"/>
                <w:b/>
                <w:sz w:val="20"/>
              </w:rPr>
            </w:pPr>
          </w:p>
          <w:p w14:paraId="423B0F19" w14:textId="77777777" w:rsidR="00111874" w:rsidRDefault="00111874">
            <w:pPr>
              <w:ind w:right="419"/>
              <w:jc w:val="center"/>
              <w:rPr>
                <w:rFonts w:ascii="Arial" w:eastAsia="Arial" w:hAnsi="Arial" w:cs="Arial"/>
                <w:b/>
                <w:sz w:val="20"/>
              </w:rPr>
            </w:pPr>
          </w:p>
          <w:p w14:paraId="6EBF11FA" w14:textId="77777777" w:rsidR="00111874" w:rsidRDefault="00111874">
            <w:pPr>
              <w:ind w:right="419"/>
              <w:jc w:val="center"/>
              <w:rPr>
                <w:rFonts w:ascii="Arial" w:eastAsia="Arial" w:hAnsi="Arial" w:cs="Arial"/>
                <w:b/>
                <w:sz w:val="20"/>
              </w:rPr>
            </w:pPr>
          </w:p>
          <w:p w14:paraId="3321A7EC" w14:textId="77777777" w:rsidR="00111874" w:rsidRDefault="00111874">
            <w:pPr>
              <w:ind w:right="419"/>
              <w:jc w:val="center"/>
              <w:rPr>
                <w:rFonts w:ascii="Arial" w:eastAsia="Arial" w:hAnsi="Arial" w:cs="Arial"/>
                <w:b/>
                <w:sz w:val="20"/>
              </w:rPr>
            </w:pPr>
          </w:p>
          <w:p w14:paraId="2D33C534" w14:textId="77777777" w:rsidR="00111874" w:rsidRDefault="00111874">
            <w:pPr>
              <w:ind w:right="419"/>
              <w:jc w:val="center"/>
              <w:rPr>
                <w:rFonts w:ascii="Arial" w:eastAsia="Arial" w:hAnsi="Arial" w:cs="Arial"/>
                <w:b/>
                <w:sz w:val="20"/>
              </w:rPr>
            </w:pPr>
          </w:p>
          <w:p w14:paraId="362125C5" w14:textId="77777777" w:rsidR="00111874" w:rsidRDefault="00111874">
            <w:pPr>
              <w:ind w:right="419"/>
              <w:jc w:val="center"/>
              <w:rPr>
                <w:rFonts w:ascii="Arial" w:eastAsia="Arial" w:hAnsi="Arial" w:cs="Arial"/>
                <w:b/>
                <w:sz w:val="20"/>
              </w:rPr>
            </w:pPr>
          </w:p>
          <w:p w14:paraId="30B2D427" w14:textId="77777777" w:rsidR="00111874" w:rsidRDefault="00111874">
            <w:pPr>
              <w:ind w:right="419"/>
              <w:jc w:val="center"/>
              <w:rPr>
                <w:rFonts w:ascii="Arial" w:eastAsia="Arial" w:hAnsi="Arial" w:cs="Arial"/>
                <w:b/>
                <w:sz w:val="20"/>
              </w:rPr>
            </w:pPr>
          </w:p>
          <w:p w14:paraId="5781B0FC" w14:textId="77777777" w:rsidR="00111874" w:rsidRDefault="00111874">
            <w:pPr>
              <w:ind w:right="419"/>
              <w:jc w:val="center"/>
              <w:rPr>
                <w:rFonts w:ascii="Arial" w:eastAsia="Arial" w:hAnsi="Arial" w:cs="Arial"/>
                <w:b/>
                <w:sz w:val="20"/>
              </w:rPr>
            </w:pPr>
          </w:p>
          <w:p w14:paraId="256FA511" w14:textId="77777777" w:rsidR="00111874" w:rsidRDefault="00111874">
            <w:pPr>
              <w:ind w:right="419"/>
              <w:jc w:val="center"/>
              <w:rPr>
                <w:rFonts w:ascii="Arial" w:eastAsia="Arial" w:hAnsi="Arial" w:cs="Arial"/>
                <w:b/>
                <w:sz w:val="20"/>
              </w:rPr>
            </w:pPr>
          </w:p>
          <w:p w14:paraId="471C37C5" w14:textId="77777777" w:rsidR="00111874" w:rsidRDefault="00111874">
            <w:pPr>
              <w:ind w:right="419"/>
              <w:jc w:val="center"/>
              <w:rPr>
                <w:rFonts w:ascii="Arial" w:eastAsia="Arial" w:hAnsi="Arial" w:cs="Arial"/>
                <w:b/>
                <w:sz w:val="20"/>
              </w:rPr>
            </w:pPr>
          </w:p>
          <w:p w14:paraId="20945C0E" w14:textId="77777777" w:rsidR="00111874" w:rsidRDefault="00111874">
            <w:pPr>
              <w:ind w:right="419"/>
              <w:jc w:val="center"/>
              <w:rPr>
                <w:rFonts w:ascii="Arial" w:eastAsia="Arial" w:hAnsi="Arial" w:cs="Arial"/>
                <w:b/>
                <w:sz w:val="20"/>
              </w:rPr>
            </w:pPr>
          </w:p>
          <w:p w14:paraId="769C569B" w14:textId="77777777" w:rsidR="00111874" w:rsidRDefault="00111874">
            <w:pPr>
              <w:ind w:right="419"/>
              <w:jc w:val="center"/>
              <w:rPr>
                <w:rFonts w:ascii="Arial" w:eastAsia="Arial" w:hAnsi="Arial" w:cs="Arial"/>
                <w:b/>
                <w:sz w:val="20"/>
              </w:rPr>
            </w:pPr>
          </w:p>
          <w:p w14:paraId="66B36A1F" w14:textId="77777777" w:rsidR="00111874" w:rsidRDefault="00111874">
            <w:pPr>
              <w:ind w:right="419"/>
              <w:jc w:val="center"/>
              <w:rPr>
                <w:rFonts w:ascii="Arial" w:eastAsia="Arial" w:hAnsi="Arial" w:cs="Arial"/>
                <w:b/>
                <w:sz w:val="20"/>
              </w:rPr>
            </w:pPr>
          </w:p>
          <w:p w14:paraId="0BFB242C" w14:textId="77777777" w:rsidR="00111874" w:rsidRDefault="00111874">
            <w:pPr>
              <w:ind w:right="419"/>
              <w:jc w:val="center"/>
              <w:rPr>
                <w:rFonts w:ascii="Arial" w:eastAsia="Arial" w:hAnsi="Arial" w:cs="Arial"/>
                <w:b/>
                <w:sz w:val="20"/>
              </w:rPr>
            </w:pPr>
          </w:p>
          <w:p w14:paraId="3CA75798" w14:textId="77777777" w:rsidR="00111874" w:rsidRDefault="00111874">
            <w:pPr>
              <w:ind w:right="419"/>
              <w:jc w:val="center"/>
              <w:rPr>
                <w:rFonts w:ascii="Arial" w:eastAsia="Arial" w:hAnsi="Arial" w:cs="Arial"/>
                <w:b/>
                <w:sz w:val="20"/>
              </w:rPr>
            </w:pPr>
          </w:p>
          <w:p w14:paraId="7AD8311D" w14:textId="77777777" w:rsidR="00111874" w:rsidRDefault="00111874">
            <w:pPr>
              <w:ind w:right="419"/>
              <w:jc w:val="center"/>
              <w:rPr>
                <w:rFonts w:ascii="Arial" w:eastAsia="Arial" w:hAnsi="Arial" w:cs="Arial"/>
                <w:b/>
                <w:sz w:val="20"/>
              </w:rPr>
            </w:pPr>
          </w:p>
          <w:p w14:paraId="52E13000" w14:textId="77777777" w:rsidR="00111874" w:rsidRDefault="00111874">
            <w:pPr>
              <w:ind w:right="419"/>
              <w:jc w:val="center"/>
              <w:rPr>
                <w:rFonts w:ascii="Arial" w:eastAsia="Arial" w:hAnsi="Arial" w:cs="Arial"/>
                <w:b/>
                <w:sz w:val="20"/>
              </w:rPr>
            </w:pPr>
          </w:p>
          <w:p w14:paraId="23FB639E" w14:textId="77777777" w:rsidR="00111874" w:rsidRDefault="00111874">
            <w:pPr>
              <w:ind w:right="419"/>
              <w:jc w:val="center"/>
              <w:rPr>
                <w:rFonts w:ascii="Arial" w:eastAsia="Arial" w:hAnsi="Arial" w:cs="Arial"/>
                <w:b/>
                <w:sz w:val="20"/>
              </w:rPr>
            </w:pPr>
          </w:p>
          <w:p w14:paraId="7E296249" w14:textId="77777777" w:rsidR="00111874" w:rsidRDefault="00111874">
            <w:pPr>
              <w:ind w:right="419"/>
              <w:jc w:val="center"/>
              <w:rPr>
                <w:rFonts w:ascii="Arial" w:eastAsia="Arial" w:hAnsi="Arial" w:cs="Arial"/>
                <w:b/>
                <w:sz w:val="20"/>
              </w:rPr>
            </w:pPr>
          </w:p>
          <w:p w14:paraId="14AC8C13" w14:textId="77777777" w:rsidR="00111874" w:rsidRDefault="00111874">
            <w:pPr>
              <w:ind w:right="419"/>
              <w:jc w:val="center"/>
            </w:pPr>
            <w:r>
              <w:rPr>
                <w:rFonts w:ascii="Century Gothic" w:eastAsia="Century Gothic" w:hAnsi="Century Gothic" w:cs="Century Gothic"/>
                <w:b/>
                <w:sz w:val="20"/>
              </w:rPr>
              <w:t xml:space="preserve"> </w:t>
            </w:r>
          </w:p>
        </w:tc>
        <w:tc>
          <w:tcPr>
            <w:tcW w:w="1417"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A866AA0" w14:textId="77777777" w:rsidR="00111874" w:rsidRPr="0010728E" w:rsidRDefault="00111874">
            <w:pPr>
              <w:ind w:right="60"/>
              <w:jc w:val="center"/>
              <w:rPr>
                <w:b/>
              </w:rPr>
            </w:pPr>
            <w:r>
              <w:rPr>
                <w:b/>
              </w:rPr>
              <w:lastRenderedPageBreak/>
              <w:t>OAXACA</w:t>
            </w:r>
          </w:p>
        </w:tc>
        <w:tc>
          <w:tcPr>
            <w:tcW w:w="524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1B55F08" w14:textId="77777777" w:rsidR="00111874" w:rsidRPr="00CC2E52" w:rsidRDefault="00111874" w:rsidP="00E20FF6">
            <w:pPr>
              <w:ind w:left="65"/>
              <w:jc w:val="center"/>
              <w:rPr>
                <w:b/>
                <w:bCs/>
              </w:rPr>
            </w:pPr>
            <w:hyperlink r:id="rId7" w:history="1">
              <w:r w:rsidRPr="00CC2E52">
                <w:rPr>
                  <w:rStyle w:val="Hipervnculo"/>
                  <w:b/>
                  <w:bCs/>
                </w:rPr>
                <w:t>Constitución Política del Estado Libre y Soberano de Oaxaca</w:t>
              </w:r>
            </w:hyperlink>
            <w:r w:rsidRPr="00CC2E52">
              <w:rPr>
                <w:b/>
                <w:bCs/>
              </w:rPr>
              <w:t xml:space="preserve"> </w:t>
            </w:r>
          </w:p>
        </w:tc>
        <w:tc>
          <w:tcPr>
            <w:tcW w:w="10206" w:type="dxa"/>
            <w:tcBorders>
              <w:top w:val="single" w:sz="4" w:space="0" w:color="BFBFBF"/>
              <w:left w:val="single" w:sz="4" w:space="0" w:color="BFBFBF"/>
              <w:bottom w:val="single" w:sz="4" w:space="0" w:color="BFBFBF"/>
              <w:right w:val="single" w:sz="4" w:space="0" w:color="BFBFBF"/>
            </w:tcBorders>
            <w:shd w:val="clear" w:color="auto" w:fill="F2F2F2"/>
          </w:tcPr>
          <w:p w14:paraId="32460AB0" w14:textId="77777777" w:rsidR="00111874" w:rsidRPr="00E20FF6" w:rsidRDefault="00111874" w:rsidP="00111874">
            <w:pPr>
              <w:spacing w:after="160" w:line="242" w:lineRule="auto"/>
              <w:jc w:val="both"/>
            </w:pPr>
            <w:r w:rsidRPr="00E20FF6">
              <w:rPr>
                <w:rFonts w:ascii="Century Gothic" w:eastAsia="Century Gothic" w:hAnsi="Century Gothic" w:cs="Century Gothic"/>
                <w:b/>
                <w:sz w:val="20"/>
              </w:rPr>
              <w:t xml:space="preserve">Artículo 25.- </w:t>
            </w:r>
            <w:r w:rsidRPr="00E20FF6">
              <w:rPr>
                <w:rFonts w:ascii="Century Gothic" w:eastAsia="Century Gothic" w:hAnsi="Century Gothic" w:cs="Century Gothic"/>
                <w:sz w:val="20"/>
              </w:rPr>
              <w:t>El sistema electoral y de participación ciudadana del Estado se regirá por las siguientes bases:</w:t>
            </w:r>
            <w:r w:rsidRPr="00E20FF6">
              <w:rPr>
                <w:rFonts w:ascii="Century Gothic" w:eastAsia="Century Gothic" w:hAnsi="Century Gothic" w:cs="Century Gothic"/>
                <w:b/>
                <w:sz w:val="20"/>
              </w:rPr>
              <w:t xml:space="preserve"> </w:t>
            </w:r>
          </w:p>
          <w:p w14:paraId="4414D362" w14:textId="77777777" w:rsidR="00111874" w:rsidRPr="00E20FF6" w:rsidRDefault="00111874" w:rsidP="00111874">
            <w:pPr>
              <w:spacing w:after="160" w:line="259" w:lineRule="auto"/>
            </w:pPr>
            <w:r w:rsidRPr="00E20FF6">
              <w:rPr>
                <w:rFonts w:ascii="Century Gothic" w:eastAsia="Century Gothic" w:hAnsi="Century Gothic" w:cs="Century Gothic"/>
                <w:b/>
                <w:sz w:val="20"/>
              </w:rPr>
              <w:t xml:space="preserve"> </w:t>
            </w:r>
          </w:p>
          <w:p w14:paraId="6DFE4172" w14:textId="2F8417C1" w:rsidR="00111874" w:rsidRPr="00E20FF6" w:rsidRDefault="00111874" w:rsidP="00111874">
            <w:pPr>
              <w:spacing w:after="160" w:line="259" w:lineRule="auto"/>
            </w:pPr>
            <w:r w:rsidRPr="00E20FF6">
              <w:rPr>
                <w:rFonts w:ascii="Century Gothic" w:eastAsia="Century Gothic" w:hAnsi="Century Gothic" w:cs="Century Gothic"/>
                <w:b/>
                <w:sz w:val="20"/>
              </w:rPr>
              <w:t xml:space="preserve">B. DE LOS PARTIDOS POLITICOS </w:t>
            </w:r>
            <w:r>
              <w:rPr>
                <w:rFonts w:ascii="Century Gothic" w:eastAsia="Century Gothic" w:hAnsi="Century Gothic" w:cs="Century Gothic"/>
                <w:b/>
                <w:sz w:val="20"/>
              </w:rPr>
              <w:t xml:space="preserve"> </w:t>
            </w:r>
          </w:p>
          <w:p w14:paraId="4E21B35D" w14:textId="77777777" w:rsidR="00111874" w:rsidRPr="00E20FF6" w:rsidRDefault="00111874" w:rsidP="00111874">
            <w:pPr>
              <w:spacing w:after="160" w:line="259" w:lineRule="auto"/>
            </w:pPr>
            <w:r w:rsidRPr="00E20FF6">
              <w:rPr>
                <w:rFonts w:ascii="Century Gothic" w:eastAsia="Century Gothic" w:hAnsi="Century Gothic" w:cs="Century Gothic"/>
                <w:b/>
                <w:sz w:val="20"/>
              </w:rPr>
              <w:t xml:space="preserve"> </w:t>
            </w:r>
          </w:p>
          <w:p w14:paraId="7DEAE7D9" w14:textId="77777777" w:rsidR="00111874" w:rsidRPr="00E20FF6" w:rsidRDefault="00111874" w:rsidP="00111874">
            <w:pPr>
              <w:spacing w:after="160" w:line="259" w:lineRule="auto"/>
            </w:pPr>
            <w:r w:rsidRPr="00E20FF6">
              <w:rPr>
                <w:rFonts w:ascii="Century Gothic" w:eastAsia="Century Gothic" w:hAnsi="Century Gothic" w:cs="Century Gothic"/>
                <w:sz w:val="20"/>
              </w:rPr>
              <w:t xml:space="preserve">[…] </w:t>
            </w:r>
          </w:p>
          <w:p w14:paraId="37CD73B5" w14:textId="77777777" w:rsidR="00111874" w:rsidRPr="00E20FF6" w:rsidRDefault="00111874" w:rsidP="00111874">
            <w:pPr>
              <w:spacing w:after="160" w:line="259" w:lineRule="auto"/>
            </w:pPr>
            <w:r w:rsidRPr="00E20FF6">
              <w:rPr>
                <w:rFonts w:ascii="Century Gothic" w:eastAsia="Century Gothic" w:hAnsi="Century Gothic" w:cs="Century Gothic"/>
                <w:sz w:val="20"/>
              </w:rPr>
              <w:t xml:space="preserve"> </w:t>
            </w:r>
          </w:p>
          <w:p w14:paraId="5FDCB49A" w14:textId="77777777" w:rsidR="00111874" w:rsidRPr="00E20FF6" w:rsidRDefault="00111874" w:rsidP="00111874">
            <w:pPr>
              <w:spacing w:after="160" w:line="259" w:lineRule="auto"/>
              <w:ind w:right="63"/>
              <w:jc w:val="both"/>
            </w:pPr>
            <w:r w:rsidRPr="00E20FF6">
              <w:rPr>
                <w:rFonts w:ascii="Century Gothic" w:eastAsia="Century Gothic" w:hAnsi="Century Gothic" w:cs="Century Gothic"/>
                <w:sz w:val="20"/>
              </w:rPr>
              <w:t xml:space="preserve">VIII. La Ley señalará y fijará las reglas para las precampañas y las campañas electorales de partidos políticos y candidatos, así como las sanciones para quienes las infrinjan y, fijará los criterios para establecer los límites a las erogaciones de los partidos políticos en sus precampañas y campañas electorales, así como los montos máximos que tengan las aportaciones de sus militantes y simpatizantes, cuya suma total, no excederá el diez por ciento del tope de gastos de campaña determinado para la última elección de Gobernador. </w:t>
            </w:r>
          </w:p>
          <w:p w14:paraId="31096D95" w14:textId="77777777" w:rsidR="00111874" w:rsidRPr="00E20FF6" w:rsidRDefault="00111874" w:rsidP="00111874">
            <w:pPr>
              <w:spacing w:after="160" w:line="259" w:lineRule="auto"/>
            </w:pPr>
            <w:r w:rsidRPr="00E20FF6">
              <w:rPr>
                <w:rFonts w:ascii="Century Gothic" w:eastAsia="Century Gothic" w:hAnsi="Century Gothic" w:cs="Century Gothic"/>
                <w:sz w:val="20"/>
              </w:rPr>
              <w:t xml:space="preserve"> </w:t>
            </w:r>
          </w:p>
          <w:p w14:paraId="51BDCDB6" w14:textId="77777777" w:rsidR="00111874" w:rsidRPr="00E20FF6" w:rsidRDefault="00111874" w:rsidP="00111874">
            <w:pPr>
              <w:spacing w:after="160" w:line="241" w:lineRule="auto"/>
              <w:ind w:right="55"/>
              <w:jc w:val="both"/>
            </w:pPr>
            <w:r w:rsidRPr="00E20FF6">
              <w:rPr>
                <w:rFonts w:ascii="Century Gothic" w:eastAsia="Century Gothic" w:hAnsi="Century Gothic" w:cs="Century Gothic"/>
                <w:sz w:val="20"/>
              </w:rPr>
              <w:t xml:space="preserve">Los procedimientos para el control, fiscalización y vigilancia del origen y uso de todos los recursos con que cuenten los partidos políticos y las sanciones que se establezcan por el incumplimiento estarán a cargo del Instituto Nacional Electoral, conforme a lo establecido en la Ley General de Partidos Políticos y la Ley General de Instituciones y Procedimientos Electorales; </w:t>
            </w:r>
          </w:p>
          <w:p w14:paraId="4E39815D" w14:textId="3537D8FB" w:rsidR="00111874" w:rsidRPr="00896685" w:rsidRDefault="00111874" w:rsidP="00111874">
            <w:pPr>
              <w:ind w:right="61"/>
              <w:rPr>
                <w:b/>
              </w:rPr>
            </w:pPr>
            <w:r w:rsidRPr="00E20FF6">
              <w:rPr>
                <w:rFonts w:ascii="Century Gothic" w:eastAsia="Century Gothic" w:hAnsi="Century Gothic" w:cs="Century Gothic"/>
                <w:sz w:val="20"/>
              </w:rPr>
              <w:t>[…]</w:t>
            </w:r>
          </w:p>
        </w:tc>
      </w:tr>
      <w:tr w:rsidR="00111874" w14:paraId="6D70C1C7" w14:textId="77777777" w:rsidTr="001D0B4C">
        <w:trPr>
          <w:trHeight w:val="1813"/>
        </w:trPr>
        <w:tc>
          <w:tcPr>
            <w:tcW w:w="863" w:type="dxa"/>
            <w:tcBorders>
              <w:top w:val="single" w:sz="4" w:space="0" w:color="BFBFBF"/>
              <w:left w:val="single" w:sz="4" w:space="0" w:color="BFBFBF"/>
              <w:bottom w:val="single" w:sz="4" w:space="0" w:color="BFBFBF"/>
              <w:right w:val="single" w:sz="4" w:space="0" w:color="BFBFBF"/>
            </w:tcBorders>
            <w:vAlign w:val="center"/>
          </w:tcPr>
          <w:p w14:paraId="0AE86782" w14:textId="77777777" w:rsidR="00111874" w:rsidRPr="0043727A" w:rsidRDefault="00111874" w:rsidP="0043727A">
            <w:pPr>
              <w:ind w:right="419"/>
              <w:jc w:val="center"/>
              <w:rPr>
                <w:b/>
                <w:bCs/>
              </w:rPr>
            </w:pPr>
            <w:r w:rsidRPr="0043727A">
              <w:rPr>
                <w:b/>
                <w:bCs/>
              </w:rPr>
              <w:t>2.</w:t>
            </w:r>
          </w:p>
        </w:tc>
        <w:tc>
          <w:tcPr>
            <w:tcW w:w="1417" w:type="dxa"/>
            <w:tcBorders>
              <w:top w:val="single" w:sz="4" w:space="0" w:color="BFBFBF"/>
              <w:left w:val="single" w:sz="4" w:space="0" w:color="BFBFBF"/>
              <w:bottom w:val="single" w:sz="4" w:space="0" w:color="BFBFBF"/>
              <w:right w:val="single" w:sz="4" w:space="0" w:color="BFBFBF"/>
            </w:tcBorders>
            <w:vAlign w:val="center"/>
          </w:tcPr>
          <w:p w14:paraId="10D7A817" w14:textId="77777777" w:rsidR="00111874" w:rsidRDefault="00111874">
            <w:pPr>
              <w:ind w:right="60"/>
              <w:jc w:val="center"/>
            </w:pPr>
            <w:r w:rsidRPr="00AD359A">
              <w:rPr>
                <w:b/>
                <w:bCs/>
              </w:rPr>
              <w:t>OAXACA</w:t>
            </w:r>
          </w:p>
        </w:tc>
        <w:tc>
          <w:tcPr>
            <w:tcW w:w="5245" w:type="dxa"/>
            <w:tcBorders>
              <w:top w:val="single" w:sz="4" w:space="0" w:color="BFBFBF"/>
              <w:left w:val="single" w:sz="4" w:space="0" w:color="BFBFBF"/>
              <w:bottom w:val="single" w:sz="4" w:space="0" w:color="BFBFBF"/>
              <w:right w:val="single" w:sz="4" w:space="0" w:color="BFBFBF"/>
            </w:tcBorders>
            <w:vAlign w:val="center"/>
          </w:tcPr>
          <w:p w14:paraId="42DF9EAF" w14:textId="2AB1C839" w:rsidR="00111874" w:rsidRPr="000B43D6" w:rsidRDefault="00111874">
            <w:pPr>
              <w:jc w:val="center"/>
              <w:rPr>
                <w:rFonts w:ascii="Century Gothic" w:eastAsia="Century Gothic" w:hAnsi="Century Gothic" w:cs="Century Gothic"/>
                <w:b/>
                <w:bCs/>
                <w:color w:val="auto"/>
                <w:sz w:val="20"/>
                <w:szCs w:val="20"/>
              </w:rPr>
            </w:pPr>
            <w:hyperlink r:id="rId8" w:history="1">
              <w:r w:rsidRPr="00F461E9">
                <w:rPr>
                  <w:rStyle w:val="Hipervnculo"/>
                  <w:rFonts w:ascii="Century Gothic" w:eastAsia="Century Gothic" w:hAnsi="Century Gothic" w:cs="Century Gothic"/>
                  <w:b/>
                  <w:bCs/>
                  <w:sz w:val="20"/>
                  <w:szCs w:val="20"/>
                </w:rPr>
                <w:t>Ley de Instituciones y procedimientos electorales de</w:t>
              </w:r>
              <w:r>
                <w:rPr>
                  <w:rStyle w:val="Hipervnculo"/>
                  <w:rFonts w:ascii="Century Gothic" w:eastAsia="Century Gothic" w:hAnsi="Century Gothic" w:cs="Century Gothic"/>
                  <w:b/>
                  <w:bCs/>
                  <w:sz w:val="20"/>
                  <w:szCs w:val="20"/>
                </w:rPr>
                <w:t xml:space="preserve">l Estado de </w:t>
              </w:r>
              <w:r w:rsidRPr="00F461E9">
                <w:rPr>
                  <w:rStyle w:val="Hipervnculo"/>
                  <w:rFonts w:ascii="Century Gothic" w:eastAsia="Century Gothic" w:hAnsi="Century Gothic" w:cs="Century Gothic"/>
                  <w:b/>
                  <w:bCs/>
                  <w:sz w:val="20"/>
                  <w:szCs w:val="20"/>
                </w:rPr>
                <w:t>Oaxaca</w:t>
              </w:r>
            </w:hyperlink>
          </w:p>
          <w:p w14:paraId="17D7687B" w14:textId="77777777" w:rsidR="00111874" w:rsidRPr="00484224" w:rsidRDefault="00111874">
            <w:pPr>
              <w:jc w:val="center"/>
              <w:rPr>
                <w:b/>
                <w:bCs/>
                <w:strike/>
              </w:rPr>
            </w:pPr>
          </w:p>
        </w:tc>
        <w:tc>
          <w:tcPr>
            <w:tcW w:w="10206" w:type="dxa"/>
            <w:tcBorders>
              <w:top w:val="single" w:sz="4" w:space="0" w:color="BFBFBF"/>
              <w:left w:val="single" w:sz="4" w:space="0" w:color="BFBFBF"/>
              <w:bottom w:val="single" w:sz="4" w:space="0" w:color="BFBFBF"/>
              <w:right w:val="single" w:sz="4" w:space="0" w:color="BFBFBF"/>
            </w:tcBorders>
          </w:tcPr>
          <w:p w14:paraId="5843CD99" w14:textId="77777777" w:rsidR="00111874" w:rsidRDefault="00111874" w:rsidP="006A6040">
            <w:pPr>
              <w:rPr>
                <w:rFonts w:ascii="Century Gothic" w:eastAsia="Century Gothic" w:hAnsi="Century Gothic" w:cs="Century Gothic"/>
                <w:b/>
                <w:bCs/>
                <w:color w:val="auto"/>
                <w:sz w:val="20"/>
              </w:rPr>
            </w:pPr>
            <w:r w:rsidRPr="006A6040">
              <w:rPr>
                <w:rFonts w:ascii="Century Gothic" w:eastAsia="Century Gothic" w:hAnsi="Century Gothic" w:cs="Century Gothic"/>
                <w:b/>
                <w:bCs/>
                <w:color w:val="auto"/>
                <w:sz w:val="20"/>
              </w:rPr>
              <w:t>Artículo 121</w:t>
            </w:r>
            <w:r>
              <w:rPr>
                <w:rFonts w:ascii="Century Gothic" w:eastAsia="Century Gothic" w:hAnsi="Century Gothic" w:cs="Century Gothic"/>
                <w:b/>
                <w:bCs/>
                <w:color w:val="auto"/>
                <w:sz w:val="20"/>
              </w:rPr>
              <w:t>.</w:t>
            </w:r>
          </w:p>
          <w:p w14:paraId="1D2E1090" w14:textId="77777777" w:rsidR="00111874" w:rsidRPr="006A6040" w:rsidRDefault="00111874" w:rsidP="006A6040">
            <w:pPr>
              <w:rPr>
                <w:rFonts w:ascii="Century Gothic" w:eastAsia="Century Gothic" w:hAnsi="Century Gothic" w:cs="Century Gothic"/>
                <w:color w:val="auto"/>
                <w:sz w:val="20"/>
              </w:rPr>
            </w:pPr>
            <w:r w:rsidRPr="006A6040">
              <w:rPr>
                <w:rFonts w:ascii="Century Gothic" w:eastAsia="Century Gothic" w:hAnsi="Century Gothic" w:cs="Century Gothic"/>
                <w:color w:val="auto"/>
                <w:sz w:val="20"/>
              </w:rPr>
              <w:t>[…]</w:t>
            </w:r>
          </w:p>
          <w:p w14:paraId="6AC9D388" w14:textId="77777777" w:rsidR="00111874" w:rsidRDefault="00111874" w:rsidP="006A6040">
            <w:pPr>
              <w:rPr>
                <w:rFonts w:ascii="Century Gothic" w:eastAsia="Century Gothic" w:hAnsi="Century Gothic" w:cs="Century Gothic"/>
                <w:b/>
                <w:bCs/>
                <w:color w:val="auto"/>
                <w:sz w:val="20"/>
              </w:rPr>
            </w:pPr>
          </w:p>
          <w:p w14:paraId="06F6039D" w14:textId="77E16473" w:rsidR="00111874" w:rsidRDefault="00111874" w:rsidP="006A6040">
            <w:pPr>
              <w:jc w:val="both"/>
              <w:rPr>
                <w:color w:val="auto"/>
              </w:rPr>
            </w:pPr>
            <w:r w:rsidRPr="006A6040">
              <w:rPr>
                <w:color w:val="auto"/>
              </w:rPr>
              <w:t>2.- Los comprobantes que amparen los egresos que realicen las y los candidatos independientes deberán ser expedidos a su nombre y constar en original, como soporte a los informes financieros de las campañas electorales, los cuales estarán a disposición de la Unidad de Fiscalización de la Comisión de Fiscalización del INE para su revisión, de conformidad con lo dispuesto en la normatividad aplicable. Dicha documentación deberá cumplir con los requisitos que exigen las disposiciones fiscales aplicables, así como las establecidas por el reglamento de fiscalización de la unidad referida</w:t>
            </w:r>
            <w:r w:rsidRPr="006A6040">
              <w:rPr>
                <w:color w:val="auto"/>
              </w:rPr>
              <w:t>.</w:t>
            </w:r>
          </w:p>
          <w:p w14:paraId="1CD78E7C" w14:textId="77777777" w:rsidR="00111874" w:rsidRDefault="00111874" w:rsidP="006A6040">
            <w:pPr>
              <w:jc w:val="both"/>
              <w:rPr>
                <w:color w:val="auto"/>
              </w:rPr>
            </w:pPr>
          </w:p>
          <w:p w14:paraId="29ACDE23" w14:textId="77777777" w:rsidR="00111874" w:rsidRDefault="00111874" w:rsidP="006A6040">
            <w:pPr>
              <w:jc w:val="both"/>
              <w:rPr>
                <w:color w:val="auto"/>
              </w:rPr>
            </w:pPr>
          </w:p>
          <w:p w14:paraId="583CDFAE" w14:textId="77777777" w:rsidR="00111874" w:rsidRPr="00101B98" w:rsidRDefault="00111874" w:rsidP="00101B98">
            <w:pPr>
              <w:jc w:val="both"/>
              <w:rPr>
                <w:b/>
                <w:bCs/>
                <w:color w:val="auto"/>
              </w:rPr>
            </w:pPr>
            <w:r w:rsidRPr="00101B98">
              <w:rPr>
                <w:b/>
                <w:bCs/>
                <w:color w:val="auto"/>
              </w:rPr>
              <w:t>Artículo 139</w:t>
            </w:r>
          </w:p>
          <w:p w14:paraId="325DFAD7" w14:textId="3C55EE4E" w:rsidR="00111874" w:rsidRPr="00101B98" w:rsidRDefault="00111874" w:rsidP="00101B98">
            <w:pPr>
              <w:jc w:val="both"/>
              <w:rPr>
                <w:color w:val="auto"/>
              </w:rPr>
            </w:pPr>
            <w:r w:rsidRPr="00101B98">
              <w:rPr>
                <w:color w:val="auto"/>
              </w:rPr>
              <w:t xml:space="preserve">La autoridad electoral competente será la única encargada de la fiscalización, así como de la revisión de los informes que los aspirantes presenten sobre el origen y destino de sus recursos y de actos para el apoyo </w:t>
            </w:r>
            <w:r w:rsidRPr="00101B98">
              <w:rPr>
                <w:color w:val="auto"/>
              </w:rPr>
              <w:lastRenderedPageBreak/>
              <w:t>ciudadano según corresponda, así como la práctica de auditorías sobre el manejo de sus recursos y su situación contable y financiera estará a cargo de la Unidad Técnica de Fiscalización del INE o en su caso del Instituto Estatal, en los términos que la Ley General y demás disposiciones legales aplicables señalen.</w:t>
            </w:r>
          </w:p>
          <w:p w14:paraId="47A3F456" w14:textId="77777777" w:rsidR="00111874" w:rsidRPr="00101B98" w:rsidRDefault="00111874" w:rsidP="00101B98">
            <w:pPr>
              <w:jc w:val="both"/>
              <w:rPr>
                <w:color w:val="auto"/>
              </w:rPr>
            </w:pPr>
          </w:p>
          <w:p w14:paraId="5A6CE1C5" w14:textId="77777777" w:rsidR="00111874" w:rsidRPr="00101B98" w:rsidRDefault="00111874" w:rsidP="00101B98">
            <w:pPr>
              <w:jc w:val="both"/>
              <w:rPr>
                <w:b/>
                <w:bCs/>
                <w:color w:val="auto"/>
              </w:rPr>
            </w:pPr>
            <w:r w:rsidRPr="00101B98">
              <w:rPr>
                <w:b/>
                <w:bCs/>
                <w:color w:val="auto"/>
              </w:rPr>
              <w:t>Artículo 140</w:t>
            </w:r>
          </w:p>
          <w:p w14:paraId="1E1E3057" w14:textId="54E6319D" w:rsidR="00111874" w:rsidRDefault="00111874" w:rsidP="00101B98">
            <w:pPr>
              <w:jc w:val="both"/>
              <w:rPr>
                <w:color w:val="auto"/>
              </w:rPr>
            </w:pPr>
            <w:r w:rsidRPr="00101B98">
              <w:rPr>
                <w:color w:val="auto"/>
              </w:rPr>
              <w:t>La fiscalización de los recursos de aspirantes a candidatos independientes y de candidatos independientes estará regida por lo dispuesto en el Título Quinto del Libro Séptimo de la Ley General.</w:t>
            </w:r>
          </w:p>
          <w:p w14:paraId="1E0A47A7" w14:textId="0B6B8F90" w:rsidR="00111874" w:rsidRDefault="00111874" w:rsidP="00101B98">
            <w:pPr>
              <w:jc w:val="both"/>
              <w:rPr>
                <w:color w:val="auto"/>
              </w:rPr>
            </w:pPr>
          </w:p>
          <w:p w14:paraId="386F3C23" w14:textId="763B65E4" w:rsidR="00111874" w:rsidRDefault="00111874" w:rsidP="00101B98">
            <w:pPr>
              <w:jc w:val="both"/>
              <w:rPr>
                <w:b/>
                <w:bCs/>
                <w:color w:val="auto"/>
              </w:rPr>
            </w:pPr>
            <w:r w:rsidRPr="00101B98">
              <w:rPr>
                <w:b/>
                <w:bCs/>
                <w:color w:val="auto"/>
              </w:rPr>
              <w:t>Artículo 173</w:t>
            </w:r>
          </w:p>
          <w:p w14:paraId="5FC0D369" w14:textId="6508AAB4" w:rsidR="00111874" w:rsidRDefault="00111874" w:rsidP="00101B98">
            <w:pPr>
              <w:jc w:val="both"/>
              <w:rPr>
                <w:color w:val="auto"/>
              </w:rPr>
            </w:pPr>
            <w:r w:rsidRPr="00101B98">
              <w:rPr>
                <w:color w:val="auto"/>
              </w:rPr>
              <w:t>[…]</w:t>
            </w:r>
          </w:p>
          <w:p w14:paraId="1889A9EA" w14:textId="74482669" w:rsidR="00111874" w:rsidRDefault="00111874" w:rsidP="00101B98">
            <w:pPr>
              <w:jc w:val="both"/>
              <w:rPr>
                <w:color w:val="auto"/>
              </w:rPr>
            </w:pPr>
          </w:p>
          <w:p w14:paraId="0EF67106" w14:textId="785B1A6F" w:rsidR="00111874" w:rsidRDefault="00111874" w:rsidP="00101B98">
            <w:pPr>
              <w:jc w:val="both"/>
              <w:rPr>
                <w:color w:val="auto"/>
              </w:rPr>
            </w:pPr>
            <w:r w:rsidRPr="00101B98">
              <w:rPr>
                <w:color w:val="auto"/>
              </w:rPr>
              <w:t>VI.- La fiscalización de los ingresos y egresos de los partidos políticos y candidatos.</w:t>
            </w:r>
          </w:p>
          <w:p w14:paraId="5A12004B" w14:textId="6B9FED61" w:rsidR="00111874" w:rsidRDefault="00111874" w:rsidP="00101B98">
            <w:pPr>
              <w:jc w:val="both"/>
              <w:rPr>
                <w:color w:val="auto"/>
              </w:rPr>
            </w:pPr>
          </w:p>
          <w:p w14:paraId="71628C7C" w14:textId="15B2AB23" w:rsidR="00111874" w:rsidRDefault="00111874" w:rsidP="00101B98">
            <w:pPr>
              <w:jc w:val="both"/>
              <w:rPr>
                <w:color w:val="auto"/>
              </w:rPr>
            </w:pPr>
            <w:r>
              <w:rPr>
                <w:color w:val="auto"/>
              </w:rPr>
              <w:t>[…]</w:t>
            </w:r>
          </w:p>
          <w:p w14:paraId="025C2B58" w14:textId="24F78957" w:rsidR="00111874" w:rsidRDefault="00111874" w:rsidP="00101B98">
            <w:pPr>
              <w:jc w:val="both"/>
              <w:rPr>
                <w:color w:val="auto"/>
              </w:rPr>
            </w:pPr>
          </w:p>
          <w:p w14:paraId="475C9531" w14:textId="40ADA204" w:rsidR="00111874" w:rsidRDefault="00111874" w:rsidP="00101B98">
            <w:pPr>
              <w:jc w:val="both"/>
              <w:rPr>
                <w:color w:val="auto"/>
              </w:rPr>
            </w:pPr>
            <w:r w:rsidRPr="00101B98">
              <w:rPr>
                <w:color w:val="auto"/>
              </w:rPr>
              <w:t>VII.- La fiscalización de los ingresos y egresos de los partidos políticos y candidatos;</w:t>
            </w:r>
          </w:p>
          <w:p w14:paraId="602D3BD5" w14:textId="425D460D" w:rsidR="00111874" w:rsidRDefault="00111874" w:rsidP="00101B98">
            <w:pPr>
              <w:jc w:val="both"/>
              <w:rPr>
                <w:color w:val="auto"/>
              </w:rPr>
            </w:pPr>
          </w:p>
          <w:p w14:paraId="0F553B3D" w14:textId="086E7D24" w:rsidR="00111874" w:rsidRDefault="00111874" w:rsidP="00101B98">
            <w:pPr>
              <w:jc w:val="both"/>
              <w:rPr>
                <w:b/>
                <w:bCs/>
                <w:color w:val="auto"/>
              </w:rPr>
            </w:pPr>
            <w:r w:rsidRPr="00101B98">
              <w:rPr>
                <w:b/>
                <w:bCs/>
                <w:color w:val="auto"/>
              </w:rPr>
              <w:t>Artículo 174</w:t>
            </w:r>
          </w:p>
          <w:p w14:paraId="11C38AD9" w14:textId="630E8296" w:rsidR="00111874" w:rsidRPr="00101B98" w:rsidRDefault="00111874" w:rsidP="00101B98">
            <w:pPr>
              <w:jc w:val="both"/>
              <w:rPr>
                <w:color w:val="auto"/>
              </w:rPr>
            </w:pPr>
            <w:r w:rsidRPr="00101B98">
              <w:rPr>
                <w:color w:val="auto"/>
              </w:rPr>
              <w:t xml:space="preserve">[…] </w:t>
            </w:r>
          </w:p>
          <w:p w14:paraId="4CA04B64" w14:textId="77777777" w:rsidR="00111874" w:rsidRPr="00101B98" w:rsidRDefault="00111874" w:rsidP="00101B98">
            <w:pPr>
              <w:jc w:val="both"/>
              <w:rPr>
                <w:color w:val="auto"/>
              </w:rPr>
            </w:pPr>
            <w:r w:rsidRPr="00101B98">
              <w:rPr>
                <w:color w:val="auto"/>
              </w:rPr>
              <w:t>3.- La fiscalización de las actividades ordinarias permanentes de los partidos políticos; la fiscalización de los partidos políticos y candidatos durante los procesos electorales; y de los Informes de ingresos y gastos de los partidos políticos y candidatos, en los procesos electorales locales, serán realizadas por el INE, en términos de lo establecido por el Título Octavo de la Ley General de Partidos Políticos y los Capítulos III, IV y V del Título Segundo del Libro Cuarto de la Ley General, según corresponda.</w:t>
            </w:r>
          </w:p>
          <w:p w14:paraId="3C792B32" w14:textId="77777777" w:rsidR="00111874" w:rsidRPr="00101B98" w:rsidRDefault="00111874" w:rsidP="00101B98">
            <w:pPr>
              <w:jc w:val="both"/>
              <w:rPr>
                <w:color w:val="auto"/>
              </w:rPr>
            </w:pPr>
          </w:p>
          <w:p w14:paraId="328564DE" w14:textId="77777777" w:rsidR="00111874" w:rsidRDefault="00111874" w:rsidP="00101B98">
            <w:pPr>
              <w:jc w:val="both"/>
              <w:rPr>
                <w:color w:val="auto"/>
              </w:rPr>
            </w:pPr>
            <w:r w:rsidRPr="00101B98">
              <w:rPr>
                <w:color w:val="auto"/>
              </w:rPr>
              <w:t xml:space="preserve">4.- Las </w:t>
            </w:r>
            <w:proofErr w:type="gramStart"/>
            <w:r w:rsidRPr="00101B98">
              <w:rPr>
                <w:color w:val="auto"/>
              </w:rPr>
              <w:t>autoridades públicas</w:t>
            </w:r>
            <w:proofErr w:type="gramEnd"/>
            <w:r w:rsidRPr="00101B98">
              <w:rPr>
                <w:color w:val="auto"/>
              </w:rPr>
              <w:t xml:space="preserve"> en el Estado y los municipios, así como los partidos políticos, las coaliciones, los candidatos y los ciudadanos, según corresponda, se encuentran obligados al cumplimiento de las normas establecidas en las leyes generales y en esta Ley, en materia de financiamiento, fiscalización, verificación de operaciones financieras y sistema de contabilidad de los partidos políticos y candidatos.</w:t>
            </w:r>
          </w:p>
          <w:p w14:paraId="12FE2CF1" w14:textId="77777777" w:rsidR="00111874" w:rsidRDefault="00111874" w:rsidP="00101B98">
            <w:pPr>
              <w:jc w:val="both"/>
              <w:rPr>
                <w:color w:val="auto"/>
              </w:rPr>
            </w:pPr>
          </w:p>
          <w:p w14:paraId="56288201" w14:textId="7134294F" w:rsidR="00111874" w:rsidRDefault="00111874" w:rsidP="00101B98">
            <w:pPr>
              <w:jc w:val="both"/>
              <w:rPr>
                <w:b/>
                <w:bCs/>
                <w:color w:val="auto"/>
              </w:rPr>
            </w:pPr>
            <w:r w:rsidRPr="00101B98">
              <w:rPr>
                <w:b/>
                <w:bCs/>
                <w:color w:val="auto"/>
              </w:rPr>
              <w:lastRenderedPageBreak/>
              <w:t>Artículo 179</w:t>
            </w:r>
          </w:p>
          <w:p w14:paraId="7921A785" w14:textId="58A7C22F" w:rsidR="00111874" w:rsidRDefault="00111874" w:rsidP="00101B98">
            <w:pPr>
              <w:jc w:val="both"/>
              <w:rPr>
                <w:color w:val="auto"/>
              </w:rPr>
            </w:pPr>
            <w:r w:rsidRPr="00101B98">
              <w:rPr>
                <w:color w:val="auto"/>
              </w:rPr>
              <w:t>[…]</w:t>
            </w:r>
          </w:p>
          <w:p w14:paraId="36D16FEC" w14:textId="1BBF8B53" w:rsidR="00111874" w:rsidRDefault="00111874" w:rsidP="00101B98">
            <w:pPr>
              <w:jc w:val="both"/>
              <w:rPr>
                <w:color w:val="auto"/>
              </w:rPr>
            </w:pPr>
          </w:p>
          <w:p w14:paraId="1E50B9C9" w14:textId="42892B03" w:rsidR="00111874" w:rsidRDefault="00111874" w:rsidP="00101B98">
            <w:pPr>
              <w:jc w:val="both"/>
              <w:rPr>
                <w:color w:val="auto"/>
              </w:rPr>
            </w:pPr>
            <w:r w:rsidRPr="00101B98">
              <w:rPr>
                <w:color w:val="auto"/>
              </w:rPr>
              <w:t>2.- De conformidad con lo señalado en las leyes generales, corresponde al INE la función de fiscalización de los gastos en los procesos internos para la selección de candidatos de los partidos políticos.</w:t>
            </w:r>
            <w:r>
              <w:rPr>
                <w:color w:val="auto"/>
              </w:rPr>
              <w:t xml:space="preserve"> </w:t>
            </w:r>
          </w:p>
          <w:p w14:paraId="2343E75C" w14:textId="7F0F8305" w:rsidR="00111874" w:rsidRDefault="00111874" w:rsidP="00101B98">
            <w:pPr>
              <w:jc w:val="both"/>
              <w:rPr>
                <w:color w:val="auto"/>
              </w:rPr>
            </w:pPr>
          </w:p>
          <w:p w14:paraId="24063F3D" w14:textId="77777777" w:rsidR="00111874" w:rsidRPr="00F461E9" w:rsidRDefault="00111874" w:rsidP="00F461E9">
            <w:pPr>
              <w:jc w:val="both"/>
              <w:rPr>
                <w:b/>
                <w:bCs/>
                <w:color w:val="auto"/>
              </w:rPr>
            </w:pPr>
            <w:r w:rsidRPr="00F461E9">
              <w:rPr>
                <w:b/>
                <w:bCs/>
                <w:color w:val="auto"/>
              </w:rPr>
              <w:t>Artículo 292</w:t>
            </w:r>
          </w:p>
          <w:p w14:paraId="1CA707D4" w14:textId="127A97BD" w:rsidR="00111874" w:rsidRDefault="00111874" w:rsidP="00F461E9">
            <w:pPr>
              <w:jc w:val="both"/>
              <w:rPr>
                <w:color w:val="auto"/>
              </w:rPr>
            </w:pPr>
            <w:r w:rsidRPr="00F461E9">
              <w:rPr>
                <w:color w:val="auto"/>
              </w:rPr>
              <w:t>1.- En lo que se refiere al padrón de afiliados del partido político local, la Dirección Ejecutiva de Prerrogativas, Fiscalización, Partidos Políticos y Candidatos Independientes, con el apoyo del INE, verificará que no exista doble afiliación a partidos ya registrados o en formación.</w:t>
            </w:r>
          </w:p>
          <w:p w14:paraId="041BD7D9" w14:textId="6000EDA5" w:rsidR="00111874" w:rsidRDefault="00111874" w:rsidP="00F461E9">
            <w:pPr>
              <w:jc w:val="both"/>
              <w:rPr>
                <w:color w:val="auto"/>
              </w:rPr>
            </w:pPr>
          </w:p>
          <w:p w14:paraId="1EA9BF4A" w14:textId="77777777" w:rsidR="00111874" w:rsidRDefault="00111874" w:rsidP="00F461E9">
            <w:pPr>
              <w:jc w:val="both"/>
              <w:rPr>
                <w:color w:val="auto"/>
              </w:rPr>
            </w:pPr>
          </w:p>
          <w:p w14:paraId="57420FAF" w14:textId="77777777" w:rsidR="00111874" w:rsidRPr="00F461E9" w:rsidRDefault="00111874" w:rsidP="00F461E9">
            <w:pPr>
              <w:jc w:val="both"/>
              <w:rPr>
                <w:b/>
                <w:bCs/>
                <w:color w:val="auto"/>
              </w:rPr>
            </w:pPr>
            <w:r w:rsidRPr="00F461E9">
              <w:rPr>
                <w:b/>
                <w:bCs/>
                <w:color w:val="auto"/>
              </w:rPr>
              <w:t>Artículo 298</w:t>
            </w:r>
          </w:p>
          <w:p w14:paraId="1C6099AC" w14:textId="7B857CC7" w:rsidR="00111874" w:rsidRDefault="00111874" w:rsidP="00F461E9">
            <w:pPr>
              <w:jc w:val="both"/>
              <w:rPr>
                <w:color w:val="auto"/>
              </w:rPr>
            </w:pPr>
            <w:r w:rsidRPr="00F461E9">
              <w:rPr>
                <w:color w:val="auto"/>
              </w:rPr>
              <w:t>1.- La fiscalización del ingreso y egreso de los recursos de los partidos políticos locales y de los nacionales que reciben financiamiento público estatal, sus coaliciones y candidatos a cargos de elección popular estatal, estará a cargo del INE, en los términos establecidos por la Ley General de Partidos Políticos.</w:t>
            </w:r>
          </w:p>
          <w:p w14:paraId="4B10D67A" w14:textId="77777777" w:rsidR="00111874" w:rsidRPr="00F461E9" w:rsidRDefault="00111874" w:rsidP="00F461E9">
            <w:pPr>
              <w:jc w:val="both"/>
              <w:rPr>
                <w:color w:val="auto"/>
              </w:rPr>
            </w:pPr>
          </w:p>
          <w:p w14:paraId="40F420F1" w14:textId="77777777" w:rsidR="00111874" w:rsidRPr="00F461E9" w:rsidRDefault="00111874" w:rsidP="00F461E9">
            <w:pPr>
              <w:jc w:val="both"/>
              <w:rPr>
                <w:color w:val="auto"/>
              </w:rPr>
            </w:pPr>
            <w:r w:rsidRPr="00F461E9">
              <w:rPr>
                <w:color w:val="auto"/>
              </w:rPr>
              <w:t>2.- El Consejo General del Instituto Estatal, mediante el voto aprobatorio de las dos terceras partes de sus integrantes, podrá solicitar al Consejo General del INE la delegación de facultades de fiscalización de los ingresos y egresos de los partidos políticos locales, sus coaliciones y de los candidatos a cargos de elección popular, siempre y cuando el Instituto Estatal reúna las siguientes condiciones:</w:t>
            </w:r>
          </w:p>
          <w:p w14:paraId="62F0DDE9" w14:textId="77777777" w:rsidR="00111874" w:rsidRDefault="00111874" w:rsidP="00F461E9">
            <w:pPr>
              <w:jc w:val="both"/>
              <w:rPr>
                <w:color w:val="auto"/>
              </w:rPr>
            </w:pPr>
          </w:p>
          <w:p w14:paraId="1EC54F29" w14:textId="3251467E" w:rsidR="00111874" w:rsidRDefault="00111874" w:rsidP="00F461E9">
            <w:pPr>
              <w:jc w:val="both"/>
              <w:rPr>
                <w:color w:val="auto"/>
              </w:rPr>
            </w:pPr>
            <w:r>
              <w:rPr>
                <w:color w:val="auto"/>
              </w:rPr>
              <w:t>[…]</w:t>
            </w:r>
          </w:p>
          <w:p w14:paraId="730A1E38" w14:textId="6636515D" w:rsidR="00111874" w:rsidRDefault="00111874" w:rsidP="00F461E9">
            <w:pPr>
              <w:jc w:val="both"/>
              <w:rPr>
                <w:color w:val="auto"/>
              </w:rPr>
            </w:pPr>
          </w:p>
          <w:p w14:paraId="4CDC42E9" w14:textId="5FC2FEC4" w:rsidR="00111874" w:rsidRDefault="00111874" w:rsidP="00F461E9">
            <w:pPr>
              <w:jc w:val="both"/>
              <w:rPr>
                <w:color w:val="auto"/>
              </w:rPr>
            </w:pPr>
            <w:r w:rsidRPr="00F461E9">
              <w:rPr>
                <w:color w:val="auto"/>
              </w:rPr>
              <w:t>II.- Cuente con una normatividad interna que incluya procedimientos acordes a la legislación federal en materia de fiscalización;</w:t>
            </w:r>
          </w:p>
          <w:p w14:paraId="56B49778" w14:textId="6923B081" w:rsidR="00111874" w:rsidRDefault="00111874" w:rsidP="00F461E9">
            <w:pPr>
              <w:jc w:val="both"/>
              <w:rPr>
                <w:color w:val="auto"/>
              </w:rPr>
            </w:pPr>
          </w:p>
          <w:p w14:paraId="193743DF" w14:textId="409A3200" w:rsidR="00111874" w:rsidRDefault="00111874" w:rsidP="00F461E9">
            <w:pPr>
              <w:jc w:val="both"/>
              <w:rPr>
                <w:color w:val="auto"/>
              </w:rPr>
            </w:pPr>
            <w:r>
              <w:rPr>
                <w:color w:val="auto"/>
              </w:rPr>
              <w:t>[…]</w:t>
            </w:r>
          </w:p>
          <w:p w14:paraId="767CF24E" w14:textId="32687F0A" w:rsidR="00111874" w:rsidRDefault="00111874" w:rsidP="00F461E9">
            <w:pPr>
              <w:jc w:val="both"/>
              <w:rPr>
                <w:color w:val="auto"/>
              </w:rPr>
            </w:pPr>
          </w:p>
          <w:p w14:paraId="470F7514" w14:textId="77777777" w:rsidR="00111874" w:rsidRDefault="00111874" w:rsidP="00F461E9">
            <w:pPr>
              <w:jc w:val="both"/>
              <w:rPr>
                <w:color w:val="auto"/>
              </w:rPr>
            </w:pPr>
            <w:r w:rsidRPr="00F461E9">
              <w:rPr>
                <w:color w:val="auto"/>
              </w:rPr>
              <w:lastRenderedPageBreak/>
              <w:t>3.- Las facultades, atribuciones y procedimientos de actuación del órgano interno del Instituto Estatal que se haga cargo de la fiscalización de los ingresos y egresos de los partidos políticos locales que reciban recursos públicos estatales, sus coaliciones y de los candidatos a cargos de elección popular, que por delegación de facultades determine el Consejo General del INE, serán los mismos establecidos por la Ley General y la Ley General de Partidos Políticos en lo que legal y administrativamente aplique a la fiscalización estatal.</w:t>
            </w:r>
          </w:p>
          <w:p w14:paraId="4EB26709" w14:textId="77777777" w:rsidR="00111874" w:rsidRDefault="00111874" w:rsidP="00F461E9">
            <w:pPr>
              <w:jc w:val="both"/>
              <w:rPr>
                <w:color w:val="auto"/>
              </w:rPr>
            </w:pPr>
          </w:p>
          <w:p w14:paraId="24C70125" w14:textId="4C114C8C" w:rsidR="00111874" w:rsidRPr="00F461E9" w:rsidRDefault="00111874" w:rsidP="00F461E9">
            <w:pPr>
              <w:jc w:val="both"/>
              <w:rPr>
                <w:b/>
                <w:bCs/>
                <w:color w:val="auto"/>
              </w:rPr>
            </w:pPr>
            <w:r w:rsidRPr="00F461E9">
              <w:rPr>
                <w:b/>
                <w:bCs/>
                <w:color w:val="auto"/>
              </w:rPr>
              <w:t>Artículo 304</w:t>
            </w:r>
          </w:p>
          <w:p w14:paraId="6295FDEE" w14:textId="2D2790D9" w:rsidR="00111874" w:rsidRDefault="00111874" w:rsidP="00F461E9">
            <w:pPr>
              <w:jc w:val="both"/>
              <w:rPr>
                <w:color w:val="auto"/>
              </w:rPr>
            </w:pPr>
            <w:r w:rsidRPr="00F461E9">
              <w:rPr>
                <w:color w:val="auto"/>
              </w:rPr>
              <w:t>Constituyen infracciones de los partidos políticos a la presente Ley:</w:t>
            </w:r>
          </w:p>
          <w:p w14:paraId="0E2F4F13" w14:textId="77777777" w:rsidR="00111874" w:rsidRDefault="00111874" w:rsidP="00F461E9">
            <w:pPr>
              <w:jc w:val="both"/>
              <w:rPr>
                <w:color w:val="auto"/>
              </w:rPr>
            </w:pPr>
          </w:p>
          <w:p w14:paraId="61ECA0BC" w14:textId="3EA2FF77" w:rsidR="00111874" w:rsidRDefault="00111874" w:rsidP="00F461E9">
            <w:pPr>
              <w:jc w:val="both"/>
              <w:rPr>
                <w:color w:val="auto"/>
              </w:rPr>
            </w:pPr>
            <w:r>
              <w:rPr>
                <w:color w:val="auto"/>
              </w:rPr>
              <w:t>[…]</w:t>
            </w:r>
          </w:p>
          <w:p w14:paraId="471CEDFA" w14:textId="3BE25C06" w:rsidR="00111874" w:rsidRDefault="00111874" w:rsidP="00F461E9">
            <w:pPr>
              <w:jc w:val="both"/>
              <w:rPr>
                <w:color w:val="auto"/>
              </w:rPr>
            </w:pPr>
          </w:p>
          <w:p w14:paraId="75F1219A" w14:textId="2FE22473" w:rsidR="00111874" w:rsidRDefault="00111874" w:rsidP="00F461E9">
            <w:pPr>
              <w:jc w:val="both"/>
              <w:rPr>
                <w:color w:val="auto"/>
              </w:rPr>
            </w:pPr>
            <w:r w:rsidRPr="00F461E9">
              <w:rPr>
                <w:color w:val="auto"/>
              </w:rPr>
              <w:t>III.- El incumplimiento de las obligaciones o incurrir en las conductas prohibidas o exceder los topes que en materia de financiamiento y fiscalización les impone la presente Ley;</w:t>
            </w:r>
          </w:p>
          <w:p w14:paraId="119D21FA" w14:textId="542D3143" w:rsidR="00111874" w:rsidRDefault="00111874" w:rsidP="00F461E9">
            <w:pPr>
              <w:jc w:val="both"/>
              <w:rPr>
                <w:color w:val="auto"/>
              </w:rPr>
            </w:pPr>
          </w:p>
          <w:p w14:paraId="64C7AF14" w14:textId="4DF4EB83" w:rsidR="00111874" w:rsidRDefault="00111874" w:rsidP="00F461E9">
            <w:pPr>
              <w:jc w:val="both"/>
              <w:rPr>
                <w:color w:val="auto"/>
              </w:rPr>
            </w:pPr>
            <w:r>
              <w:rPr>
                <w:color w:val="auto"/>
              </w:rPr>
              <w:t>[…]</w:t>
            </w:r>
          </w:p>
          <w:p w14:paraId="47FBF002" w14:textId="27335A64" w:rsidR="00111874" w:rsidRDefault="00111874" w:rsidP="00F461E9">
            <w:pPr>
              <w:jc w:val="both"/>
              <w:rPr>
                <w:color w:val="auto"/>
              </w:rPr>
            </w:pPr>
          </w:p>
          <w:p w14:paraId="3ADFFC7D" w14:textId="77777777" w:rsidR="00111874" w:rsidRPr="00F461E9" w:rsidRDefault="00111874" w:rsidP="00F461E9">
            <w:pPr>
              <w:jc w:val="both"/>
              <w:rPr>
                <w:color w:val="auto"/>
              </w:rPr>
            </w:pPr>
            <w:r w:rsidRPr="00F461E9">
              <w:rPr>
                <w:color w:val="auto"/>
              </w:rPr>
              <w:t>Reformada mediante el Decreto Núm. 1511, publicado el 30 de mayo de 2020)</w:t>
            </w:r>
          </w:p>
          <w:p w14:paraId="781F63C0" w14:textId="6EDE94E4" w:rsidR="00111874" w:rsidRDefault="00111874" w:rsidP="00F461E9">
            <w:pPr>
              <w:jc w:val="both"/>
              <w:rPr>
                <w:color w:val="auto"/>
              </w:rPr>
            </w:pPr>
            <w:r w:rsidRPr="00F461E9">
              <w:rPr>
                <w:color w:val="auto"/>
              </w:rPr>
              <w:t>XV.- No presentar los informes trimestrales. anuales, de precampaña o de campaña, o no atender los requerimientos de información del Órgano Técnico de Fiscalización, en los términos y plazos previstos en esta Ley y sus reglamentos;</w:t>
            </w:r>
            <w:r>
              <w:rPr>
                <w:color w:val="auto"/>
              </w:rPr>
              <w:t xml:space="preserve"> </w:t>
            </w:r>
          </w:p>
          <w:p w14:paraId="6C02D27B" w14:textId="4351A900" w:rsidR="00111874" w:rsidRDefault="00111874" w:rsidP="00F461E9">
            <w:pPr>
              <w:jc w:val="both"/>
              <w:rPr>
                <w:color w:val="auto"/>
              </w:rPr>
            </w:pPr>
          </w:p>
          <w:p w14:paraId="2ECD49A1" w14:textId="77777777" w:rsidR="00111874" w:rsidRPr="00F461E9" w:rsidRDefault="00111874" w:rsidP="00F461E9">
            <w:pPr>
              <w:jc w:val="both"/>
              <w:rPr>
                <w:color w:val="auto"/>
              </w:rPr>
            </w:pPr>
          </w:p>
          <w:p w14:paraId="724E871B" w14:textId="77777777" w:rsidR="00111874" w:rsidRPr="00F461E9" w:rsidRDefault="00111874" w:rsidP="00F461E9">
            <w:pPr>
              <w:jc w:val="both"/>
              <w:rPr>
                <w:b/>
                <w:bCs/>
                <w:color w:val="auto"/>
              </w:rPr>
            </w:pPr>
            <w:r w:rsidRPr="00F461E9">
              <w:rPr>
                <w:b/>
                <w:bCs/>
                <w:color w:val="auto"/>
              </w:rPr>
              <w:t>Artículo 317</w:t>
            </w:r>
          </w:p>
          <w:p w14:paraId="7419501F" w14:textId="77777777" w:rsidR="00111874" w:rsidRDefault="00111874" w:rsidP="00F461E9">
            <w:pPr>
              <w:jc w:val="both"/>
              <w:rPr>
                <w:color w:val="auto"/>
              </w:rPr>
            </w:pPr>
            <w:r w:rsidRPr="00F461E9">
              <w:rPr>
                <w:color w:val="auto"/>
              </w:rPr>
              <w:t xml:space="preserve">Las infracciones señaladas en el capítulo </w:t>
            </w:r>
            <w:r w:rsidRPr="00F461E9">
              <w:rPr>
                <w:color w:val="auto"/>
              </w:rPr>
              <w:t>anterior</w:t>
            </w:r>
            <w:r w:rsidRPr="00F461E9">
              <w:rPr>
                <w:color w:val="auto"/>
              </w:rPr>
              <w:t xml:space="preserve"> serán sancionadas conforme a lo siguiente:</w:t>
            </w:r>
          </w:p>
          <w:p w14:paraId="1512893F" w14:textId="77777777" w:rsidR="00111874" w:rsidRDefault="00111874" w:rsidP="00F461E9">
            <w:pPr>
              <w:jc w:val="both"/>
              <w:rPr>
                <w:color w:val="auto"/>
              </w:rPr>
            </w:pPr>
          </w:p>
          <w:p w14:paraId="6ADA5470" w14:textId="7C424D67" w:rsidR="00111874" w:rsidRDefault="00111874" w:rsidP="00F461E9">
            <w:pPr>
              <w:jc w:val="both"/>
              <w:rPr>
                <w:color w:val="auto"/>
              </w:rPr>
            </w:pPr>
            <w:r>
              <w:rPr>
                <w:color w:val="auto"/>
              </w:rPr>
              <w:t>[…]</w:t>
            </w:r>
          </w:p>
          <w:p w14:paraId="09355C38" w14:textId="5F1F9115" w:rsidR="00111874" w:rsidRDefault="00111874" w:rsidP="00F461E9">
            <w:pPr>
              <w:jc w:val="both"/>
              <w:rPr>
                <w:color w:val="auto"/>
              </w:rPr>
            </w:pPr>
          </w:p>
          <w:p w14:paraId="429E53FA" w14:textId="77777777" w:rsidR="00111874" w:rsidRPr="00F461E9" w:rsidRDefault="00111874" w:rsidP="00F461E9">
            <w:pPr>
              <w:jc w:val="both"/>
              <w:rPr>
                <w:color w:val="auto"/>
              </w:rPr>
            </w:pPr>
            <w:r w:rsidRPr="00F461E9">
              <w:rPr>
                <w:color w:val="auto"/>
              </w:rPr>
              <w:t xml:space="preserve">d) En caso de que el aspirante omita informar y comprobar a la unidad de fiscalización del Instituto Estatal los gastos tendentes a recabar el apoyo ciudadano, no podrá ser registrado en las dos elecciones subsecuentes, </w:t>
            </w:r>
            <w:r w:rsidRPr="00F461E9">
              <w:rPr>
                <w:color w:val="auto"/>
              </w:rPr>
              <w:lastRenderedPageBreak/>
              <w:t>independientemente de las responsabilidades que, en su caso, le resulten en términos de la legislación aplicable; y</w:t>
            </w:r>
          </w:p>
          <w:p w14:paraId="590DAA12" w14:textId="7A856172" w:rsidR="00111874" w:rsidRPr="00101B98" w:rsidRDefault="00111874" w:rsidP="00F461E9">
            <w:pPr>
              <w:jc w:val="both"/>
              <w:rPr>
                <w:color w:val="auto"/>
              </w:rPr>
            </w:pPr>
            <w:r w:rsidRPr="00F461E9">
              <w:rPr>
                <w:color w:val="auto"/>
              </w:rPr>
              <w:t>e) En caso de que el Candidato Independiente omita informar y comprobar a la unidad de fiscalización del Instituto Estatal los gastos de campaña y no los reembolse, no podrá ser registrado como candidato en las dos elecciones subsecuentes, independientemente de las responsabilidades que, en su caso, le resulten en términos de la legislación aplicable.</w:t>
            </w:r>
            <w:r>
              <w:rPr>
                <w:color w:val="auto"/>
              </w:rPr>
              <w:t xml:space="preserve"> </w:t>
            </w:r>
          </w:p>
          <w:p w14:paraId="1C89CC56" w14:textId="26F54034" w:rsidR="00111874" w:rsidRPr="006A6040" w:rsidRDefault="00111874" w:rsidP="006A6040">
            <w:pPr>
              <w:jc w:val="both"/>
            </w:pPr>
          </w:p>
        </w:tc>
      </w:tr>
    </w:tbl>
    <w:p w14:paraId="19C6D486" w14:textId="77777777" w:rsidR="004F35DF" w:rsidRDefault="00FA18E9">
      <w:pPr>
        <w:spacing w:after="0"/>
        <w:ind w:right="15258"/>
        <w:jc w:val="right"/>
      </w:pPr>
      <w:r>
        <w:rPr>
          <w:rFonts w:ascii="Malgun Gothic" w:eastAsia="Malgun Gothic" w:hAnsi="Malgun Gothic" w:cs="Malgun Gothic"/>
        </w:rPr>
        <w:lastRenderedPageBreak/>
        <w:t xml:space="preserve"> </w:t>
      </w:r>
    </w:p>
    <w:p w14:paraId="7BD3DB70" w14:textId="77777777" w:rsidR="004F35DF" w:rsidRDefault="00FA18E9">
      <w:pPr>
        <w:spacing w:after="0"/>
        <w:ind w:left="-24"/>
      </w:pPr>
      <w:r>
        <w:t xml:space="preserve">  </w:t>
      </w:r>
    </w:p>
    <w:tbl>
      <w:tblPr>
        <w:tblStyle w:val="TableGrid"/>
        <w:tblW w:w="17731" w:type="dxa"/>
        <w:tblInd w:w="-17" w:type="dxa"/>
        <w:tblCellMar>
          <w:top w:w="61" w:type="dxa"/>
          <w:left w:w="108" w:type="dxa"/>
          <w:right w:w="57" w:type="dxa"/>
        </w:tblCellMar>
        <w:tblLook w:val="04A0" w:firstRow="1" w:lastRow="0" w:firstColumn="1" w:lastColumn="0" w:noHBand="0" w:noVBand="1"/>
      </w:tblPr>
      <w:tblGrid>
        <w:gridCol w:w="1464"/>
        <w:gridCol w:w="2774"/>
        <w:gridCol w:w="13493"/>
      </w:tblGrid>
      <w:tr w:rsidR="00111874" w14:paraId="2DA3476F" w14:textId="77777777" w:rsidTr="001D0B4C">
        <w:trPr>
          <w:trHeight w:val="406"/>
        </w:trPr>
        <w:tc>
          <w:tcPr>
            <w:tcW w:w="1464" w:type="dxa"/>
            <w:tcBorders>
              <w:top w:val="single" w:sz="4" w:space="0" w:color="BFBFBF"/>
              <w:left w:val="single" w:sz="4" w:space="0" w:color="BFBFBF"/>
              <w:bottom w:val="single" w:sz="4" w:space="0" w:color="BFBFBF"/>
              <w:right w:val="single" w:sz="4" w:space="0" w:color="BFBFBF"/>
            </w:tcBorders>
            <w:shd w:val="clear" w:color="auto" w:fill="76923C"/>
          </w:tcPr>
          <w:p w14:paraId="099651D3" w14:textId="77777777" w:rsidR="00111874" w:rsidRDefault="00111874">
            <w:pPr>
              <w:ind w:left="197"/>
              <w:jc w:val="center"/>
            </w:pPr>
            <w:r>
              <w:rPr>
                <w:rFonts w:ascii="Century Gothic" w:eastAsia="Century Gothic" w:hAnsi="Century Gothic" w:cs="Century Gothic"/>
                <w:b/>
                <w:color w:val="FFFFFF"/>
                <w:sz w:val="20"/>
              </w:rPr>
              <w:t xml:space="preserve"> </w:t>
            </w:r>
          </w:p>
        </w:tc>
        <w:tc>
          <w:tcPr>
            <w:tcW w:w="2774" w:type="dxa"/>
            <w:tcBorders>
              <w:top w:val="single" w:sz="4" w:space="0" w:color="BFBFBF"/>
              <w:left w:val="single" w:sz="4" w:space="0" w:color="BFBFBF"/>
              <w:bottom w:val="single" w:sz="4" w:space="0" w:color="BFBFBF"/>
              <w:right w:val="single" w:sz="4" w:space="0" w:color="BFBFBF"/>
            </w:tcBorders>
            <w:shd w:val="clear" w:color="auto" w:fill="76923C"/>
          </w:tcPr>
          <w:p w14:paraId="66CDC220" w14:textId="77777777" w:rsidR="00111874" w:rsidRDefault="00111874">
            <w:pPr>
              <w:ind w:right="54"/>
              <w:jc w:val="center"/>
            </w:pPr>
            <w:r>
              <w:rPr>
                <w:rFonts w:ascii="Century Gothic" w:eastAsia="Century Gothic" w:hAnsi="Century Gothic" w:cs="Century Gothic"/>
                <w:b/>
                <w:color w:val="FFFFFF"/>
                <w:sz w:val="20"/>
              </w:rPr>
              <w:t xml:space="preserve">ESTADO </w:t>
            </w:r>
          </w:p>
        </w:tc>
        <w:tc>
          <w:tcPr>
            <w:tcW w:w="13493" w:type="dxa"/>
            <w:tcBorders>
              <w:top w:val="single" w:sz="4" w:space="0" w:color="BFBFBF"/>
              <w:left w:val="single" w:sz="4" w:space="0" w:color="BFBFBF"/>
              <w:bottom w:val="single" w:sz="4" w:space="0" w:color="BFBFBF"/>
              <w:right w:val="single" w:sz="4" w:space="0" w:color="BFBFBF"/>
            </w:tcBorders>
            <w:shd w:val="clear" w:color="auto" w:fill="76923C"/>
          </w:tcPr>
          <w:p w14:paraId="6D1A8668" w14:textId="57FECCC6" w:rsidR="00111874" w:rsidRDefault="00111874">
            <w:pPr>
              <w:ind w:right="52"/>
              <w:jc w:val="center"/>
            </w:pPr>
          </w:p>
        </w:tc>
      </w:tr>
      <w:tr w:rsidR="00D049C6" w14:paraId="35721D88" w14:textId="77777777" w:rsidTr="001D0B4C">
        <w:trPr>
          <w:trHeight w:val="332"/>
        </w:trPr>
        <w:tc>
          <w:tcPr>
            <w:tcW w:w="146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DB7D25E" w14:textId="77777777" w:rsidR="00D049C6" w:rsidRPr="00FE0BC3" w:rsidRDefault="00D049C6" w:rsidP="00FE0BC3">
            <w:pPr>
              <w:ind w:right="413"/>
              <w:jc w:val="center"/>
              <w:rPr>
                <w:rFonts w:ascii="Century Gothic" w:eastAsia="Century Gothic" w:hAnsi="Century Gothic" w:cs="Century Gothic"/>
                <w:b/>
                <w:sz w:val="20"/>
              </w:rPr>
            </w:pPr>
          </w:p>
        </w:tc>
        <w:tc>
          <w:tcPr>
            <w:tcW w:w="2774"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00E35DE" w14:textId="03EF828A" w:rsidR="00D049C6" w:rsidRDefault="00F461E9" w:rsidP="00F461E9">
            <w:pPr>
              <w:ind w:right="54"/>
              <w:jc w:val="center"/>
              <w:rPr>
                <w:rFonts w:ascii="Century Gothic" w:eastAsia="Century Gothic" w:hAnsi="Century Gothic" w:cs="Century Gothic"/>
                <w:b/>
                <w:sz w:val="20"/>
              </w:rPr>
            </w:pPr>
            <w:r>
              <w:rPr>
                <w:rFonts w:ascii="Century Gothic" w:eastAsia="Century Gothic" w:hAnsi="Century Gothic" w:cs="Century Gothic"/>
                <w:b/>
                <w:sz w:val="20"/>
              </w:rPr>
              <w:t>OAXACA</w:t>
            </w:r>
          </w:p>
        </w:tc>
        <w:tc>
          <w:tcPr>
            <w:tcW w:w="13493"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2D3FA70" w14:textId="77777777" w:rsidR="00111874" w:rsidRDefault="00111874">
            <w:pPr>
              <w:rPr>
                <w:b/>
              </w:rPr>
            </w:pPr>
          </w:p>
          <w:p w14:paraId="7E2E6DBB" w14:textId="542BE3EE" w:rsidR="00D049C6" w:rsidRDefault="00497902">
            <w:pPr>
              <w:rPr>
                <w:b/>
              </w:rPr>
            </w:pPr>
            <w:hyperlink r:id="rId9" w:history="1">
              <w:r w:rsidR="003909C1" w:rsidRPr="00497902">
                <w:rPr>
                  <w:rStyle w:val="Hipervnculo"/>
                  <w:b/>
                </w:rPr>
                <w:t xml:space="preserve">Lineamientos para la constitución y registro de partidos políticos locales del Instituto Estatal Electoral y de Participación </w:t>
              </w:r>
              <w:r w:rsidRPr="00497902">
                <w:rPr>
                  <w:rStyle w:val="Hipervnculo"/>
                  <w:b/>
                </w:rPr>
                <w:t>Ciudadana de Oaxaca</w:t>
              </w:r>
            </w:hyperlink>
            <w:r w:rsidRPr="00497902">
              <w:rPr>
                <w:b/>
              </w:rPr>
              <w:t xml:space="preserve"> </w:t>
            </w:r>
          </w:p>
          <w:p w14:paraId="3B84D691" w14:textId="77777777" w:rsidR="00497902" w:rsidRDefault="00497902">
            <w:pPr>
              <w:rPr>
                <w:b/>
              </w:rPr>
            </w:pPr>
          </w:p>
          <w:p w14:paraId="4C3557B2" w14:textId="56349D56" w:rsidR="00497902" w:rsidRPr="00497902" w:rsidRDefault="00497902">
            <w:pPr>
              <w:rPr>
                <w:b/>
              </w:rPr>
            </w:pPr>
          </w:p>
        </w:tc>
      </w:tr>
    </w:tbl>
    <w:p w14:paraId="6886F377" w14:textId="77777777" w:rsidR="004F35DF" w:rsidRDefault="00FA18E9">
      <w:pPr>
        <w:spacing w:after="0"/>
        <w:ind w:left="-24"/>
      </w:pPr>
      <w:r>
        <w:rPr>
          <w:rFonts w:ascii="Century Gothic" w:eastAsia="Century Gothic" w:hAnsi="Century Gothic" w:cs="Century Gothic"/>
          <w:b/>
          <w:sz w:val="20"/>
        </w:rPr>
        <w:t xml:space="preserve"> </w:t>
      </w:r>
    </w:p>
    <w:sectPr w:rsidR="004F35DF">
      <w:headerReference w:type="even" r:id="rId10"/>
      <w:headerReference w:type="default" r:id="rId11"/>
      <w:headerReference w:type="first" r:id="rId12"/>
      <w:pgSz w:w="20160" w:h="12240" w:orient="landscape"/>
      <w:pgMar w:top="1440" w:right="1440" w:bottom="646" w:left="1440"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DC52" w14:textId="77777777" w:rsidR="00936BE5" w:rsidRDefault="00936BE5">
      <w:pPr>
        <w:spacing w:after="0" w:line="240" w:lineRule="auto"/>
      </w:pPr>
      <w:r>
        <w:separator/>
      </w:r>
    </w:p>
  </w:endnote>
  <w:endnote w:type="continuationSeparator" w:id="0">
    <w:p w14:paraId="078ADE5B" w14:textId="77777777" w:rsidR="00936BE5" w:rsidRDefault="00936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0E6C" w14:textId="77777777" w:rsidR="00936BE5" w:rsidRDefault="00936BE5">
      <w:pPr>
        <w:spacing w:after="0" w:line="240" w:lineRule="auto"/>
      </w:pPr>
      <w:r>
        <w:separator/>
      </w:r>
    </w:p>
  </w:footnote>
  <w:footnote w:type="continuationSeparator" w:id="0">
    <w:p w14:paraId="0179797A" w14:textId="77777777" w:rsidR="00936BE5" w:rsidRDefault="00936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8929" w14:textId="77777777" w:rsidR="004F35DF" w:rsidRDefault="00FA18E9">
    <w:pPr>
      <w:spacing w:after="95"/>
      <w:ind w:right="80"/>
      <w:jc w:val="right"/>
    </w:pPr>
    <w:r>
      <w:rPr>
        <w:rFonts w:ascii="Malgun Gothic" w:eastAsia="Malgun Gothic" w:hAnsi="Malgun Gothic" w:cs="Malgun Gothic"/>
        <w:b/>
        <w:sz w:val="10"/>
      </w:rPr>
      <w:t xml:space="preserve"> </w:t>
    </w:r>
  </w:p>
  <w:p w14:paraId="38D0E527" w14:textId="77777777" w:rsidR="004F35DF" w:rsidRDefault="00FA18E9">
    <w:pPr>
      <w:spacing w:after="0"/>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40F3DB5D" w14:textId="77777777" w:rsidR="004F35DF" w:rsidRDefault="00FA18E9">
    <w:r>
      <w:rPr>
        <w:noProof/>
      </w:rPr>
      <mc:AlternateContent>
        <mc:Choice Requires="wpg">
          <w:drawing>
            <wp:anchor distT="0" distB="0" distL="114300" distR="114300" simplePos="0" relativeHeight="251658240" behindDoc="1" locked="0" layoutInCell="1" allowOverlap="1" wp14:anchorId="569C9CEF" wp14:editId="513D6366">
              <wp:simplePos x="0" y="0"/>
              <wp:positionH relativeFrom="page">
                <wp:posOffset>987552</wp:posOffset>
              </wp:positionH>
              <wp:positionV relativeFrom="page">
                <wp:posOffset>449580</wp:posOffset>
              </wp:positionV>
              <wp:extent cx="1162812" cy="1178052"/>
              <wp:effectExtent l="0" t="0" r="0" b="0"/>
              <wp:wrapNone/>
              <wp:docPr id="5341" name="Group 5341"/>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42" name="Picture 5342"/>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5341" style="width:91.56pt;height:92.76pt;position:absolute;z-index:-2147483648;mso-position-horizontal-relative:page;mso-position-horizontal:absolute;margin-left:77.76pt;mso-position-vertical-relative:page;margin-top:35.4pt;" coordsize="11628,11780">
              <v:shape id="Picture 5342" style="position:absolute;width:11628;height:11780;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1298" w14:textId="77777777" w:rsidR="004F35DF" w:rsidRDefault="00FA18E9">
    <w:pPr>
      <w:spacing w:after="95"/>
      <w:ind w:right="80"/>
      <w:jc w:val="right"/>
    </w:pPr>
    <w:r>
      <w:rPr>
        <w:rFonts w:ascii="Malgun Gothic" w:eastAsia="Malgun Gothic" w:hAnsi="Malgun Gothic" w:cs="Malgun Gothic"/>
        <w:b/>
        <w:sz w:val="10"/>
      </w:rPr>
      <w:t xml:space="preserve"> </w:t>
    </w:r>
  </w:p>
  <w:p w14:paraId="068845F6" w14:textId="77777777" w:rsidR="00E77FBA" w:rsidRDefault="00E77FBA">
    <w:pPr>
      <w:spacing w:after="0"/>
      <w:ind w:right="115"/>
      <w:jc w:val="right"/>
      <w:rPr>
        <w:rFonts w:ascii="Arial" w:eastAsia="Arial" w:hAnsi="Arial" w:cs="Arial"/>
        <w:b/>
        <w:i/>
        <w:sz w:val="18"/>
      </w:rPr>
    </w:pPr>
    <w:r>
      <w:rPr>
        <w:rFonts w:ascii="Arial" w:eastAsia="Arial" w:hAnsi="Arial" w:cs="Arial"/>
        <w:b/>
        <w:i/>
      </w:rPr>
      <w:t>D</w:t>
    </w:r>
    <w:r w:rsidRPr="00E77FBA">
      <w:rPr>
        <w:rFonts w:ascii="Arial" w:eastAsia="Arial" w:hAnsi="Arial" w:cs="Arial"/>
        <w:b/>
        <w:i/>
        <w:sz w:val="18"/>
        <w:szCs w:val="18"/>
      </w:rPr>
      <w:t>IRECCIÓN</w:t>
    </w:r>
    <w:r>
      <w:rPr>
        <w:rFonts w:ascii="Arial" w:eastAsia="Arial" w:hAnsi="Arial" w:cs="Arial"/>
        <w:b/>
        <w:i/>
      </w:rPr>
      <w:t xml:space="preserve"> G</w:t>
    </w:r>
    <w:r w:rsidRPr="00E77FBA">
      <w:rPr>
        <w:rFonts w:ascii="Arial" w:eastAsia="Arial" w:hAnsi="Arial" w:cs="Arial"/>
        <w:b/>
        <w:i/>
        <w:sz w:val="18"/>
        <w:szCs w:val="18"/>
      </w:rPr>
      <w:t>ENERAL</w:t>
    </w:r>
    <w:r>
      <w:rPr>
        <w:rFonts w:ascii="Arial" w:eastAsia="Arial" w:hAnsi="Arial" w:cs="Arial"/>
        <w:b/>
        <w:i/>
      </w:rPr>
      <w:t xml:space="preserve"> </w:t>
    </w:r>
    <w:r w:rsidR="00FA18E9">
      <w:rPr>
        <w:rFonts w:ascii="Arial" w:eastAsia="Arial" w:hAnsi="Arial" w:cs="Arial"/>
        <w:b/>
        <w:i/>
        <w:sz w:val="18"/>
      </w:rPr>
      <w:t xml:space="preserve">DE </w:t>
    </w:r>
    <w:r w:rsidR="00FA18E9">
      <w:rPr>
        <w:rFonts w:ascii="Arial" w:eastAsia="Arial" w:hAnsi="Arial" w:cs="Arial"/>
        <w:b/>
        <w:i/>
      </w:rPr>
      <w:t>J</w:t>
    </w:r>
    <w:r w:rsidR="00FA18E9">
      <w:rPr>
        <w:rFonts w:ascii="Arial" w:eastAsia="Arial" w:hAnsi="Arial" w:cs="Arial"/>
        <w:b/>
        <w:i/>
        <w:sz w:val="18"/>
      </w:rPr>
      <w:t>URISPRUDENCIA</w:t>
    </w:r>
    <w:r w:rsidR="00FA18E9">
      <w:rPr>
        <w:rFonts w:ascii="Arial" w:eastAsia="Arial" w:hAnsi="Arial" w:cs="Arial"/>
        <w:b/>
        <w:i/>
      </w:rPr>
      <w:t>,</w:t>
    </w:r>
    <w:r w:rsidR="00FA18E9">
      <w:rPr>
        <w:rFonts w:ascii="Arial" w:eastAsia="Arial" w:hAnsi="Arial" w:cs="Arial"/>
        <w:b/>
        <w:i/>
        <w:sz w:val="18"/>
      </w:rPr>
      <w:t xml:space="preserve"> SEGUIMIENTO Y CONSULTA</w:t>
    </w:r>
  </w:p>
  <w:p w14:paraId="34F0A1B2" w14:textId="77777777" w:rsidR="00E77FBA" w:rsidRDefault="00E77FBA">
    <w:pPr>
      <w:spacing w:after="0"/>
      <w:ind w:right="115"/>
      <w:jc w:val="right"/>
      <w:rPr>
        <w:rFonts w:ascii="Arial" w:eastAsia="Arial" w:hAnsi="Arial" w:cs="Arial"/>
        <w:b/>
        <w:i/>
        <w:sz w:val="18"/>
      </w:rPr>
    </w:pPr>
  </w:p>
  <w:p w14:paraId="0E77ED67" w14:textId="77777777" w:rsidR="004F35DF" w:rsidRDefault="00E77FBA">
    <w:pPr>
      <w:spacing w:after="0"/>
      <w:ind w:right="115"/>
      <w:jc w:val="right"/>
      <w:rPr>
        <w:rFonts w:ascii="Arial" w:eastAsia="Arial" w:hAnsi="Arial" w:cs="Arial"/>
        <w:b/>
        <w:i/>
      </w:rPr>
    </w:pPr>
    <w:r w:rsidRPr="00E77FBA">
      <w:rPr>
        <w:rFonts w:ascii="Arial" w:eastAsia="Arial" w:hAnsi="Arial" w:cs="Arial"/>
        <w:b/>
        <w:i/>
      </w:rPr>
      <w:t>D</w:t>
    </w:r>
    <w:r>
      <w:rPr>
        <w:rFonts w:ascii="Arial" w:eastAsia="Arial" w:hAnsi="Arial" w:cs="Arial"/>
        <w:b/>
        <w:i/>
        <w:sz w:val="18"/>
      </w:rPr>
      <w:t xml:space="preserve">IRECCIÓN DE </w:t>
    </w:r>
    <w:r w:rsidRPr="00E77FBA">
      <w:rPr>
        <w:rFonts w:ascii="Arial" w:eastAsia="Arial" w:hAnsi="Arial" w:cs="Arial"/>
        <w:b/>
        <w:i/>
      </w:rPr>
      <w:t>C</w:t>
    </w:r>
    <w:r>
      <w:rPr>
        <w:rFonts w:ascii="Arial" w:eastAsia="Arial" w:hAnsi="Arial" w:cs="Arial"/>
        <w:b/>
        <w:i/>
        <w:sz w:val="18"/>
      </w:rPr>
      <w:t xml:space="preserve">ONSULTA Y </w:t>
    </w:r>
    <w:r w:rsidRPr="00E77FBA">
      <w:rPr>
        <w:rFonts w:ascii="Arial" w:eastAsia="Arial" w:hAnsi="Arial" w:cs="Arial"/>
        <w:b/>
        <w:i/>
      </w:rPr>
      <w:t>D</w:t>
    </w:r>
    <w:r>
      <w:rPr>
        <w:rFonts w:ascii="Arial" w:eastAsia="Arial" w:hAnsi="Arial" w:cs="Arial"/>
        <w:b/>
        <w:i/>
        <w:sz w:val="18"/>
      </w:rPr>
      <w:t xml:space="preserve">IFUSIÓN </w:t>
    </w:r>
    <w:r w:rsidR="00FA18E9">
      <w:rPr>
        <w:rFonts w:ascii="Arial" w:eastAsia="Arial" w:hAnsi="Arial" w:cs="Arial"/>
        <w:b/>
        <w:i/>
      </w:rPr>
      <w:t xml:space="preserve"> </w:t>
    </w:r>
  </w:p>
  <w:p w14:paraId="29DB43B0" w14:textId="77777777" w:rsidR="00501DEE" w:rsidRDefault="00501DEE">
    <w:pPr>
      <w:spacing w:after="0"/>
      <w:ind w:right="115"/>
      <w:jc w:val="right"/>
      <w:rPr>
        <w:rFonts w:ascii="Arial" w:eastAsia="Arial" w:hAnsi="Arial" w:cs="Arial"/>
        <w:b/>
        <w:i/>
      </w:rPr>
    </w:pPr>
  </w:p>
  <w:p w14:paraId="5BC08469" w14:textId="77777777" w:rsidR="00501DEE" w:rsidRDefault="00501DEE">
    <w:pPr>
      <w:spacing w:after="0"/>
      <w:ind w:right="115"/>
      <w:jc w:val="right"/>
      <w:rPr>
        <w:rFonts w:ascii="Arial" w:eastAsia="Arial" w:hAnsi="Arial" w:cs="Arial"/>
        <w:b/>
        <w:i/>
      </w:rPr>
    </w:pPr>
  </w:p>
  <w:p w14:paraId="03A4A94F" w14:textId="77777777" w:rsidR="004F35DF" w:rsidRDefault="00FA18E9">
    <w:r>
      <w:rPr>
        <w:noProof/>
      </w:rPr>
      <mc:AlternateContent>
        <mc:Choice Requires="wpg">
          <w:drawing>
            <wp:anchor distT="0" distB="0" distL="114300" distR="114300" simplePos="0" relativeHeight="251659264" behindDoc="1" locked="0" layoutInCell="1" allowOverlap="1" wp14:anchorId="3B1B3372" wp14:editId="1D916BC4">
              <wp:simplePos x="0" y="0"/>
              <wp:positionH relativeFrom="page">
                <wp:posOffset>987552</wp:posOffset>
              </wp:positionH>
              <wp:positionV relativeFrom="page">
                <wp:posOffset>449580</wp:posOffset>
              </wp:positionV>
              <wp:extent cx="1162812" cy="1178052"/>
              <wp:effectExtent l="0" t="0" r="0" b="0"/>
              <wp:wrapNone/>
              <wp:docPr id="5322" name="Group 5322"/>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23" name="Picture 5323"/>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5322" style="width:91.56pt;height:92.76pt;position:absolute;z-index:-2147483648;mso-position-horizontal-relative:page;mso-position-horizontal:absolute;margin-left:77.76pt;mso-position-vertical-relative:page;margin-top:35.4pt;" coordsize="11628,11780">
              <v:shape id="Picture 5323" style="position:absolute;width:11628;height:11780;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D608" w14:textId="77777777" w:rsidR="004F35DF" w:rsidRDefault="00FA18E9">
    <w:pPr>
      <w:spacing w:after="95"/>
      <w:ind w:right="80"/>
      <w:jc w:val="right"/>
    </w:pPr>
    <w:r>
      <w:rPr>
        <w:rFonts w:ascii="Malgun Gothic" w:eastAsia="Malgun Gothic" w:hAnsi="Malgun Gothic" w:cs="Malgun Gothic"/>
        <w:b/>
        <w:sz w:val="10"/>
      </w:rPr>
      <w:t xml:space="preserve"> </w:t>
    </w:r>
  </w:p>
  <w:p w14:paraId="617FC247" w14:textId="77777777" w:rsidR="004F35DF" w:rsidRDefault="00FA18E9">
    <w:pPr>
      <w:spacing w:after="0"/>
      <w:ind w:right="115"/>
      <w:jc w:val="right"/>
    </w:pPr>
    <w:r>
      <w:rPr>
        <w:rFonts w:ascii="Arial" w:eastAsia="Arial" w:hAnsi="Arial" w:cs="Arial"/>
        <w:b/>
        <w:i/>
      </w:rPr>
      <w:t>C</w:t>
    </w:r>
    <w:r>
      <w:rPr>
        <w:rFonts w:ascii="Arial" w:eastAsia="Arial" w:hAnsi="Arial" w:cs="Arial"/>
        <w:b/>
        <w:i/>
        <w:sz w:val="18"/>
      </w:rPr>
      <w:t xml:space="preserve">OORDINACIÓN 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r>
      <w:rPr>
        <w:rFonts w:ascii="Arial" w:eastAsia="Arial" w:hAnsi="Arial" w:cs="Arial"/>
        <w:b/>
        <w:i/>
      </w:rPr>
      <w:t xml:space="preserve"> </w:t>
    </w:r>
  </w:p>
  <w:p w14:paraId="7D4D01AB" w14:textId="77777777" w:rsidR="004F35DF" w:rsidRDefault="00FA18E9">
    <w:r>
      <w:rPr>
        <w:noProof/>
      </w:rPr>
      <mc:AlternateContent>
        <mc:Choice Requires="wpg">
          <w:drawing>
            <wp:anchor distT="0" distB="0" distL="114300" distR="114300" simplePos="0" relativeHeight="251660288" behindDoc="1" locked="0" layoutInCell="1" allowOverlap="1" wp14:anchorId="6EDFFF63" wp14:editId="22557A38">
              <wp:simplePos x="0" y="0"/>
              <wp:positionH relativeFrom="page">
                <wp:posOffset>987552</wp:posOffset>
              </wp:positionH>
              <wp:positionV relativeFrom="page">
                <wp:posOffset>449580</wp:posOffset>
              </wp:positionV>
              <wp:extent cx="1162812" cy="1178052"/>
              <wp:effectExtent l="0" t="0" r="0" b="0"/>
              <wp:wrapNone/>
              <wp:docPr id="5303" name="Group 5303"/>
              <wp:cNvGraphicFramePr/>
              <a:graphic xmlns:a="http://schemas.openxmlformats.org/drawingml/2006/main">
                <a:graphicData uri="http://schemas.microsoft.com/office/word/2010/wordprocessingGroup">
                  <wpg:wgp>
                    <wpg:cNvGrpSpPr/>
                    <wpg:grpSpPr>
                      <a:xfrm>
                        <a:off x="0" y="0"/>
                        <a:ext cx="1162812" cy="1178052"/>
                        <a:chOff x="0" y="0"/>
                        <a:chExt cx="1162812" cy="1178052"/>
                      </a:xfrm>
                    </wpg:grpSpPr>
                    <pic:pic xmlns:pic="http://schemas.openxmlformats.org/drawingml/2006/picture">
                      <pic:nvPicPr>
                        <pic:cNvPr id="5304" name="Picture 5304"/>
                        <pic:cNvPicPr/>
                      </pic:nvPicPr>
                      <pic:blipFill>
                        <a:blip r:embed="rId1"/>
                        <a:stretch>
                          <a:fillRect/>
                        </a:stretch>
                      </pic:blipFill>
                      <pic:spPr>
                        <a:xfrm>
                          <a:off x="0" y="0"/>
                          <a:ext cx="1162812" cy="1178052"/>
                        </a:xfrm>
                        <a:prstGeom prst="rect">
                          <a:avLst/>
                        </a:prstGeom>
                      </pic:spPr>
                    </pic:pic>
                  </wpg:wgp>
                </a:graphicData>
              </a:graphic>
            </wp:anchor>
          </w:drawing>
        </mc:Choice>
        <mc:Fallback xmlns:a="http://schemas.openxmlformats.org/drawingml/2006/main">
          <w:pict>
            <v:group id="Group 5303" style="width:91.56pt;height:92.76pt;position:absolute;z-index:-2147483648;mso-position-horizontal-relative:page;mso-position-horizontal:absolute;margin-left:77.76pt;mso-position-vertical-relative:page;margin-top:35.4pt;" coordsize="11628,11780">
              <v:shape id="Picture 5304" style="position:absolute;width:11628;height:11780;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1FB5"/>
    <w:multiLevelType w:val="hybridMultilevel"/>
    <w:tmpl w:val="2C842784"/>
    <w:lvl w:ilvl="0" w:tplc="44A25B32">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1B6A3806">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2DEC840">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DFEDFD2">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1D14CFC6">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6994BE0E">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9418D5AE">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0BB449A8">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0480E718">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A60F4C"/>
    <w:multiLevelType w:val="hybridMultilevel"/>
    <w:tmpl w:val="EE445390"/>
    <w:lvl w:ilvl="0" w:tplc="3A0E7DE4">
      <w:start w:val="3"/>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364E9716">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91BE8A5A">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BA20F42">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6AC8FE6">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15A00F70">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7A56DA2E">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A38CA87C">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2C426B74">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2E185B"/>
    <w:multiLevelType w:val="hybridMultilevel"/>
    <w:tmpl w:val="15BC2004"/>
    <w:lvl w:ilvl="0" w:tplc="8508EE76">
      <w:start w:val="3"/>
      <w:numFmt w:val="upperRoman"/>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B362B00">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F2F09B26">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75D87364">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639A83EA">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1225AD6">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493A8EDA">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0646FEE">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709A1FBA">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95782E"/>
    <w:multiLevelType w:val="hybridMultilevel"/>
    <w:tmpl w:val="B79094FE"/>
    <w:lvl w:ilvl="0" w:tplc="3F7275E8">
      <w:start w:val="2"/>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A486012">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BB0B020">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3F564676">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BCE7E7E">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0F327088">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6E589414">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40BA79E4">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93D27F5A">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856658"/>
    <w:multiLevelType w:val="hybridMultilevel"/>
    <w:tmpl w:val="2D22F3CA"/>
    <w:lvl w:ilvl="0" w:tplc="17E637EC">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DB04A1DE">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349A8004">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C1F67ED2">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A4527F7C">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4B1013B2">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08EA7E60">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41875EA">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F8C8BD4A">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B8D1298"/>
    <w:multiLevelType w:val="hybridMultilevel"/>
    <w:tmpl w:val="2F9CFD2A"/>
    <w:lvl w:ilvl="0" w:tplc="CBB6B01E">
      <w:start w:val="1"/>
      <w:numFmt w:val="decimal"/>
      <w:lvlText w:val="%1."/>
      <w:lvlJc w:val="left"/>
      <w:pPr>
        <w:ind w:left="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E6A6F656">
      <w:start w:val="1"/>
      <w:numFmt w:val="lowerLetter"/>
      <w:lvlText w:val="%2"/>
      <w:lvlJc w:val="left"/>
      <w:pPr>
        <w:ind w:left="11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5BC650A">
      <w:start w:val="1"/>
      <w:numFmt w:val="lowerRoman"/>
      <w:lvlText w:val="%3"/>
      <w:lvlJc w:val="left"/>
      <w:pPr>
        <w:ind w:left="19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A0B6EF66">
      <w:start w:val="1"/>
      <w:numFmt w:val="decimal"/>
      <w:lvlText w:val="%4"/>
      <w:lvlJc w:val="left"/>
      <w:pPr>
        <w:ind w:left="26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CC881838">
      <w:start w:val="1"/>
      <w:numFmt w:val="lowerLetter"/>
      <w:lvlText w:val="%5"/>
      <w:lvlJc w:val="left"/>
      <w:pPr>
        <w:ind w:left="334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810286EE">
      <w:start w:val="1"/>
      <w:numFmt w:val="lowerRoman"/>
      <w:lvlText w:val="%6"/>
      <w:lvlJc w:val="left"/>
      <w:pPr>
        <w:ind w:left="406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E8C8E80A">
      <w:start w:val="1"/>
      <w:numFmt w:val="decimal"/>
      <w:lvlText w:val="%7"/>
      <w:lvlJc w:val="left"/>
      <w:pPr>
        <w:ind w:left="478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8CCB84C">
      <w:start w:val="1"/>
      <w:numFmt w:val="lowerLetter"/>
      <w:lvlText w:val="%8"/>
      <w:lvlJc w:val="left"/>
      <w:pPr>
        <w:ind w:left="550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DEC25470">
      <w:start w:val="1"/>
      <w:numFmt w:val="lowerRoman"/>
      <w:lvlText w:val="%9"/>
      <w:lvlJc w:val="left"/>
      <w:pPr>
        <w:ind w:left="6228"/>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16cid:durableId="635259589">
    <w:abstractNumId w:val="4"/>
  </w:num>
  <w:num w:numId="2" w16cid:durableId="1114791307">
    <w:abstractNumId w:val="2"/>
  </w:num>
  <w:num w:numId="3" w16cid:durableId="212816998">
    <w:abstractNumId w:val="5"/>
  </w:num>
  <w:num w:numId="4" w16cid:durableId="1529950520">
    <w:abstractNumId w:val="3"/>
  </w:num>
  <w:num w:numId="5" w16cid:durableId="363480165">
    <w:abstractNumId w:val="0"/>
  </w:num>
  <w:num w:numId="6" w16cid:durableId="122744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DF"/>
    <w:rsid w:val="00052C0F"/>
    <w:rsid w:val="00063301"/>
    <w:rsid w:val="000B43D6"/>
    <w:rsid w:val="00101B98"/>
    <w:rsid w:val="00103009"/>
    <w:rsid w:val="0010728E"/>
    <w:rsid w:val="00111874"/>
    <w:rsid w:val="00155697"/>
    <w:rsid w:val="001D0B4C"/>
    <w:rsid w:val="00296B76"/>
    <w:rsid w:val="002D649F"/>
    <w:rsid w:val="00310456"/>
    <w:rsid w:val="003909C1"/>
    <w:rsid w:val="004100F5"/>
    <w:rsid w:val="0043727A"/>
    <w:rsid w:val="004479D3"/>
    <w:rsid w:val="00484224"/>
    <w:rsid w:val="00497902"/>
    <w:rsid w:val="004A6A73"/>
    <w:rsid w:val="004F35DF"/>
    <w:rsid w:val="00501DEE"/>
    <w:rsid w:val="00511E81"/>
    <w:rsid w:val="00530597"/>
    <w:rsid w:val="005B664E"/>
    <w:rsid w:val="00654522"/>
    <w:rsid w:val="006A6040"/>
    <w:rsid w:val="006B3317"/>
    <w:rsid w:val="0075406E"/>
    <w:rsid w:val="007833E6"/>
    <w:rsid w:val="00785824"/>
    <w:rsid w:val="007D1938"/>
    <w:rsid w:val="007D629B"/>
    <w:rsid w:val="00896685"/>
    <w:rsid w:val="008B47FB"/>
    <w:rsid w:val="00926D01"/>
    <w:rsid w:val="00936BE5"/>
    <w:rsid w:val="00954131"/>
    <w:rsid w:val="009C5309"/>
    <w:rsid w:val="009D3F24"/>
    <w:rsid w:val="00A37F48"/>
    <w:rsid w:val="00A43AAB"/>
    <w:rsid w:val="00AB2A4E"/>
    <w:rsid w:val="00AD359A"/>
    <w:rsid w:val="00AD3DDC"/>
    <w:rsid w:val="00B01D1A"/>
    <w:rsid w:val="00B1020A"/>
    <w:rsid w:val="00B87487"/>
    <w:rsid w:val="00BE09F8"/>
    <w:rsid w:val="00BE182D"/>
    <w:rsid w:val="00C45D5E"/>
    <w:rsid w:val="00C70BE5"/>
    <w:rsid w:val="00C91292"/>
    <w:rsid w:val="00CC2E52"/>
    <w:rsid w:val="00D049C6"/>
    <w:rsid w:val="00E20FF6"/>
    <w:rsid w:val="00E52EE0"/>
    <w:rsid w:val="00E77FBA"/>
    <w:rsid w:val="00E878D4"/>
    <w:rsid w:val="00F20F0A"/>
    <w:rsid w:val="00F461E9"/>
    <w:rsid w:val="00F47348"/>
    <w:rsid w:val="00F869E4"/>
    <w:rsid w:val="00FA18E9"/>
    <w:rsid w:val="00FE0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18FA"/>
  <w15:docId w15:val="{FE05B40C-7C4B-4514-8C01-0A239BE2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C45D5E"/>
    <w:rPr>
      <w:color w:val="0563C1" w:themeColor="hyperlink"/>
      <w:u w:val="single"/>
    </w:rPr>
  </w:style>
  <w:style w:type="character" w:styleId="Hipervnculovisitado">
    <w:name w:val="FollowedHyperlink"/>
    <w:basedOn w:val="Fuentedeprrafopredeter"/>
    <w:uiPriority w:val="99"/>
    <w:semiHidden/>
    <w:unhideWhenUsed/>
    <w:rsid w:val="00C45D5E"/>
    <w:rPr>
      <w:color w:val="954F72" w:themeColor="followedHyperlink"/>
      <w:u w:val="single"/>
    </w:rPr>
  </w:style>
  <w:style w:type="paragraph" w:styleId="Prrafodelista">
    <w:name w:val="List Paragraph"/>
    <w:basedOn w:val="Normal"/>
    <w:uiPriority w:val="34"/>
    <w:qFormat/>
    <w:rsid w:val="00896685"/>
    <w:pPr>
      <w:ind w:left="720"/>
      <w:contextualSpacing/>
    </w:pPr>
  </w:style>
  <w:style w:type="paragraph" w:styleId="Piedepgina">
    <w:name w:val="footer"/>
    <w:basedOn w:val="Normal"/>
    <w:link w:val="PiedepginaCar"/>
    <w:uiPriority w:val="99"/>
    <w:unhideWhenUsed/>
    <w:rsid w:val="00501D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DEE"/>
    <w:rPr>
      <w:rFonts w:ascii="Calibri" w:eastAsia="Calibri" w:hAnsi="Calibri" w:cs="Calibri"/>
      <w:color w:val="000000"/>
    </w:rPr>
  </w:style>
  <w:style w:type="character" w:styleId="Mencinsinresolver">
    <w:name w:val="Unresolved Mention"/>
    <w:basedOn w:val="Fuentedeprrafopredeter"/>
    <w:uiPriority w:val="99"/>
    <w:semiHidden/>
    <w:unhideWhenUsed/>
    <w:rsid w:val="00BE0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02748">
      <w:bodyDiv w:val="1"/>
      <w:marLeft w:val="0"/>
      <w:marRight w:val="0"/>
      <w:marTop w:val="0"/>
      <w:marBottom w:val="0"/>
      <w:divBdr>
        <w:top w:val="none" w:sz="0" w:space="0" w:color="auto"/>
        <w:left w:val="none" w:sz="0" w:space="0" w:color="auto"/>
        <w:bottom w:val="none" w:sz="0" w:space="0" w:color="auto"/>
        <w:right w:val="none" w:sz="0" w:space="0" w:color="auto"/>
      </w:divBdr>
    </w:div>
    <w:div w:id="782458059">
      <w:bodyDiv w:val="1"/>
      <w:marLeft w:val="0"/>
      <w:marRight w:val="0"/>
      <w:marTop w:val="0"/>
      <w:marBottom w:val="0"/>
      <w:divBdr>
        <w:top w:val="none" w:sz="0" w:space="0" w:color="auto"/>
        <w:left w:val="none" w:sz="0" w:space="0" w:color="auto"/>
        <w:bottom w:val="none" w:sz="0" w:space="0" w:color="auto"/>
        <w:right w:val="none" w:sz="0" w:space="0" w:color="auto"/>
      </w:divBdr>
    </w:div>
    <w:div w:id="825247622">
      <w:bodyDiv w:val="1"/>
      <w:marLeft w:val="0"/>
      <w:marRight w:val="0"/>
      <w:marTop w:val="0"/>
      <w:marBottom w:val="0"/>
      <w:divBdr>
        <w:top w:val="none" w:sz="0" w:space="0" w:color="auto"/>
        <w:left w:val="none" w:sz="0" w:space="0" w:color="auto"/>
        <w:bottom w:val="none" w:sz="0" w:space="0" w:color="auto"/>
        <w:right w:val="none" w:sz="0" w:space="0" w:color="auto"/>
      </w:divBdr>
    </w:div>
    <w:div w:id="180770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gob.mx/legislacion/page/seleccion/1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vmsilap.scjn.pjf.gob.mx/Buscador/Paginas/AbrirDocArticulo.aspx?q=K0xaedzXoEno29y4Xxi0u/Lkp1BWao5qtHv9ty8noUCccKqWjQqJxX5eDyylJtIYkU82rw3qokz65PwRvA2lg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eepco.org.mx/archivos/documentos/2023/MarcoJuridico/Lineamiento-constituci%C3%B3n-partidos-2020.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6</Pages>
  <Words>1190</Words>
  <Characters>6551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Isay Martínez Flores</dc:creator>
  <cp:keywords/>
  <cp:lastModifiedBy>Herman Hernández Sánchez</cp:lastModifiedBy>
  <cp:revision>315</cp:revision>
  <dcterms:created xsi:type="dcterms:W3CDTF">2018-08-09T17:31:00Z</dcterms:created>
  <dcterms:modified xsi:type="dcterms:W3CDTF">2023-06-13T19:24:00Z</dcterms:modified>
</cp:coreProperties>
</file>