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CF28" w14:textId="44C29CCF" w:rsidR="000D37F8" w:rsidRDefault="000D37F8">
      <w:pPr>
        <w:pStyle w:val="Textoindependiente"/>
        <w:rPr>
          <w:rFonts w:ascii="Times New Roman"/>
          <w:b w:val="0"/>
          <w:i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4602"/>
        <w:gridCol w:w="7619"/>
      </w:tblGrid>
      <w:tr w:rsidR="000D37F8" w14:paraId="3241AEE7" w14:textId="77777777" w:rsidTr="007600A7">
        <w:trPr>
          <w:trHeight w:val="479"/>
          <w:tblHeader/>
        </w:trPr>
        <w:tc>
          <w:tcPr>
            <w:tcW w:w="850" w:type="dxa"/>
            <w:shd w:val="clear" w:color="auto" w:fill="76923B"/>
          </w:tcPr>
          <w:p w14:paraId="5D1181A6" w14:textId="77777777" w:rsidR="000D37F8" w:rsidRDefault="000D3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shd w:val="clear" w:color="auto" w:fill="76923B"/>
          </w:tcPr>
          <w:p w14:paraId="03A7B199" w14:textId="77777777" w:rsidR="000D37F8" w:rsidRDefault="00537EE1">
            <w:pPr>
              <w:pStyle w:val="TableParagraph"/>
              <w:spacing w:before="110"/>
              <w:ind w:left="1028" w:right="10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ESTADO</w:t>
            </w:r>
          </w:p>
        </w:tc>
        <w:tc>
          <w:tcPr>
            <w:tcW w:w="4602" w:type="dxa"/>
            <w:shd w:val="clear" w:color="auto" w:fill="76923B"/>
          </w:tcPr>
          <w:p w14:paraId="5354EA76" w14:textId="77777777" w:rsidR="000D37F8" w:rsidRDefault="00537EE1">
            <w:pPr>
              <w:pStyle w:val="TableParagraph"/>
              <w:spacing w:before="110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LEY</w:t>
            </w:r>
          </w:p>
        </w:tc>
        <w:tc>
          <w:tcPr>
            <w:tcW w:w="7619" w:type="dxa"/>
            <w:shd w:val="clear" w:color="auto" w:fill="76923B"/>
          </w:tcPr>
          <w:p w14:paraId="7BB38D53" w14:textId="77777777" w:rsidR="000D37F8" w:rsidRDefault="00537EE1">
            <w:pPr>
              <w:pStyle w:val="TableParagraph"/>
              <w:spacing w:before="110"/>
              <w:ind w:left="2425" w:right="24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ARTÍCULO (TRANSCRIPCIÓN)</w:t>
            </w:r>
          </w:p>
        </w:tc>
      </w:tr>
      <w:tr w:rsidR="00D51C29" w14:paraId="610EA917" w14:textId="77777777" w:rsidTr="00D51C29">
        <w:trPr>
          <w:trHeight w:val="368"/>
        </w:trPr>
        <w:tc>
          <w:tcPr>
            <w:tcW w:w="850" w:type="dxa"/>
            <w:shd w:val="clear" w:color="auto" w:fill="F1F1F1"/>
          </w:tcPr>
          <w:p w14:paraId="4A835078" w14:textId="2A860A25" w:rsidR="00D51C29" w:rsidRDefault="00D51C29" w:rsidP="00D51C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19" w:type="dxa"/>
            <w:shd w:val="clear" w:color="auto" w:fill="F1F1F1"/>
          </w:tcPr>
          <w:p w14:paraId="2AB2E356" w14:textId="733FFE5C" w:rsidR="00D51C29" w:rsidRDefault="00D51C29" w:rsidP="00D51C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DURANGO</w:t>
            </w:r>
          </w:p>
        </w:tc>
        <w:tc>
          <w:tcPr>
            <w:tcW w:w="4602" w:type="dxa"/>
            <w:shd w:val="clear" w:color="auto" w:fill="F1F1F1"/>
          </w:tcPr>
          <w:p w14:paraId="2BC8289E" w14:textId="55AB3293" w:rsidR="00D51C29" w:rsidRDefault="003606B8" w:rsidP="00D51C29">
            <w:pPr>
              <w:pStyle w:val="TableParagraph"/>
              <w:spacing w:line="245" w:lineRule="exact"/>
              <w:ind w:left="422" w:right="417"/>
              <w:jc w:val="center"/>
              <w:rPr>
                <w:b/>
                <w:sz w:val="20"/>
              </w:rPr>
            </w:pPr>
            <w:hyperlink r:id="rId7" w:history="1">
              <w:r w:rsidR="00D51C29" w:rsidRPr="00D51C29">
                <w:rPr>
                  <w:rStyle w:val="Hipervnculo"/>
                  <w:b/>
                  <w:sz w:val="20"/>
                </w:rPr>
                <w:t>CONSTITUCIÓN POLÍTICA DEL ESTADO LIBRE Y SOBERANO DE DURANGO</w:t>
              </w:r>
            </w:hyperlink>
          </w:p>
        </w:tc>
        <w:tc>
          <w:tcPr>
            <w:tcW w:w="7619" w:type="dxa"/>
            <w:shd w:val="clear" w:color="auto" w:fill="F1F1F1"/>
          </w:tcPr>
          <w:p w14:paraId="6E3EC081" w14:textId="77777777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DECRETO NÚM. 214, PUBLICADO</w:t>
            </w:r>
          </w:p>
          <w:p w14:paraId="786BFCF0" w14:textId="77777777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</w:p>
          <w:p w14:paraId="61D36890" w14:textId="77777777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EN EL PERIÓDICO OFICIAL DEL ESTADO</w:t>
            </w:r>
          </w:p>
          <w:p w14:paraId="065F5361" w14:textId="77777777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</w:p>
          <w:p w14:paraId="54BEF171" w14:textId="77777777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EL 9 DE FEBRERO DE 2006</w:t>
            </w:r>
          </w:p>
          <w:p w14:paraId="3091A8A0" w14:textId="77777777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</w:p>
          <w:p w14:paraId="6DD7179D" w14:textId="57DD03DE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…</w:t>
            </w:r>
          </w:p>
          <w:p w14:paraId="13896F35" w14:textId="02591FA0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  <w:proofErr w:type="gramStart"/>
            <w:r w:rsidRPr="00D51C29">
              <w:rPr>
                <w:bCs/>
                <w:sz w:val="20"/>
              </w:rPr>
              <w:t>Quinto.-</w:t>
            </w:r>
            <w:proofErr w:type="gramEnd"/>
            <w:r w:rsidRPr="00D51C29">
              <w:rPr>
                <w:bCs/>
                <w:sz w:val="20"/>
              </w:rPr>
              <w:t xml:space="preserve"> Las facultades establecidas al Consejo Estatal Electoral y al Comité de Supervisión del financiamiento de los partidos políticos y agrupaciones políticas en materia de financiamiento y fiscalización, permanecerán vigentes hasta en tanto el Congreso del Estado lleve a cabo las reformas correspondientes al Código Estatal Electoral, en los tiempos establecidos en el presente decreto.</w:t>
            </w:r>
          </w:p>
          <w:p w14:paraId="301EF8C5" w14:textId="150FBE68" w:rsidR="00D51C29" w:rsidRPr="00D51C29" w:rsidRDefault="00D51C29" w:rsidP="00D51C29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….</w:t>
            </w:r>
          </w:p>
          <w:p w14:paraId="21D2C77C" w14:textId="77777777" w:rsidR="00D51C29" w:rsidRDefault="00D51C29" w:rsidP="00D51C29">
            <w:pPr>
              <w:pStyle w:val="TableParagraph"/>
              <w:spacing w:line="245" w:lineRule="exact"/>
              <w:ind w:left="108"/>
              <w:rPr>
                <w:b/>
                <w:sz w:val="20"/>
              </w:rPr>
            </w:pPr>
          </w:p>
          <w:p w14:paraId="42E71BB1" w14:textId="77777777" w:rsidR="00D51C29" w:rsidRDefault="00D51C29" w:rsidP="00D51C29">
            <w:pPr>
              <w:pStyle w:val="TableParagraph"/>
              <w:spacing w:line="245" w:lineRule="exact"/>
              <w:ind w:left="108"/>
              <w:rPr>
                <w:b/>
                <w:sz w:val="20"/>
              </w:rPr>
            </w:pPr>
          </w:p>
          <w:p w14:paraId="38CB0F17" w14:textId="2E3BB04C" w:rsidR="00D51C29" w:rsidRDefault="00D51C29" w:rsidP="00D51C29">
            <w:pPr>
              <w:pStyle w:val="TableParagraph"/>
              <w:spacing w:line="245" w:lineRule="exact"/>
              <w:ind w:left="108"/>
              <w:rPr>
                <w:b/>
                <w:sz w:val="20"/>
              </w:rPr>
            </w:pPr>
          </w:p>
        </w:tc>
      </w:tr>
      <w:tr w:rsidR="00D0350D" w14:paraId="2A48F17F" w14:textId="77777777" w:rsidTr="00D51C29">
        <w:trPr>
          <w:trHeight w:val="368"/>
        </w:trPr>
        <w:tc>
          <w:tcPr>
            <w:tcW w:w="850" w:type="dxa"/>
            <w:shd w:val="clear" w:color="auto" w:fill="F1F1F1"/>
          </w:tcPr>
          <w:p w14:paraId="02C67D25" w14:textId="07082C5C" w:rsidR="00D0350D" w:rsidRDefault="00D0350D" w:rsidP="00D035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2.</w:t>
            </w:r>
          </w:p>
        </w:tc>
        <w:tc>
          <w:tcPr>
            <w:tcW w:w="3119" w:type="dxa"/>
            <w:shd w:val="clear" w:color="auto" w:fill="F1F1F1"/>
          </w:tcPr>
          <w:p w14:paraId="13BBB302" w14:textId="28677240" w:rsidR="00D0350D" w:rsidRDefault="00D0350D" w:rsidP="00D035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DURANGO</w:t>
            </w:r>
          </w:p>
        </w:tc>
        <w:tc>
          <w:tcPr>
            <w:tcW w:w="4602" w:type="dxa"/>
            <w:shd w:val="clear" w:color="auto" w:fill="F1F1F1"/>
          </w:tcPr>
          <w:p w14:paraId="22CF20E8" w14:textId="0F97D616" w:rsidR="00D0350D" w:rsidRDefault="003606B8" w:rsidP="00D0350D">
            <w:pPr>
              <w:pStyle w:val="TableParagraph"/>
              <w:spacing w:line="245" w:lineRule="exact"/>
              <w:ind w:left="422" w:right="417"/>
              <w:jc w:val="center"/>
              <w:rPr>
                <w:b/>
                <w:sz w:val="20"/>
              </w:rPr>
            </w:pPr>
            <w:hyperlink r:id="rId8" w:history="1">
              <w:r w:rsidR="00D0350D" w:rsidRPr="00D51C29">
                <w:rPr>
                  <w:rStyle w:val="Hipervnculo"/>
                  <w:b/>
                  <w:sz w:val="20"/>
                </w:rPr>
                <w:t>LEY DE INSTITUCIONES Y PROCEDIMIENTOS ELECTORALES PARA EL ESTADO DE DURANGO</w:t>
              </w:r>
            </w:hyperlink>
          </w:p>
        </w:tc>
        <w:tc>
          <w:tcPr>
            <w:tcW w:w="7619" w:type="dxa"/>
            <w:shd w:val="clear" w:color="auto" w:fill="F1F1F1"/>
          </w:tcPr>
          <w:p w14:paraId="5107A9A0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40.-</w:t>
            </w:r>
          </w:p>
          <w:p w14:paraId="6FE4AA66" w14:textId="30B92035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Para efecto de los informes de gastos de campaña, su presentación ante la Comisión de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Fiscalización del Instituto Nacional Electoral, y demás procedimientos relativos a la fiscalización de los partidos políticos, se atenderá a las reglas y disposiciones legales contenidas en el Título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Octavo de la Ley General de Partidos, y a las establecidas en el Capítulo Tercero, del Título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Segundo de la Ley General.</w:t>
            </w:r>
            <w:r w:rsidRPr="00D51C29">
              <w:rPr>
                <w:bCs/>
                <w:sz w:val="20"/>
              </w:rPr>
              <w:cr/>
            </w:r>
          </w:p>
          <w:p w14:paraId="1721CF78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37FA2608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56.-</w:t>
            </w:r>
          </w:p>
          <w:p w14:paraId="00A9E141" w14:textId="25B8A3B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 xml:space="preserve">1. La pérdida del registro de un partido político, no tiene efectos en relación con los triunfos </w:t>
            </w:r>
            <w:proofErr w:type="spellStart"/>
            <w:r w:rsidRPr="00D51C29">
              <w:rPr>
                <w:bCs/>
                <w:sz w:val="20"/>
              </w:rPr>
              <w:t>quesus</w:t>
            </w:r>
            <w:proofErr w:type="spellEnd"/>
            <w:r w:rsidRPr="00D51C29">
              <w:rPr>
                <w:bCs/>
                <w:sz w:val="20"/>
              </w:rPr>
              <w:t xml:space="preserve"> candidatos hayan obtenido en las elecciones según el principio de mayoría relativa.</w:t>
            </w:r>
          </w:p>
          <w:p w14:paraId="7496904C" w14:textId="6E6590EE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2. La pérdida del registro extinguirá la personalidad jurídica del partido político, pero quienes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hayan sido sus dirigentes y candidatos deberán cumplir las obligaciones que en materia de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fiscalización establece la Ley General y la Ley General de Partidos, hasta la conclusión de los</w:t>
            </w:r>
          </w:p>
          <w:p w14:paraId="2E070C0F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procedimientos respectivos y de liquidación de su patrimonio.</w:t>
            </w:r>
          </w:p>
          <w:p w14:paraId="1C47D0E0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44456701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559C68DB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63.-</w:t>
            </w:r>
          </w:p>
          <w:p w14:paraId="332948A5" w14:textId="3BAEE7C0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Las agrupaciones políticas estatales sólo podrán participar en procesos electorales estatales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mediante acuerdos de participación con un partido político o coalición. Las candidaturas surgidas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de los acuerdos de participación serán registradas por un partido político y serán votadas con la</w:t>
            </w:r>
          </w:p>
          <w:p w14:paraId="51D4C2BF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denominación, emblema, color o colores de éste.</w:t>
            </w:r>
          </w:p>
          <w:p w14:paraId="0BFD524D" w14:textId="5CB40776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2. El acuerdo de participación a que se refiere el párrafo anterior, deberá presentarse para su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registro ante el Consejo General treinta días antes de que se inicie el periodo de precampañas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de la elección de que se trate. En la propaganda y campaña electoral, se podrá mencionar la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agrupación participante.</w:t>
            </w:r>
          </w:p>
          <w:p w14:paraId="0A7C5C6A" w14:textId="6880DD99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3. Las agrupaciones políticas estatales estarán sujetas a las obligaciones, prerrogativas y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procedimientos de fiscalización de sus recursos conforme a lo establecido en este Título.</w:t>
            </w:r>
            <w:r w:rsidRPr="00D51C29">
              <w:rPr>
                <w:bCs/>
                <w:sz w:val="20"/>
              </w:rPr>
              <w:cr/>
            </w:r>
          </w:p>
          <w:p w14:paraId="3D8D1867" w14:textId="456EDC19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63D5601C" w14:textId="48FE73C3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4ABE105" w14:textId="30E46D36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056F2780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66.-</w:t>
            </w:r>
          </w:p>
          <w:p w14:paraId="31F6825A" w14:textId="536AF496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Las agrupaciones políticas con registro, a fin de acreditar los gastos realizados, deberán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 xml:space="preserve">presentar a más tardar el día quince del mes de diciembre de cada año, los comprobantes de </w:t>
            </w:r>
            <w:proofErr w:type="gramStart"/>
            <w:r w:rsidRPr="00D51C29">
              <w:rPr>
                <w:bCs/>
                <w:sz w:val="20"/>
              </w:rPr>
              <w:t>los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mismos</w:t>
            </w:r>
            <w:proofErr w:type="gramEnd"/>
            <w:r w:rsidRPr="00D51C29">
              <w:rPr>
                <w:bCs/>
                <w:sz w:val="20"/>
              </w:rPr>
              <w:t>.</w:t>
            </w:r>
          </w:p>
          <w:p w14:paraId="58F39567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PÁRRAFO REFORMADO POR DEC. 321 P.O.14 DE FECHA 15 DE FEBRERO DE 2015.</w:t>
            </w:r>
          </w:p>
          <w:p w14:paraId="463E75C7" w14:textId="474450AC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2. Las agrupaciones políticas con registro, deberán presentar además a la Comisión de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Fiscalización, un informe anual del ejercicio anterior sobre el origen y destino de los recursos que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reciban por cualquier modalidad.</w:t>
            </w:r>
          </w:p>
          <w:p w14:paraId="7D1273C1" w14:textId="7F677E8F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406F27A4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12DC7DAE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68.-</w:t>
            </w:r>
          </w:p>
          <w:p w14:paraId="6D414C5A" w14:textId="72DD8938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La Comisión de Fiscalización se encargará de fiscalizar el origen, monto y destino de los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recursos que reciban las agrupaciones políticas estatales con registro, en los términos de lo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dispuesto en la presente Ley y demás disposiciones aplicables.</w:t>
            </w:r>
          </w:p>
          <w:p w14:paraId="7D1AFBD2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69.-</w:t>
            </w:r>
          </w:p>
          <w:p w14:paraId="0F3BB37C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La Comisión de Fiscalización estará integrada por:</w:t>
            </w:r>
          </w:p>
          <w:p w14:paraId="30047B66" w14:textId="75CE80AE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lastRenderedPageBreak/>
              <w:t>I. Tres consejeros electorales designados por el Pleno del Consejo General con derecho a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voz y voto. El propio Consejo determinará quién debe fungir como presidente de la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Comisión; y</w:t>
            </w:r>
          </w:p>
          <w:p w14:paraId="64ED1C38" w14:textId="36E310C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II. El Secretario Ejecutivo del Consejo, quien fungirá como Secretario de la Comisión, y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tendrá derecho a voz.</w:t>
            </w:r>
          </w:p>
          <w:p w14:paraId="77608A2D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70.-</w:t>
            </w:r>
          </w:p>
          <w:p w14:paraId="4DA1C786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La Comisión de Fiscalización tiene las siguientes atribuciones:</w:t>
            </w:r>
          </w:p>
          <w:p w14:paraId="22B18C86" w14:textId="5D4BA0C3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I. Someter a la consideración del Consejo General, el Reglamento, acuerdos, circulares y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demás disposiciones administrativas de observancia general para las agrupaciones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políticas, en materia de fiscalización de los recursos;</w:t>
            </w:r>
          </w:p>
          <w:p w14:paraId="1B2BF029" w14:textId="2DCA0CD1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II. Recibir y revisar los informes anuales de gastos, y de ingresos y egresos, de las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agrupaciones políticas estatales, cuya presentación obliga la presente Ley;</w:t>
            </w:r>
          </w:p>
          <w:p w14:paraId="07E401EA" w14:textId="16E42C3F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III. Requerir información complementaria o documentación comprobatoria relativa a los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informes presentados por las agrupaciones políticas estatales;</w:t>
            </w:r>
          </w:p>
          <w:p w14:paraId="77E6B067" w14:textId="680A5222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169D5629" w14:textId="7E11D69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IV. Ordenar la práctica de auditorías a las finanzas de las agrupaciones políticas estatales,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por sí o a través de terceros;</w:t>
            </w:r>
          </w:p>
          <w:p w14:paraId="5199C5B7" w14:textId="11B1D68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V. Ordenar visitas de verificación a las agrupaciones políticas estatales con el objeto de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corroborar el cumplimiento de sus obligaciones y la veracidad de sus informes;</w:t>
            </w:r>
          </w:p>
          <w:p w14:paraId="09D78D99" w14:textId="33A29523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VI. Presentar al Consejo General los proyectos de resolución relativos a los resultados de las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auditorías y visitas de verificación practicadas a las agrupaciones políticas estatales;</w:t>
            </w:r>
          </w:p>
          <w:p w14:paraId="517C8046" w14:textId="59E1FCD0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VII. Formular y notificar a las agrupaciones políticas estatales los pliegos de observaciones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que se deriven de la revisión de los informes de ingresos y egresos;</w:t>
            </w:r>
          </w:p>
          <w:p w14:paraId="52541A5A" w14:textId="39640FA1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 xml:space="preserve">VIII. Sustanciar el procedimiento de </w:t>
            </w:r>
            <w:proofErr w:type="spellStart"/>
            <w:r w:rsidRPr="00D51C29">
              <w:rPr>
                <w:bCs/>
                <w:sz w:val="20"/>
              </w:rPr>
              <w:t>solventación</w:t>
            </w:r>
            <w:proofErr w:type="spellEnd"/>
            <w:r w:rsidRPr="00D51C29">
              <w:rPr>
                <w:bCs/>
                <w:sz w:val="20"/>
              </w:rPr>
              <w:t xml:space="preserve"> de observaciones a los informes de ingresos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y egresos;</w:t>
            </w:r>
          </w:p>
          <w:p w14:paraId="4CEF071C" w14:textId="11FF7B72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IX. Someter a la consideración del Consejo General los dictámenes de resultados sobre la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fiscalización de los recursos de las agrupaciones políticas estatales las sanciones que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procedan, los que deberán contener cuando menos:</w:t>
            </w:r>
          </w:p>
          <w:p w14:paraId="08F08DF3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 xml:space="preserve">a) El resultado y las conclusiones de la revisión de los informes que </w:t>
            </w:r>
            <w:proofErr w:type="gramStart"/>
            <w:r w:rsidRPr="00D51C29">
              <w:rPr>
                <w:bCs/>
                <w:sz w:val="20"/>
              </w:rPr>
              <w:t>hayan</w:t>
            </w:r>
            <w:proofErr w:type="gramEnd"/>
          </w:p>
          <w:p w14:paraId="0F825AE1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presentado las agrupaciones políticas;</w:t>
            </w:r>
          </w:p>
          <w:p w14:paraId="16E514AD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b) En su caso, la mención de los errores o irregularidades encontradas en los</w:t>
            </w:r>
          </w:p>
          <w:p w14:paraId="6D56E765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mismos; y</w:t>
            </w:r>
          </w:p>
          <w:p w14:paraId="77D30EA1" w14:textId="6863CDC3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lastRenderedPageBreak/>
              <w:t>c) El señalamiento de las aclaraciones o rectificaciones que presentaron dichas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agrupaciones, después de haberlas notificado con ese fin.</w:t>
            </w:r>
          </w:p>
          <w:p w14:paraId="540B03A1" w14:textId="0BD79460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X. Promover ante la autoridad competente las denuncias o querellas que procedan en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materia de responsabilidad penal;</w:t>
            </w:r>
          </w:p>
          <w:p w14:paraId="4F7515B4" w14:textId="515FF1E8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XI. Recibir y sustanciar las quejas en materia de fiscalización de los recursos de las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agrupaciones políticas estatales, y proponer las sanciones que correspondan;</w:t>
            </w:r>
          </w:p>
          <w:p w14:paraId="62B4F16E" w14:textId="15667230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XII. Celebrar, previo acuerdo del Consejo General, convenios de colaboración y coordinación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con las autoridades competentes en materia de fiscalización de los recursos de las</w:t>
            </w:r>
          </w:p>
          <w:p w14:paraId="529EE2CD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agrupaciones políticas estatales;</w:t>
            </w:r>
          </w:p>
          <w:p w14:paraId="39F8F8D5" w14:textId="62206116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XIII. Requerir a cualquier persona física o moral, pública o privada, información relativa a las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operaciones efectuadas por las agrupaciones políticas estatales; y</w:t>
            </w:r>
          </w:p>
          <w:p w14:paraId="6EFDBFC9" w14:textId="276638FE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XIV. Las demás que le confiera la presente Ley, los demás ordenamientos aplicables y el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Consejo General.</w:t>
            </w:r>
          </w:p>
          <w:p w14:paraId="061EBE6B" w14:textId="55875125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71.-</w:t>
            </w:r>
          </w:p>
          <w:p w14:paraId="3828D186" w14:textId="70BCC1E6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Las agrupaciones políticas deberán rendir ante la Comisión de Fiscalización informes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trimestrales sobre el origen, monto y destino de los ingresos que reciban bajo cualquier modalidad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de financiamiento, dentro de los treinta días siguientes a la conclusión del trimestre que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corresponda.</w:t>
            </w:r>
          </w:p>
          <w:p w14:paraId="10FAD60D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72.-</w:t>
            </w:r>
          </w:p>
          <w:p w14:paraId="4E02E748" w14:textId="652463D3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Los informes que rindan las agrupaciones políticas estatales a la Comisión de Fiscalización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deberán contener, cuando menos, lo siguiente:</w:t>
            </w:r>
          </w:p>
          <w:p w14:paraId="606F8E66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I. Ingresos obtenidos y gastos ejercidos durante el periodo que se informa;</w:t>
            </w:r>
          </w:p>
          <w:p w14:paraId="32B6B659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II. Estados financieros consolidados donde se refleje su activo, pasivo y patrimonio;</w:t>
            </w:r>
          </w:p>
          <w:p w14:paraId="267E3F43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III. Inventario de bienes propiedad de la agrupación; y</w:t>
            </w:r>
          </w:p>
          <w:p w14:paraId="44CE192E" w14:textId="3AB9C42D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IV. La demás información o documentación que sea señalada en el reglamento de la materia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y en las disposiciones administrativas que apruebe el Consejo General.</w:t>
            </w:r>
          </w:p>
          <w:p w14:paraId="31A8CA1C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ARTÍCULO 73.-</w:t>
            </w:r>
          </w:p>
          <w:p w14:paraId="335E6A31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1. El proceso de fiscalización de los recursos que obtengan y ejerzan las agrupaciones políticas,</w:t>
            </w:r>
          </w:p>
          <w:p w14:paraId="481CA15B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se efectuará de conformidad con el reglamento de la materia y las siguientes bases generales:</w:t>
            </w:r>
          </w:p>
          <w:p w14:paraId="453CBF51" w14:textId="5490DECB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 xml:space="preserve">I. Las agrupaciones políticas, presentarán los informes a la Comisión de </w:t>
            </w:r>
            <w:r w:rsidRPr="00D51C29">
              <w:rPr>
                <w:bCs/>
                <w:sz w:val="20"/>
              </w:rPr>
              <w:lastRenderedPageBreak/>
              <w:t>Fiscalización en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los términos y plazos establecidos en la presente Ley;</w:t>
            </w:r>
          </w:p>
          <w:p w14:paraId="613CAD8D" w14:textId="6380F6DC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II. La Comisión de Fiscalización revisará los informes correspondientes en el plazo de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cuarenta y cinco días contados a partir de la fecha de su presentación.</w:t>
            </w:r>
          </w:p>
          <w:p w14:paraId="2AC9B4B3" w14:textId="60B63F2E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III. La Comisión de Fiscalización podrá solicitar dentro del plazo para la revisión de los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informes, la información complementaria o documentación para comprobar la veracidad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de lo reportado por las agrupaciones políticas;</w:t>
            </w:r>
          </w:p>
          <w:p w14:paraId="1725F7C5" w14:textId="77777777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IV. Concluidos los plazos para la revisión de los informes, la Comisión de Fiscalización:</w:t>
            </w:r>
          </w:p>
          <w:p w14:paraId="3AA91FCF" w14:textId="60FED7A3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a) Notificará el pliego de observaciones respectivo a las agrupaciones políticas para que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 xml:space="preserve">procedan a su </w:t>
            </w:r>
            <w:proofErr w:type="spellStart"/>
            <w:r w:rsidRPr="00D51C29">
              <w:rPr>
                <w:bCs/>
                <w:sz w:val="20"/>
              </w:rPr>
              <w:t>solventación</w:t>
            </w:r>
            <w:proofErr w:type="spellEnd"/>
            <w:r w:rsidRPr="00D51C29">
              <w:rPr>
                <w:bCs/>
                <w:sz w:val="20"/>
              </w:rPr>
              <w:t>; y</w:t>
            </w:r>
          </w:p>
          <w:p w14:paraId="05779155" w14:textId="3773D38F" w:rsidR="00D0350D" w:rsidRPr="00D51C29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b) Si no hubiere observaciones, presentará el informe de resultados al Consejo General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para los efectos a que haya lugar.</w:t>
            </w:r>
          </w:p>
          <w:p w14:paraId="4340ECF4" w14:textId="1047A665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D51C29">
              <w:rPr>
                <w:bCs/>
                <w:sz w:val="20"/>
              </w:rPr>
              <w:t>V. Las agrupaciones políticas estatales, dentro de los diez días siguientes procederán a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>solventar las observaciones notificadas, ante la Comisión de Fiscalización, en las</w:t>
            </w:r>
            <w:r>
              <w:rPr>
                <w:bCs/>
                <w:sz w:val="20"/>
              </w:rPr>
              <w:t xml:space="preserve"> </w:t>
            </w:r>
            <w:r w:rsidRPr="00D51C29">
              <w:rPr>
                <w:bCs/>
                <w:sz w:val="20"/>
              </w:rPr>
              <w:t xml:space="preserve">audiencias de </w:t>
            </w:r>
            <w:proofErr w:type="spellStart"/>
            <w:r w:rsidRPr="00D51C29">
              <w:rPr>
                <w:bCs/>
                <w:sz w:val="20"/>
              </w:rPr>
              <w:t>solventación</w:t>
            </w:r>
            <w:proofErr w:type="spellEnd"/>
            <w:r w:rsidRPr="00D51C29">
              <w:rPr>
                <w:bCs/>
                <w:sz w:val="20"/>
              </w:rPr>
              <w:t xml:space="preserve"> que se requieran para el efecto;</w:t>
            </w:r>
          </w:p>
          <w:p w14:paraId="78A1465F" w14:textId="5E15A10C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8F786C7" w14:textId="47CF03A6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 xml:space="preserve">VI. Concluido el plazo de </w:t>
            </w:r>
            <w:proofErr w:type="spellStart"/>
            <w:r w:rsidRPr="00537EE1">
              <w:rPr>
                <w:bCs/>
                <w:sz w:val="20"/>
              </w:rPr>
              <w:t>solventación</w:t>
            </w:r>
            <w:proofErr w:type="spellEnd"/>
            <w:r w:rsidRPr="00537EE1">
              <w:rPr>
                <w:bCs/>
                <w:sz w:val="20"/>
              </w:rPr>
              <w:t>, dentro de los diez días siguientes, la Comisión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Fiscalización formulará y someterá a la consideración del Consejo General, el dictamen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respectivo y las sanciones a que hubiere lugar;</w:t>
            </w:r>
          </w:p>
          <w:p w14:paraId="6DE2681B" w14:textId="063B60E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VII. Las agrupaciones políticas estatales podrán impugnar ante el Tribunal Electoral, el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dictamen a que se refiere la fracción anterior de este artículo, dentro del plazo establecido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en la Ley de Medios de Impugnación en Materia Electoral y de Participación Ciudadana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para el Estado de Durango; y</w:t>
            </w:r>
          </w:p>
          <w:p w14:paraId="7ED030FB" w14:textId="7CAB21BA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VIII. El Consejo General deberá publicar en su sitio de Internet y en el Periódico Oficial, una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vez cumplido el plazo para la interposición del medio de impugnación o presentado éste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y habiendo sido resuelto por el Tribunal Electoral, el dictamen y en su caso la resolución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recaída al medio de impugnación interpuesto.</w:t>
            </w:r>
            <w:r w:rsidRPr="00537EE1">
              <w:rPr>
                <w:bCs/>
                <w:sz w:val="20"/>
              </w:rPr>
              <w:cr/>
            </w:r>
          </w:p>
          <w:p w14:paraId="170FC6E2" w14:textId="534D8652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026D6CC" w14:textId="7B2D1B9F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0C89AA4F" w14:textId="185762CE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B7644F6" w14:textId="33408030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5916DC80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ARTÍCULO 179.-</w:t>
            </w:r>
          </w:p>
          <w:p w14:paraId="4C827DCA" w14:textId="1CF6EBEE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 xml:space="preserve">1. Con la debida oportunidad, el Consejo General determinará los topes de </w:t>
            </w:r>
            <w:r w:rsidRPr="00537EE1">
              <w:rPr>
                <w:bCs/>
                <w:sz w:val="20"/>
              </w:rPr>
              <w:lastRenderedPageBreak/>
              <w:t>gasto de precampaña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por precandidato y tipo de elección para la que pretenda ser postulado. El tope será equivalente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al veinte por ciento del establecido para las campañas inmediatas anteriores, según la elección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de que se trate.</w:t>
            </w:r>
          </w:p>
          <w:p w14:paraId="529CEA70" w14:textId="68DAA07A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2C737098" w14:textId="7E2A4F0F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2. El Consejo General del Instituto Nacional de Elecciones a propuesta de la Unidad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Fiscalización de los Recursos de los Partidos Políticos determinará los requisitos que cada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precandidato debe cubrir al presentar su informe de ingresos y gastos de precampaña. En todo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caso, el informe respectivo deberá ser entregado al órgano interno del partido competente a más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tardar dentro de los siete días siguientes al de la jornada comicial interna o celebración de la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asamblea respectiva.</w:t>
            </w:r>
          </w:p>
          <w:p w14:paraId="6B9DE677" w14:textId="0904DE13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3. Si un precandidato incumple la obligación de entregar su informe de ingresos y gastos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 xml:space="preserve">precampaña dentro del plazo antes establecido y hubiese obtenido la mayoría de </w:t>
            </w:r>
            <w:proofErr w:type="gramStart"/>
            <w:r w:rsidRPr="00537EE1">
              <w:rPr>
                <w:bCs/>
                <w:sz w:val="20"/>
              </w:rPr>
              <w:t>votos</w:t>
            </w:r>
            <w:proofErr w:type="gramEnd"/>
            <w:r w:rsidRPr="00537EE1">
              <w:rPr>
                <w:bCs/>
                <w:sz w:val="20"/>
              </w:rPr>
              <w:t xml:space="preserve"> en la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consulta interna o en la asamblea respectiva, no podrá ser registrado legalmente como candidato.</w:t>
            </w:r>
          </w:p>
          <w:p w14:paraId="5168A9C5" w14:textId="70DCB844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Los precandidatos que sin haber obtenido la postulación a la candidatura no entreguen el informe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antes señalado serán sancionados en los términos de lo establecido por el Libro Octavo de la Ley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General.</w:t>
            </w:r>
          </w:p>
          <w:p w14:paraId="09E5E2F5" w14:textId="3C7902AF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4. Los precandidatos que rebasen el tope de gastos de precampaña establecido por el Consejo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General del Instituto Nacional Electoral serán sancionados con la cancelación de su registro o,</w:t>
            </w:r>
          </w:p>
          <w:p w14:paraId="264B67B3" w14:textId="14D3CABA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en su caso, con la pérdida de la candidatura que hayan obtenido. En el último supuesto, los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partidos conservan el derecho de realizar las sustituciones que procedan.</w:t>
            </w:r>
            <w:r w:rsidRPr="00537EE1">
              <w:rPr>
                <w:bCs/>
                <w:sz w:val="20"/>
              </w:rPr>
              <w:cr/>
            </w:r>
          </w:p>
          <w:p w14:paraId="7027FF49" w14:textId="497983FD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31BD4E6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ARTÍCULO 322.-</w:t>
            </w:r>
          </w:p>
          <w:p w14:paraId="55C94D1C" w14:textId="3DC36C79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1. Son obligaciones de los candidatos independientes registrados:</w:t>
            </w:r>
          </w:p>
          <w:p w14:paraId="681D4585" w14:textId="57B89ED5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60B225BF" w14:textId="2D5EFE75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1D7098F9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XVI. Ser responsable solidario, junto con el encargado de la administración de sus recursos</w:t>
            </w:r>
          </w:p>
          <w:p w14:paraId="03A957E3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financieros, dentro de los procedimientos de fiscalización de los recursos</w:t>
            </w:r>
          </w:p>
          <w:p w14:paraId="3054A1D3" w14:textId="129D4143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correspondientes;</w:t>
            </w:r>
          </w:p>
          <w:p w14:paraId="204FB57B" w14:textId="7CA7CD7A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  <w:p w14:paraId="4C82B024" w14:textId="4CAC216E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E00E48E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lastRenderedPageBreak/>
              <w:t>ARTÍCULO 332.-</w:t>
            </w:r>
          </w:p>
          <w:p w14:paraId="47C21418" w14:textId="381692A4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1. Todo egreso deberá cubrirse con cheque nominativo o transferencia electrónica. En el caso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los pagos por la prestación de bienes o servicios, adicionalmente el cheque deberá contener la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leyenda “para abono en cuenta del beneficiario”. Las pólizas de los cheques deberán conservarse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anexas a la documentación comprobatoria junto con la copia del cheque a que se hace referencia.</w:t>
            </w:r>
          </w:p>
          <w:p w14:paraId="028B5653" w14:textId="79342BEC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2. Los comprobantes que amparen los egresos que realicen los candidatos independientes,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deberán ser expedidos a su nombre y constar en original como soporte a los informes financieros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de las campañas electorales, los cuales estarán a disposición de la unidad de fiscalización del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Instituto Nacional Electoral para su revisión de conformidad con lo dispuesto en la Ley General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de Partidos Políticos y la Ley General de Instituciones y Procedimientos Electorales. Dicha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documentación deberá cumplir con los requisitos que exigen las disposiciones fiscales aplicables,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así como las establecidas por el Reglamento de Fiscalización de la Unidad referida.</w:t>
            </w:r>
            <w:r w:rsidRPr="00537EE1">
              <w:rPr>
                <w:bCs/>
                <w:sz w:val="20"/>
              </w:rPr>
              <w:cr/>
            </w:r>
          </w:p>
          <w:p w14:paraId="5B83F570" w14:textId="5D3E620B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2AE8E0C3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ARTÍCULO 350.-</w:t>
            </w:r>
          </w:p>
          <w:p w14:paraId="461B2535" w14:textId="4198E688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1. La revisión de los informes que los aspirantes presenten sobre el origen y destino de sus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recursos y de actos para el apoyo ciudadano según corresponda, así como la práctica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auditorías sobre el manejo de sus recursos y su situación contable y financiera estará a cargo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la Unidad Técnica de Fiscalización de la Comisión de Fiscalización del Instituto Nacional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Electoral.</w:t>
            </w:r>
          </w:p>
          <w:p w14:paraId="1A6F4F81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ARTÍCULO 351.-</w:t>
            </w:r>
          </w:p>
          <w:p w14:paraId="7A0BEADC" w14:textId="4E62996B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1. La Unidad Técnica de Fiscalización de la Comisión de Fiscalización del Instituto Nacional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Electoral, tiene a su cargo la recepción y revisión integral de los informes de ingresos y egresos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que presenten los candidatos independientes respecto del origen y monto de los recursos por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cualquier modalidad de financiamiento, así como sobre su destino y aplicación.</w:t>
            </w:r>
          </w:p>
          <w:p w14:paraId="7FF9CEAA" w14:textId="3B1E57F6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2. Las autoridades competentes están obligadas a atender y resolver, en un plazo máximo de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cinco días hábiles, los requerimientos de información que respecto a las materias bancaria,</w:t>
            </w:r>
          </w:p>
          <w:p w14:paraId="2D7A5655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fiduciaria y fiscal les formule la unidad técnica de fiscalización del Instituto.</w:t>
            </w:r>
          </w:p>
          <w:p w14:paraId="494EB70C" w14:textId="77777777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ARTÍCULO 352.-</w:t>
            </w:r>
          </w:p>
          <w:p w14:paraId="5CB4EE49" w14:textId="47C14F6B" w:rsidR="00D0350D" w:rsidRPr="00537EE1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 xml:space="preserve">1. En conformidad con lo dispuesto en el artículo 41, base V, párrafo 6, de la </w:t>
            </w:r>
            <w:r w:rsidRPr="00537EE1">
              <w:rPr>
                <w:bCs/>
                <w:sz w:val="20"/>
              </w:rPr>
              <w:lastRenderedPageBreak/>
              <w:t>Constitución, le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corresponde al Instituto Nacional Electoral, la fiscalización de los ingresos y egresos de los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aspirantes y candidatos independientes, respecto del origen y monto de los recursos por cualquier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modalidad de financiamiento, así como sobre su destino y aplicación; aplicando en lo conducente,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las reglas previstas en la Ley General de Partidos, la Ley General, y en los demás ordenamientos</w:t>
            </w:r>
          </w:p>
          <w:p w14:paraId="3D441E68" w14:textId="24266141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aplicables.</w:t>
            </w:r>
          </w:p>
          <w:p w14:paraId="72D10F3A" w14:textId="6F6DC251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60C4971C" w14:textId="27CE7503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ARTÍCULOS TRANSITORIOS</w:t>
            </w:r>
          </w:p>
          <w:p w14:paraId="3EC530CC" w14:textId="2DEDD641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184154C8" w14:textId="1D5E35FB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42498FF0" w14:textId="5E23429C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  <w:r w:rsidRPr="00537EE1">
              <w:rPr>
                <w:bCs/>
                <w:sz w:val="20"/>
              </w:rPr>
              <w:t>OCTAVO. Los procedimientos administrativos, jurisdiccionales y de fiscalización relacionados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con los partidos políticos, así como de sus militantes o simpatizantes, que se hayan iniciado o se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encuentren en trámite a la entrada en vigor de esta Ley, seguirán bajo la competencia del Instituto,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en atención a las disposiciones jurídicas y administrativas que hubieran estado vigentes al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momento de su inicio. Los gastos realizados por los partidos políticos en el Estado hasta antes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 xml:space="preserve">de la entrada en vigor del presente </w:t>
            </w:r>
            <w:proofErr w:type="gramStart"/>
            <w:r w:rsidRPr="00537EE1">
              <w:rPr>
                <w:bCs/>
                <w:sz w:val="20"/>
              </w:rPr>
              <w:t>Decreto,</w:t>
            </w:r>
            <w:proofErr w:type="gramEnd"/>
            <w:r w:rsidRPr="00537EE1">
              <w:rPr>
                <w:bCs/>
                <w:sz w:val="20"/>
              </w:rPr>
              <w:t xml:space="preserve"> serán fiscalizados por el Instituto con sustento en las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disposiciones jurídicas y administrativas vigentes al momento de su ejercicio, los cuales deberán</w:t>
            </w:r>
            <w:r>
              <w:rPr>
                <w:bCs/>
                <w:sz w:val="20"/>
              </w:rPr>
              <w:t xml:space="preserve"> </w:t>
            </w:r>
            <w:r w:rsidRPr="00537EE1">
              <w:rPr>
                <w:bCs/>
                <w:sz w:val="20"/>
              </w:rPr>
              <w:t>ser dictaminados y resueltos a más tardar el último día de diciembre de 2014.</w:t>
            </w:r>
          </w:p>
          <w:p w14:paraId="43E52C14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0C59689F" w14:textId="5D0F4D23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2F0F2C74" w14:textId="77777777" w:rsidR="00D0350D" w:rsidRDefault="00D0350D" w:rsidP="00D0350D">
            <w:pPr>
              <w:pStyle w:val="TableParagraph"/>
              <w:spacing w:line="245" w:lineRule="exact"/>
              <w:ind w:left="108"/>
              <w:jc w:val="both"/>
              <w:rPr>
                <w:bCs/>
                <w:sz w:val="20"/>
              </w:rPr>
            </w:pPr>
          </w:p>
          <w:p w14:paraId="7F2E3234" w14:textId="0BD5106E" w:rsidR="00D0350D" w:rsidRPr="00D51C29" w:rsidRDefault="00D0350D" w:rsidP="00D0350D">
            <w:pPr>
              <w:pStyle w:val="TableParagraph"/>
              <w:spacing w:line="245" w:lineRule="exact"/>
              <w:ind w:left="108"/>
              <w:rPr>
                <w:bCs/>
                <w:sz w:val="20"/>
              </w:rPr>
            </w:pPr>
          </w:p>
        </w:tc>
      </w:tr>
    </w:tbl>
    <w:p w14:paraId="271C8DF9" w14:textId="77777777" w:rsidR="003F0179" w:rsidRDefault="003F0179"/>
    <w:sectPr w:rsidR="003F0179" w:rsidSect="00760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/>
      <w:pgMar w:top="2127" w:right="1298" w:bottom="278" w:left="2438" w:header="10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327AA" w14:textId="77777777" w:rsidR="003606B8" w:rsidRDefault="003606B8">
      <w:r>
        <w:separator/>
      </w:r>
    </w:p>
  </w:endnote>
  <w:endnote w:type="continuationSeparator" w:id="0">
    <w:p w14:paraId="72B86036" w14:textId="77777777" w:rsidR="003606B8" w:rsidRDefault="0036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63CB" w14:textId="77777777" w:rsidR="00474ACC" w:rsidRDefault="00474A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0D29F" w14:textId="77777777" w:rsidR="00474ACC" w:rsidRDefault="00474A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292A" w14:textId="77777777" w:rsidR="00474ACC" w:rsidRDefault="00474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34D0" w14:textId="77777777" w:rsidR="003606B8" w:rsidRDefault="003606B8">
      <w:r>
        <w:separator/>
      </w:r>
    </w:p>
  </w:footnote>
  <w:footnote w:type="continuationSeparator" w:id="0">
    <w:p w14:paraId="734CC84A" w14:textId="77777777" w:rsidR="003606B8" w:rsidRDefault="0036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FFFA" w14:textId="77777777" w:rsidR="00474ACC" w:rsidRDefault="00474A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045A" w14:textId="38A0B811" w:rsidR="007600A7" w:rsidRDefault="005659F0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1685E9B7" wp14:editId="2D5E6642">
          <wp:simplePos x="0" y="0"/>
          <wp:positionH relativeFrom="margin">
            <wp:posOffset>0</wp:posOffset>
          </wp:positionH>
          <wp:positionV relativeFrom="page">
            <wp:posOffset>276860</wp:posOffset>
          </wp:positionV>
          <wp:extent cx="1040838" cy="1001344"/>
          <wp:effectExtent l="0" t="0" r="6985" b="889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0838" cy="100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82BE8C" w14:textId="77777777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1D843CED" w14:textId="602CFADC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365901CD" w14:textId="0FA6D83D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0EC24992" w14:textId="77777777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4F967E97" w14:textId="77777777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55B779F0" w14:textId="77777777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452135F9" w14:textId="77777777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41F8345B" w14:textId="77777777" w:rsidR="007600A7" w:rsidRDefault="007600A7">
    <w:pPr>
      <w:pStyle w:val="Textoindependiente"/>
      <w:spacing w:line="14" w:lineRule="auto"/>
      <w:rPr>
        <w:b w:val="0"/>
        <w:i w:val="0"/>
        <w:sz w:val="20"/>
      </w:rPr>
    </w:pPr>
  </w:p>
  <w:p w14:paraId="1C891385" w14:textId="4658B369" w:rsidR="000D37F8" w:rsidRDefault="00C35B9E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20B05A" wp14:editId="2946ADF3">
              <wp:simplePos x="0" y="0"/>
              <wp:positionH relativeFrom="page">
                <wp:posOffset>7976870</wp:posOffset>
              </wp:positionH>
              <wp:positionV relativeFrom="page">
                <wp:posOffset>549275</wp:posOffset>
              </wp:positionV>
              <wp:extent cx="385064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6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A5D89" w14:textId="776D73C6" w:rsidR="000D37F8" w:rsidRDefault="00474ACC">
                          <w:pPr>
                            <w:pStyle w:val="Textoindependiente"/>
                            <w:spacing w:before="13"/>
                            <w:ind w:left="20"/>
                          </w:pPr>
                          <w:r w:rsidRPr="00474ACC">
                            <w:rPr>
                              <w:noProof/>
                            </w:rPr>
                            <w:drawing>
                              <wp:inline distT="0" distB="0" distL="0" distR="0" wp14:anchorId="4B54F365" wp14:editId="063A18AA">
                                <wp:extent cx="3850640" cy="162560"/>
                                <wp:effectExtent l="0" t="0" r="0" b="889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50640" cy="162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0B0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8.1pt;margin-top:43.25pt;width:303.2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" filled="f" stroked="f">
              <v:textbox inset="0,0,0,0">
                <w:txbxContent>
                  <w:p w14:paraId="6C1A5D89" w14:textId="776D73C6" w:rsidR="000D37F8" w:rsidRDefault="00474ACC">
                    <w:pPr>
                      <w:pStyle w:val="Textoindependiente"/>
                      <w:spacing w:before="13"/>
                      <w:ind w:left="20"/>
                    </w:pPr>
                    <w:r w:rsidRPr="00474ACC">
                      <w:rPr>
                        <w:noProof/>
                      </w:rPr>
                      <w:drawing>
                        <wp:inline distT="0" distB="0" distL="0" distR="0" wp14:anchorId="4B54F365" wp14:editId="063A18AA">
                          <wp:extent cx="3850640" cy="162560"/>
                          <wp:effectExtent l="0" t="0" r="0" b="889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50640" cy="162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00A7">
      <w:rPr>
        <w:b w:val="0"/>
        <w:i w:val="0"/>
        <w:sz w:val="20"/>
      </w:rPr>
      <w:tab/>
    </w:r>
  </w:p>
  <w:p w14:paraId="53E796B0" w14:textId="127E1BEC" w:rsidR="007600A7" w:rsidRDefault="007600A7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B01DB91" w14:textId="045B2DD3" w:rsidR="007600A7" w:rsidRDefault="007600A7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38F99EFE" w14:textId="5B55379C" w:rsidR="007600A7" w:rsidRDefault="007600A7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F43447E" w14:textId="08C23E78" w:rsidR="007600A7" w:rsidRDefault="007600A7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EE3305A" w14:textId="7BD7E025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3BED791" w14:textId="6B608D58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21B6798" w14:textId="20623186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212AC88" w14:textId="5171C8DA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5333F52" w14:textId="6A10E46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5167B44" w14:textId="6A839640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5527F814" w14:textId="79650781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33DDE3D0" w14:textId="62797774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8E895A0" w14:textId="3DC0F7F6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EF5743B" w14:textId="1978C970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9D48489" w14:textId="78ED541B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3C095EE" w14:textId="4E44AAB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3B554355" w14:textId="5104F775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6962CB4" w14:textId="0A3DD02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0665A8F" w14:textId="71ACC7E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C7D2231" w14:textId="379561AE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8D12CAB" w14:textId="0BABA1DF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526DA454" w14:textId="53460CD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166BA1E" w14:textId="1CFEE4F8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9A2D049" w14:textId="761D8AAF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65E59AD" w14:textId="4CA336A9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C74D20E" w14:textId="18AB22B4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85F0F08" w14:textId="71D09639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A1FED55" w14:textId="65E0D3FB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D3138EB" w14:textId="64618F6C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DC80C69" w14:textId="4E90DA61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616AAF5" w14:textId="4EA94C2C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FDC25A6" w14:textId="4B9D4033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AB4B7C5" w14:textId="31FAF934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437044E" w14:textId="4DACD198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9F182F7" w14:textId="413A3A43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1D9F1FB" w14:textId="51251BA0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7A1A344" w14:textId="2F012EE3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5B70835E" w14:textId="066CA33D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0BF18D4" w14:textId="0E28434D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39AAA2FC" w14:textId="623B785C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E8540F5" w14:textId="7919C12E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C14FB2B" w14:textId="7BF48B64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F947562" w14:textId="2D682CC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089E792" w14:textId="15857E65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3D4E9E91" w14:textId="0C25EB28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5BB2624" w14:textId="17B2E6EE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552069C" w14:textId="76D479D1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50523D63" w14:textId="7E09DF8B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5BD1DCDE" w14:textId="1D1316C7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05D99E0" w14:textId="21E4E817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5A8794B" w14:textId="0B4230A7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5513A8F" w14:textId="184022CB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F838AFA" w14:textId="247792BB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A44D7CB" w14:textId="5E1741A3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3D3E0193" w14:textId="0ECF4BCF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419BEACA" w14:textId="158B0FC4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2E89784" w14:textId="0009571C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15F6A79" w14:textId="4484584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43ABB3B" w14:textId="7C2D87C5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9BE7963" w14:textId="1B43CFAA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3827A9D" w14:textId="0FA681F3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01D40180" w14:textId="3D4A4425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5252592" w14:textId="5D1F329F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0E5DCC6" w14:textId="5D5357B1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158113E" w14:textId="0A9A5F9A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5F5255E2" w14:textId="74B5AF1E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790C00F0" w14:textId="5C8CFEE2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281AFC25" w14:textId="2E47DB54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15B5EEB9" w14:textId="7F93F470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  <w:p w14:paraId="6A156698" w14:textId="77777777" w:rsidR="005659F0" w:rsidRDefault="005659F0" w:rsidP="007600A7">
    <w:pPr>
      <w:pStyle w:val="Textoindependiente"/>
      <w:tabs>
        <w:tab w:val="right" w:pos="16424"/>
      </w:tabs>
      <w:spacing w:line="14" w:lineRule="auto"/>
      <w:rPr>
        <w:b w:val="0"/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FEE0" w14:textId="77777777" w:rsidR="00474ACC" w:rsidRDefault="00474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8E8"/>
    <w:multiLevelType w:val="hybridMultilevel"/>
    <w:tmpl w:val="07AC96D4"/>
    <w:lvl w:ilvl="0" w:tplc="AAC0F3E2">
      <w:start w:val="1"/>
      <w:numFmt w:val="lowerLetter"/>
      <w:lvlText w:val="%1)."/>
      <w:lvlJc w:val="left"/>
      <w:pPr>
        <w:ind w:left="108" w:hanging="338"/>
      </w:pPr>
      <w:rPr>
        <w:rFonts w:ascii="Century Gothic" w:eastAsia="Century Gothic" w:hAnsi="Century Gothic" w:cs="Century Gothic" w:hint="default"/>
        <w:w w:val="99"/>
        <w:sz w:val="20"/>
        <w:szCs w:val="20"/>
        <w:lang w:val="es-MX" w:eastAsia="es-MX" w:bidi="es-MX"/>
      </w:rPr>
    </w:lvl>
    <w:lvl w:ilvl="1" w:tplc="ECE254B2">
      <w:numFmt w:val="bullet"/>
      <w:lvlText w:val="•"/>
      <w:lvlJc w:val="left"/>
      <w:pPr>
        <w:ind w:left="850" w:hanging="338"/>
      </w:pPr>
      <w:rPr>
        <w:rFonts w:hint="default"/>
        <w:lang w:val="es-MX" w:eastAsia="es-MX" w:bidi="es-MX"/>
      </w:rPr>
    </w:lvl>
    <w:lvl w:ilvl="2" w:tplc="8CF86A28">
      <w:numFmt w:val="bullet"/>
      <w:lvlText w:val="•"/>
      <w:lvlJc w:val="left"/>
      <w:pPr>
        <w:ind w:left="1601" w:hanging="338"/>
      </w:pPr>
      <w:rPr>
        <w:rFonts w:hint="default"/>
        <w:lang w:val="es-MX" w:eastAsia="es-MX" w:bidi="es-MX"/>
      </w:rPr>
    </w:lvl>
    <w:lvl w:ilvl="3" w:tplc="006C68FA">
      <w:numFmt w:val="bullet"/>
      <w:lvlText w:val="•"/>
      <w:lvlJc w:val="left"/>
      <w:pPr>
        <w:ind w:left="2352" w:hanging="338"/>
      </w:pPr>
      <w:rPr>
        <w:rFonts w:hint="default"/>
        <w:lang w:val="es-MX" w:eastAsia="es-MX" w:bidi="es-MX"/>
      </w:rPr>
    </w:lvl>
    <w:lvl w:ilvl="4" w:tplc="AEDA5A1A">
      <w:numFmt w:val="bullet"/>
      <w:lvlText w:val="•"/>
      <w:lvlJc w:val="left"/>
      <w:pPr>
        <w:ind w:left="3103" w:hanging="338"/>
      </w:pPr>
      <w:rPr>
        <w:rFonts w:hint="default"/>
        <w:lang w:val="es-MX" w:eastAsia="es-MX" w:bidi="es-MX"/>
      </w:rPr>
    </w:lvl>
    <w:lvl w:ilvl="5" w:tplc="136ECD36">
      <w:numFmt w:val="bullet"/>
      <w:lvlText w:val="•"/>
      <w:lvlJc w:val="left"/>
      <w:pPr>
        <w:ind w:left="3854" w:hanging="338"/>
      </w:pPr>
      <w:rPr>
        <w:rFonts w:hint="default"/>
        <w:lang w:val="es-MX" w:eastAsia="es-MX" w:bidi="es-MX"/>
      </w:rPr>
    </w:lvl>
    <w:lvl w:ilvl="6" w:tplc="1FD4881C">
      <w:numFmt w:val="bullet"/>
      <w:lvlText w:val="•"/>
      <w:lvlJc w:val="left"/>
      <w:pPr>
        <w:ind w:left="4605" w:hanging="338"/>
      </w:pPr>
      <w:rPr>
        <w:rFonts w:hint="default"/>
        <w:lang w:val="es-MX" w:eastAsia="es-MX" w:bidi="es-MX"/>
      </w:rPr>
    </w:lvl>
    <w:lvl w:ilvl="7" w:tplc="097C3A48">
      <w:numFmt w:val="bullet"/>
      <w:lvlText w:val="•"/>
      <w:lvlJc w:val="left"/>
      <w:pPr>
        <w:ind w:left="5356" w:hanging="338"/>
      </w:pPr>
      <w:rPr>
        <w:rFonts w:hint="default"/>
        <w:lang w:val="es-MX" w:eastAsia="es-MX" w:bidi="es-MX"/>
      </w:rPr>
    </w:lvl>
    <w:lvl w:ilvl="8" w:tplc="34E21822">
      <w:numFmt w:val="bullet"/>
      <w:lvlText w:val="•"/>
      <w:lvlJc w:val="left"/>
      <w:pPr>
        <w:ind w:left="6107" w:hanging="338"/>
      </w:pPr>
      <w:rPr>
        <w:rFonts w:hint="default"/>
        <w:lang w:val="es-MX" w:eastAsia="es-MX" w:bidi="es-MX"/>
      </w:rPr>
    </w:lvl>
  </w:abstractNum>
  <w:abstractNum w:abstractNumId="1" w15:restartNumberingAfterBreak="0">
    <w:nsid w:val="06E405C3"/>
    <w:multiLevelType w:val="hybridMultilevel"/>
    <w:tmpl w:val="95E87EA2"/>
    <w:lvl w:ilvl="0" w:tplc="88849FDA">
      <w:start w:val="1"/>
      <w:numFmt w:val="decimal"/>
      <w:lvlText w:val="%1."/>
      <w:lvlJc w:val="left"/>
      <w:pPr>
        <w:ind w:left="108" w:hanging="257"/>
      </w:pPr>
      <w:rPr>
        <w:rFonts w:ascii="Century Gothic" w:eastAsia="Century Gothic" w:hAnsi="Century Gothic" w:cs="Century Gothic" w:hint="default"/>
        <w:spacing w:val="-1"/>
        <w:w w:val="99"/>
        <w:sz w:val="20"/>
        <w:szCs w:val="20"/>
        <w:lang w:val="es-MX" w:eastAsia="es-MX" w:bidi="es-MX"/>
      </w:rPr>
    </w:lvl>
    <w:lvl w:ilvl="1" w:tplc="11A42F6E">
      <w:start w:val="1"/>
      <w:numFmt w:val="upperRoman"/>
      <w:lvlText w:val="%2."/>
      <w:lvlJc w:val="left"/>
      <w:pPr>
        <w:ind w:left="108" w:hanging="209"/>
      </w:pPr>
      <w:rPr>
        <w:rFonts w:ascii="Century Gothic" w:eastAsia="Century Gothic" w:hAnsi="Century Gothic" w:cs="Century Gothic" w:hint="default"/>
        <w:spacing w:val="0"/>
        <w:w w:val="99"/>
        <w:sz w:val="20"/>
        <w:szCs w:val="20"/>
        <w:lang w:val="es-MX" w:eastAsia="es-MX" w:bidi="es-MX"/>
      </w:rPr>
    </w:lvl>
    <w:lvl w:ilvl="2" w:tplc="E61A1BD2">
      <w:numFmt w:val="bullet"/>
      <w:lvlText w:val="•"/>
      <w:lvlJc w:val="left"/>
      <w:pPr>
        <w:ind w:left="1601" w:hanging="209"/>
      </w:pPr>
      <w:rPr>
        <w:rFonts w:hint="default"/>
        <w:lang w:val="es-MX" w:eastAsia="es-MX" w:bidi="es-MX"/>
      </w:rPr>
    </w:lvl>
    <w:lvl w:ilvl="3" w:tplc="B1C8DF90">
      <w:numFmt w:val="bullet"/>
      <w:lvlText w:val="•"/>
      <w:lvlJc w:val="left"/>
      <w:pPr>
        <w:ind w:left="2352" w:hanging="209"/>
      </w:pPr>
      <w:rPr>
        <w:rFonts w:hint="default"/>
        <w:lang w:val="es-MX" w:eastAsia="es-MX" w:bidi="es-MX"/>
      </w:rPr>
    </w:lvl>
    <w:lvl w:ilvl="4" w:tplc="34726F2E">
      <w:numFmt w:val="bullet"/>
      <w:lvlText w:val="•"/>
      <w:lvlJc w:val="left"/>
      <w:pPr>
        <w:ind w:left="3103" w:hanging="209"/>
      </w:pPr>
      <w:rPr>
        <w:rFonts w:hint="default"/>
        <w:lang w:val="es-MX" w:eastAsia="es-MX" w:bidi="es-MX"/>
      </w:rPr>
    </w:lvl>
    <w:lvl w:ilvl="5" w:tplc="BAE218C2">
      <w:numFmt w:val="bullet"/>
      <w:lvlText w:val="•"/>
      <w:lvlJc w:val="left"/>
      <w:pPr>
        <w:ind w:left="3854" w:hanging="209"/>
      </w:pPr>
      <w:rPr>
        <w:rFonts w:hint="default"/>
        <w:lang w:val="es-MX" w:eastAsia="es-MX" w:bidi="es-MX"/>
      </w:rPr>
    </w:lvl>
    <w:lvl w:ilvl="6" w:tplc="24682F7A">
      <w:numFmt w:val="bullet"/>
      <w:lvlText w:val="•"/>
      <w:lvlJc w:val="left"/>
      <w:pPr>
        <w:ind w:left="4605" w:hanging="209"/>
      </w:pPr>
      <w:rPr>
        <w:rFonts w:hint="default"/>
        <w:lang w:val="es-MX" w:eastAsia="es-MX" w:bidi="es-MX"/>
      </w:rPr>
    </w:lvl>
    <w:lvl w:ilvl="7" w:tplc="BA4A524C">
      <w:numFmt w:val="bullet"/>
      <w:lvlText w:val="•"/>
      <w:lvlJc w:val="left"/>
      <w:pPr>
        <w:ind w:left="5356" w:hanging="209"/>
      </w:pPr>
      <w:rPr>
        <w:rFonts w:hint="default"/>
        <w:lang w:val="es-MX" w:eastAsia="es-MX" w:bidi="es-MX"/>
      </w:rPr>
    </w:lvl>
    <w:lvl w:ilvl="8" w:tplc="C0B67BE2">
      <w:numFmt w:val="bullet"/>
      <w:lvlText w:val="•"/>
      <w:lvlJc w:val="left"/>
      <w:pPr>
        <w:ind w:left="6107" w:hanging="209"/>
      </w:pPr>
      <w:rPr>
        <w:rFonts w:hint="default"/>
        <w:lang w:val="es-MX" w:eastAsia="es-MX" w:bidi="es-MX"/>
      </w:rPr>
    </w:lvl>
  </w:abstractNum>
  <w:abstractNum w:abstractNumId="2" w15:restartNumberingAfterBreak="0">
    <w:nsid w:val="0E186103"/>
    <w:multiLevelType w:val="hybridMultilevel"/>
    <w:tmpl w:val="10E20EFE"/>
    <w:lvl w:ilvl="0" w:tplc="647C8144">
      <w:start w:val="1"/>
      <w:numFmt w:val="upperRoman"/>
      <w:lvlText w:val="%1."/>
      <w:lvlJc w:val="left"/>
      <w:pPr>
        <w:ind w:left="108" w:hanging="144"/>
      </w:pPr>
      <w:rPr>
        <w:rFonts w:ascii="Century Gothic" w:eastAsia="Century Gothic" w:hAnsi="Century Gothic" w:cs="Century Gothic" w:hint="default"/>
        <w:spacing w:val="0"/>
        <w:w w:val="99"/>
        <w:sz w:val="20"/>
        <w:szCs w:val="20"/>
        <w:lang w:val="es-MX" w:eastAsia="es-MX" w:bidi="es-MX"/>
      </w:rPr>
    </w:lvl>
    <w:lvl w:ilvl="1" w:tplc="9614F57A">
      <w:numFmt w:val="bullet"/>
      <w:lvlText w:val="•"/>
      <w:lvlJc w:val="left"/>
      <w:pPr>
        <w:ind w:left="850" w:hanging="144"/>
      </w:pPr>
      <w:rPr>
        <w:rFonts w:hint="default"/>
        <w:lang w:val="es-MX" w:eastAsia="es-MX" w:bidi="es-MX"/>
      </w:rPr>
    </w:lvl>
    <w:lvl w:ilvl="2" w:tplc="FF7286D4">
      <w:numFmt w:val="bullet"/>
      <w:lvlText w:val="•"/>
      <w:lvlJc w:val="left"/>
      <w:pPr>
        <w:ind w:left="1601" w:hanging="144"/>
      </w:pPr>
      <w:rPr>
        <w:rFonts w:hint="default"/>
        <w:lang w:val="es-MX" w:eastAsia="es-MX" w:bidi="es-MX"/>
      </w:rPr>
    </w:lvl>
    <w:lvl w:ilvl="3" w:tplc="F9C8F3D4">
      <w:numFmt w:val="bullet"/>
      <w:lvlText w:val="•"/>
      <w:lvlJc w:val="left"/>
      <w:pPr>
        <w:ind w:left="2352" w:hanging="144"/>
      </w:pPr>
      <w:rPr>
        <w:rFonts w:hint="default"/>
        <w:lang w:val="es-MX" w:eastAsia="es-MX" w:bidi="es-MX"/>
      </w:rPr>
    </w:lvl>
    <w:lvl w:ilvl="4" w:tplc="C1742070">
      <w:numFmt w:val="bullet"/>
      <w:lvlText w:val="•"/>
      <w:lvlJc w:val="left"/>
      <w:pPr>
        <w:ind w:left="3103" w:hanging="144"/>
      </w:pPr>
      <w:rPr>
        <w:rFonts w:hint="default"/>
        <w:lang w:val="es-MX" w:eastAsia="es-MX" w:bidi="es-MX"/>
      </w:rPr>
    </w:lvl>
    <w:lvl w:ilvl="5" w:tplc="D4CC1A2A">
      <w:numFmt w:val="bullet"/>
      <w:lvlText w:val="•"/>
      <w:lvlJc w:val="left"/>
      <w:pPr>
        <w:ind w:left="3854" w:hanging="144"/>
      </w:pPr>
      <w:rPr>
        <w:rFonts w:hint="default"/>
        <w:lang w:val="es-MX" w:eastAsia="es-MX" w:bidi="es-MX"/>
      </w:rPr>
    </w:lvl>
    <w:lvl w:ilvl="6" w:tplc="276CA078">
      <w:numFmt w:val="bullet"/>
      <w:lvlText w:val="•"/>
      <w:lvlJc w:val="left"/>
      <w:pPr>
        <w:ind w:left="4605" w:hanging="144"/>
      </w:pPr>
      <w:rPr>
        <w:rFonts w:hint="default"/>
        <w:lang w:val="es-MX" w:eastAsia="es-MX" w:bidi="es-MX"/>
      </w:rPr>
    </w:lvl>
    <w:lvl w:ilvl="7" w:tplc="CBD41508">
      <w:numFmt w:val="bullet"/>
      <w:lvlText w:val="•"/>
      <w:lvlJc w:val="left"/>
      <w:pPr>
        <w:ind w:left="5356" w:hanging="144"/>
      </w:pPr>
      <w:rPr>
        <w:rFonts w:hint="default"/>
        <w:lang w:val="es-MX" w:eastAsia="es-MX" w:bidi="es-MX"/>
      </w:rPr>
    </w:lvl>
    <w:lvl w:ilvl="8" w:tplc="19F42FDE">
      <w:numFmt w:val="bullet"/>
      <w:lvlText w:val="•"/>
      <w:lvlJc w:val="left"/>
      <w:pPr>
        <w:ind w:left="6107" w:hanging="144"/>
      </w:pPr>
      <w:rPr>
        <w:rFonts w:hint="default"/>
        <w:lang w:val="es-MX" w:eastAsia="es-MX" w:bidi="es-MX"/>
      </w:rPr>
    </w:lvl>
  </w:abstractNum>
  <w:abstractNum w:abstractNumId="3" w15:restartNumberingAfterBreak="0">
    <w:nsid w:val="199E66B6"/>
    <w:multiLevelType w:val="hybridMultilevel"/>
    <w:tmpl w:val="2C8EA174"/>
    <w:lvl w:ilvl="0" w:tplc="49442F08">
      <w:start w:val="1"/>
      <w:numFmt w:val="decimal"/>
      <w:lvlText w:val="%1."/>
      <w:lvlJc w:val="left"/>
      <w:pPr>
        <w:ind w:left="108" w:hanging="252"/>
      </w:pPr>
      <w:rPr>
        <w:rFonts w:ascii="Century Gothic" w:eastAsia="Century Gothic" w:hAnsi="Century Gothic" w:cs="Century Gothic" w:hint="default"/>
        <w:spacing w:val="-1"/>
        <w:w w:val="99"/>
        <w:sz w:val="20"/>
        <w:szCs w:val="20"/>
        <w:lang w:val="es-MX" w:eastAsia="es-MX" w:bidi="es-MX"/>
      </w:rPr>
    </w:lvl>
    <w:lvl w:ilvl="1" w:tplc="CE4CC1F2">
      <w:numFmt w:val="bullet"/>
      <w:lvlText w:val="•"/>
      <w:lvlJc w:val="left"/>
      <w:pPr>
        <w:ind w:left="850" w:hanging="252"/>
      </w:pPr>
      <w:rPr>
        <w:rFonts w:hint="default"/>
        <w:lang w:val="es-MX" w:eastAsia="es-MX" w:bidi="es-MX"/>
      </w:rPr>
    </w:lvl>
    <w:lvl w:ilvl="2" w:tplc="E222CFBA">
      <w:numFmt w:val="bullet"/>
      <w:lvlText w:val="•"/>
      <w:lvlJc w:val="left"/>
      <w:pPr>
        <w:ind w:left="1601" w:hanging="252"/>
      </w:pPr>
      <w:rPr>
        <w:rFonts w:hint="default"/>
        <w:lang w:val="es-MX" w:eastAsia="es-MX" w:bidi="es-MX"/>
      </w:rPr>
    </w:lvl>
    <w:lvl w:ilvl="3" w:tplc="CC96500C">
      <w:numFmt w:val="bullet"/>
      <w:lvlText w:val="•"/>
      <w:lvlJc w:val="left"/>
      <w:pPr>
        <w:ind w:left="2352" w:hanging="252"/>
      </w:pPr>
      <w:rPr>
        <w:rFonts w:hint="default"/>
        <w:lang w:val="es-MX" w:eastAsia="es-MX" w:bidi="es-MX"/>
      </w:rPr>
    </w:lvl>
    <w:lvl w:ilvl="4" w:tplc="4A10C22C">
      <w:numFmt w:val="bullet"/>
      <w:lvlText w:val="•"/>
      <w:lvlJc w:val="left"/>
      <w:pPr>
        <w:ind w:left="3103" w:hanging="252"/>
      </w:pPr>
      <w:rPr>
        <w:rFonts w:hint="default"/>
        <w:lang w:val="es-MX" w:eastAsia="es-MX" w:bidi="es-MX"/>
      </w:rPr>
    </w:lvl>
    <w:lvl w:ilvl="5" w:tplc="B4EAF93E">
      <w:numFmt w:val="bullet"/>
      <w:lvlText w:val="•"/>
      <w:lvlJc w:val="left"/>
      <w:pPr>
        <w:ind w:left="3854" w:hanging="252"/>
      </w:pPr>
      <w:rPr>
        <w:rFonts w:hint="default"/>
        <w:lang w:val="es-MX" w:eastAsia="es-MX" w:bidi="es-MX"/>
      </w:rPr>
    </w:lvl>
    <w:lvl w:ilvl="6" w:tplc="7B2474C4">
      <w:numFmt w:val="bullet"/>
      <w:lvlText w:val="•"/>
      <w:lvlJc w:val="left"/>
      <w:pPr>
        <w:ind w:left="4605" w:hanging="252"/>
      </w:pPr>
      <w:rPr>
        <w:rFonts w:hint="default"/>
        <w:lang w:val="es-MX" w:eastAsia="es-MX" w:bidi="es-MX"/>
      </w:rPr>
    </w:lvl>
    <w:lvl w:ilvl="7" w:tplc="112886EC">
      <w:numFmt w:val="bullet"/>
      <w:lvlText w:val="•"/>
      <w:lvlJc w:val="left"/>
      <w:pPr>
        <w:ind w:left="5356" w:hanging="252"/>
      </w:pPr>
      <w:rPr>
        <w:rFonts w:hint="default"/>
        <w:lang w:val="es-MX" w:eastAsia="es-MX" w:bidi="es-MX"/>
      </w:rPr>
    </w:lvl>
    <w:lvl w:ilvl="8" w:tplc="81A2A6D2">
      <w:numFmt w:val="bullet"/>
      <w:lvlText w:val="•"/>
      <w:lvlJc w:val="left"/>
      <w:pPr>
        <w:ind w:left="6107" w:hanging="252"/>
      </w:pPr>
      <w:rPr>
        <w:rFonts w:hint="default"/>
        <w:lang w:val="es-MX" w:eastAsia="es-MX" w:bidi="es-MX"/>
      </w:rPr>
    </w:lvl>
  </w:abstractNum>
  <w:abstractNum w:abstractNumId="4" w15:restartNumberingAfterBreak="0">
    <w:nsid w:val="1F232B62"/>
    <w:multiLevelType w:val="hybridMultilevel"/>
    <w:tmpl w:val="F96E8D24"/>
    <w:lvl w:ilvl="0" w:tplc="3A8C65E8">
      <w:start w:val="10"/>
      <w:numFmt w:val="upperRoman"/>
      <w:lvlText w:val="%1."/>
      <w:lvlJc w:val="left"/>
      <w:pPr>
        <w:ind w:left="108" w:hanging="254"/>
      </w:pPr>
      <w:rPr>
        <w:rFonts w:ascii="Century Gothic" w:eastAsia="Century Gothic" w:hAnsi="Century Gothic" w:cs="Century Gothic" w:hint="default"/>
        <w:w w:val="99"/>
        <w:sz w:val="20"/>
        <w:szCs w:val="20"/>
        <w:lang w:val="es-MX" w:eastAsia="es-MX" w:bidi="es-MX"/>
      </w:rPr>
    </w:lvl>
    <w:lvl w:ilvl="1" w:tplc="DA2EB128">
      <w:numFmt w:val="bullet"/>
      <w:lvlText w:val="•"/>
      <w:lvlJc w:val="left"/>
      <w:pPr>
        <w:ind w:left="850" w:hanging="254"/>
      </w:pPr>
      <w:rPr>
        <w:rFonts w:hint="default"/>
        <w:lang w:val="es-MX" w:eastAsia="es-MX" w:bidi="es-MX"/>
      </w:rPr>
    </w:lvl>
    <w:lvl w:ilvl="2" w:tplc="C62E69A0">
      <w:numFmt w:val="bullet"/>
      <w:lvlText w:val="•"/>
      <w:lvlJc w:val="left"/>
      <w:pPr>
        <w:ind w:left="1601" w:hanging="254"/>
      </w:pPr>
      <w:rPr>
        <w:rFonts w:hint="default"/>
        <w:lang w:val="es-MX" w:eastAsia="es-MX" w:bidi="es-MX"/>
      </w:rPr>
    </w:lvl>
    <w:lvl w:ilvl="3" w:tplc="7F94C07C">
      <w:numFmt w:val="bullet"/>
      <w:lvlText w:val="•"/>
      <w:lvlJc w:val="left"/>
      <w:pPr>
        <w:ind w:left="2352" w:hanging="254"/>
      </w:pPr>
      <w:rPr>
        <w:rFonts w:hint="default"/>
        <w:lang w:val="es-MX" w:eastAsia="es-MX" w:bidi="es-MX"/>
      </w:rPr>
    </w:lvl>
    <w:lvl w:ilvl="4" w:tplc="FA146954">
      <w:numFmt w:val="bullet"/>
      <w:lvlText w:val="•"/>
      <w:lvlJc w:val="left"/>
      <w:pPr>
        <w:ind w:left="3103" w:hanging="254"/>
      </w:pPr>
      <w:rPr>
        <w:rFonts w:hint="default"/>
        <w:lang w:val="es-MX" w:eastAsia="es-MX" w:bidi="es-MX"/>
      </w:rPr>
    </w:lvl>
    <w:lvl w:ilvl="5" w:tplc="181A02EA">
      <w:numFmt w:val="bullet"/>
      <w:lvlText w:val="•"/>
      <w:lvlJc w:val="left"/>
      <w:pPr>
        <w:ind w:left="3854" w:hanging="254"/>
      </w:pPr>
      <w:rPr>
        <w:rFonts w:hint="default"/>
        <w:lang w:val="es-MX" w:eastAsia="es-MX" w:bidi="es-MX"/>
      </w:rPr>
    </w:lvl>
    <w:lvl w:ilvl="6" w:tplc="17B03F50">
      <w:numFmt w:val="bullet"/>
      <w:lvlText w:val="•"/>
      <w:lvlJc w:val="left"/>
      <w:pPr>
        <w:ind w:left="4605" w:hanging="254"/>
      </w:pPr>
      <w:rPr>
        <w:rFonts w:hint="default"/>
        <w:lang w:val="es-MX" w:eastAsia="es-MX" w:bidi="es-MX"/>
      </w:rPr>
    </w:lvl>
    <w:lvl w:ilvl="7" w:tplc="3AA64C12">
      <w:numFmt w:val="bullet"/>
      <w:lvlText w:val="•"/>
      <w:lvlJc w:val="left"/>
      <w:pPr>
        <w:ind w:left="5356" w:hanging="254"/>
      </w:pPr>
      <w:rPr>
        <w:rFonts w:hint="default"/>
        <w:lang w:val="es-MX" w:eastAsia="es-MX" w:bidi="es-MX"/>
      </w:rPr>
    </w:lvl>
    <w:lvl w:ilvl="8" w:tplc="E29AD87E">
      <w:numFmt w:val="bullet"/>
      <w:lvlText w:val="•"/>
      <w:lvlJc w:val="left"/>
      <w:pPr>
        <w:ind w:left="6107" w:hanging="254"/>
      </w:pPr>
      <w:rPr>
        <w:rFonts w:hint="default"/>
        <w:lang w:val="es-MX" w:eastAsia="es-MX" w:bidi="es-MX"/>
      </w:rPr>
    </w:lvl>
  </w:abstractNum>
  <w:abstractNum w:abstractNumId="5" w15:restartNumberingAfterBreak="0">
    <w:nsid w:val="25BD727E"/>
    <w:multiLevelType w:val="hybridMultilevel"/>
    <w:tmpl w:val="5B5C33B4"/>
    <w:lvl w:ilvl="0" w:tplc="08CE366E">
      <w:start w:val="7"/>
      <w:numFmt w:val="upperRoman"/>
      <w:lvlText w:val="%1."/>
      <w:lvlJc w:val="left"/>
      <w:pPr>
        <w:ind w:left="108" w:hanging="370"/>
      </w:pPr>
      <w:rPr>
        <w:rFonts w:ascii="Century Gothic" w:eastAsia="Century Gothic" w:hAnsi="Century Gothic" w:cs="Century Gothic" w:hint="default"/>
        <w:spacing w:val="-1"/>
        <w:w w:val="99"/>
        <w:sz w:val="20"/>
        <w:szCs w:val="20"/>
        <w:lang w:val="es-MX" w:eastAsia="es-MX" w:bidi="es-MX"/>
      </w:rPr>
    </w:lvl>
    <w:lvl w:ilvl="1" w:tplc="91DE8A2C">
      <w:numFmt w:val="bullet"/>
      <w:lvlText w:val="•"/>
      <w:lvlJc w:val="left"/>
      <w:pPr>
        <w:ind w:left="850" w:hanging="370"/>
      </w:pPr>
      <w:rPr>
        <w:rFonts w:hint="default"/>
        <w:lang w:val="es-MX" w:eastAsia="es-MX" w:bidi="es-MX"/>
      </w:rPr>
    </w:lvl>
    <w:lvl w:ilvl="2" w:tplc="26F4D14E">
      <w:numFmt w:val="bullet"/>
      <w:lvlText w:val="•"/>
      <w:lvlJc w:val="left"/>
      <w:pPr>
        <w:ind w:left="1601" w:hanging="370"/>
      </w:pPr>
      <w:rPr>
        <w:rFonts w:hint="default"/>
        <w:lang w:val="es-MX" w:eastAsia="es-MX" w:bidi="es-MX"/>
      </w:rPr>
    </w:lvl>
    <w:lvl w:ilvl="3" w:tplc="56A45410">
      <w:numFmt w:val="bullet"/>
      <w:lvlText w:val="•"/>
      <w:lvlJc w:val="left"/>
      <w:pPr>
        <w:ind w:left="2352" w:hanging="370"/>
      </w:pPr>
      <w:rPr>
        <w:rFonts w:hint="default"/>
        <w:lang w:val="es-MX" w:eastAsia="es-MX" w:bidi="es-MX"/>
      </w:rPr>
    </w:lvl>
    <w:lvl w:ilvl="4" w:tplc="3EEC5BBC">
      <w:numFmt w:val="bullet"/>
      <w:lvlText w:val="•"/>
      <w:lvlJc w:val="left"/>
      <w:pPr>
        <w:ind w:left="3103" w:hanging="370"/>
      </w:pPr>
      <w:rPr>
        <w:rFonts w:hint="default"/>
        <w:lang w:val="es-MX" w:eastAsia="es-MX" w:bidi="es-MX"/>
      </w:rPr>
    </w:lvl>
    <w:lvl w:ilvl="5" w:tplc="D396C1BA">
      <w:numFmt w:val="bullet"/>
      <w:lvlText w:val="•"/>
      <w:lvlJc w:val="left"/>
      <w:pPr>
        <w:ind w:left="3854" w:hanging="370"/>
      </w:pPr>
      <w:rPr>
        <w:rFonts w:hint="default"/>
        <w:lang w:val="es-MX" w:eastAsia="es-MX" w:bidi="es-MX"/>
      </w:rPr>
    </w:lvl>
    <w:lvl w:ilvl="6" w:tplc="95B848F2">
      <w:numFmt w:val="bullet"/>
      <w:lvlText w:val="•"/>
      <w:lvlJc w:val="left"/>
      <w:pPr>
        <w:ind w:left="4605" w:hanging="370"/>
      </w:pPr>
      <w:rPr>
        <w:rFonts w:hint="default"/>
        <w:lang w:val="es-MX" w:eastAsia="es-MX" w:bidi="es-MX"/>
      </w:rPr>
    </w:lvl>
    <w:lvl w:ilvl="7" w:tplc="C32AA626">
      <w:numFmt w:val="bullet"/>
      <w:lvlText w:val="•"/>
      <w:lvlJc w:val="left"/>
      <w:pPr>
        <w:ind w:left="5356" w:hanging="370"/>
      </w:pPr>
      <w:rPr>
        <w:rFonts w:hint="default"/>
        <w:lang w:val="es-MX" w:eastAsia="es-MX" w:bidi="es-MX"/>
      </w:rPr>
    </w:lvl>
    <w:lvl w:ilvl="8" w:tplc="9CAE6D68">
      <w:numFmt w:val="bullet"/>
      <w:lvlText w:val="•"/>
      <w:lvlJc w:val="left"/>
      <w:pPr>
        <w:ind w:left="6107" w:hanging="370"/>
      </w:pPr>
      <w:rPr>
        <w:rFonts w:hint="default"/>
        <w:lang w:val="es-MX" w:eastAsia="es-MX" w:bidi="es-MX"/>
      </w:rPr>
    </w:lvl>
  </w:abstractNum>
  <w:abstractNum w:abstractNumId="6" w15:restartNumberingAfterBreak="0">
    <w:nsid w:val="41436EB5"/>
    <w:multiLevelType w:val="hybridMultilevel"/>
    <w:tmpl w:val="9594DCD0"/>
    <w:lvl w:ilvl="0" w:tplc="BF0490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461E32F9"/>
    <w:multiLevelType w:val="hybridMultilevel"/>
    <w:tmpl w:val="5B08BE9A"/>
    <w:lvl w:ilvl="0" w:tplc="AAC48F2E">
      <w:start w:val="1"/>
      <w:numFmt w:val="lowerLetter"/>
      <w:lvlText w:val="%1)."/>
      <w:lvlJc w:val="left"/>
      <w:pPr>
        <w:ind w:left="108" w:hanging="372"/>
      </w:pPr>
      <w:rPr>
        <w:rFonts w:ascii="Century Gothic" w:eastAsia="Century Gothic" w:hAnsi="Century Gothic" w:cs="Century Gothic" w:hint="default"/>
        <w:w w:val="99"/>
        <w:sz w:val="20"/>
        <w:szCs w:val="20"/>
        <w:lang w:val="es-MX" w:eastAsia="es-MX" w:bidi="es-MX"/>
      </w:rPr>
    </w:lvl>
    <w:lvl w:ilvl="1" w:tplc="587AA594">
      <w:numFmt w:val="bullet"/>
      <w:lvlText w:val="•"/>
      <w:lvlJc w:val="left"/>
      <w:pPr>
        <w:ind w:left="850" w:hanging="372"/>
      </w:pPr>
      <w:rPr>
        <w:rFonts w:hint="default"/>
        <w:lang w:val="es-MX" w:eastAsia="es-MX" w:bidi="es-MX"/>
      </w:rPr>
    </w:lvl>
    <w:lvl w:ilvl="2" w:tplc="954AABCE">
      <w:numFmt w:val="bullet"/>
      <w:lvlText w:val="•"/>
      <w:lvlJc w:val="left"/>
      <w:pPr>
        <w:ind w:left="1601" w:hanging="372"/>
      </w:pPr>
      <w:rPr>
        <w:rFonts w:hint="default"/>
        <w:lang w:val="es-MX" w:eastAsia="es-MX" w:bidi="es-MX"/>
      </w:rPr>
    </w:lvl>
    <w:lvl w:ilvl="3" w:tplc="83B4EE30">
      <w:numFmt w:val="bullet"/>
      <w:lvlText w:val="•"/>
      <w:lvlJc w:val="left"/>
      <w:pPr>
        <w:ind w:left="2352" w:hanging="372"/>
      </w:pPr>
      <w:rPr>
        <w:rFonts w:hint="default"/>
        <w:lang w:val="es-MX" w:eastAsia="es-MX" w:bidi="es-MX"/>
      </w:rPr>
    </w:lvl>
    <w:lvl w:ilvl="4" w:tplc="4B72B92C">
      <w:numFmt w:val="bullet"/>
      <w:lvlText w:val="•"/>
      <w:lvlJc w:val="left"/>
      <w:pPr>
        <w:ind w:left="3103" w:hanging="372"/>
      </w:pPr>
      <w:rPr>
        <w:rFonts w:hint="default"/>
        <w:lang w:val="es-MX" w:eastAsia="es-MX" w:bidi="es-MX"/>
      </w:rPr>
    </w:lvl>
    <w:lvl w:ilvl="5" w:tplc="5A3E7FF6">
      <w:numFmt w:val="bullet"/>
      <w:lvlText w:val="•"/>
      <w:lvlJc w:val="left"/>
      <w:pPr>
        <w:ind w:left="3854" w:hanging="372"/>
      </w:pPr>
      <w:rPr>
        <w:rFonts w:hint="default"/>
        <w:lang w:val="es-MX" w:eastAsia="es-MX" w:bidi="es-MX"/>
      </w:rPr>
    </w:lvl>
    <w:lvl w:ilvl="6" w:tplc="99C250C6">
      <w:numFmt w:val="bullet"/>
      <w:lvlText w:val="•"/>
      <w:lvlJc w:val="left"/>
      <w:pPr>
        <w:ind w:left="4605" w:hanging="372"/>
      </w:pPr>
      <w:rPr>
        <w:rFonts w:hint="default"/>
        <w:lang w:val="es-MX" w:eastAsia="es-MX" w:bidi="es-MX"/>
      </w:rPr>
    </w:lvl>
    <w:lvl w:ilvl="7" w:tplc="296A4F64">
      <w:numFmt w:val="bullet"/>
      <w:lvlText w:val="•"/>
      <w:lvlJc w:val="left"/>
      <w:pPr>
        <w:ind w:left="5356" w:hanging="372"/>
      </w:pPr>
      <w:rPr>
        <w:rFonts w:hint="default"/>
        <w:lang w:val="es-MX" w:eastAsia="es-MX" w:bidi="es-MX"/>
      </w:rPr>
    </w:lvl>
    <w:lvl w:ilvl="8" w:tplc="FDC4F8C4">
      <w:numFmt w:val="bullet"/>
      <w:lvlText w:val="•"/>
      <w:lvlJc w:val="left"/>
      <w:pPr>
        <w:ind w:left="6107" w:hanging="372"/>
      </w:pPr>
      <w:rPr>
        <w:rFonts w:hint="default"/>
        <w:lang w:val="es-MX" w:eastAsia="es-MX" w:bidi="es-MX"/>
      </w:rPr>
    </w:lvl>
  </w:abstractNum>
  <w:abstractNum w:abstractNumId="8" w15:restartNumberingAfterBreak="0">
    <w:nsid w:val="5B662D69"/>
    <w:multiLevelType w:val="hybridMultilevel"/>
    <w:tmpl w:val="C4663246"/>
    <w:lvl w:ilvl="0" w:tplc="FD264294">
      <w:start w:val="5"/>
      <w:numFmt w:val="upperRoman"/>
      <w:lvlText w:val="%1."/>
      <w:lvlJc w:val="left"/>
      <w:pPr>
        <w:ind w:left="108" w:hanging="288"/>
      </w:pPr>
      <w:rPr>
        <w:rFonts w:ascii="Century Gothic" w:eastAsia="Century Gothic" w:hAnsi="Century Gothic" w:cs="Century Gothic" w:hint="default"/>
        <w:spacing w:val="0"/>
        <w:w w:val="99"/>
        <w:sz w:val="20"/>
        <w:szCs w:val="20"/>
        <w:lang w:val="es-MX" w:eastAsia="es-MX" w:bidi="es-MX"/>
      </w:rPr>
    </w:lvl>
    <w:lvl w:ilvl="1" w:tplc="9D5C51A0">
      <w:numFmt w:val="bullet"/>
      <w:lvlText w:val="•"/>
      <w:lvlJc w:val="left"/>
      <w:pPr>
        <w:ind w:left="850" w:hanging="288"/>
      </w:pPr>
      <w:rPr>
        <w:rFonts w:hint="default"/>
        <w:lang w:val="es-MX" w:eastAsia="es-MX" w:bidi="es-MX"/>
      </w:rPr>
    </w:lvl>
    <w:lvl w:ilvl="2" w:tplc="014C1172">
      <w:numFmt w:val="bullet"/>
      <w:lvlText w:val="•"/>
      <w:lvlJc w:val="left"/>
      <w:pPr>
        <w:ind w:left="1601" w:hanging="288"/>
      </w:pPr>
      <w:rPr>
        <w:rFonts w:hint="default"/>
        <w:lang w:val="es-MX" w:eastAsia="es-MX" w:bidi="es-MX"/>
      </w:rPr>
    </w:lvl>
    <w:lvl w:ilvl="3" w:tplc="C442BB9E">
      <w:numFmt w:val="bullet"/>
      <w:lvlText w:val="•"/>
      <w:lvlJc w:val="left"/>
      <w:pPr>
        <w:ind w:left="2352" w:hanging="288"/>
      </w:pPr>
      <w:rPr>
        <w:rFonts w:hint="default"/>
        <w:lang w:val="es-MX" w:eastAsia="es-MX" w:bidi="es-MX"/>
      </w:rPr>
    </w:lvl>
    <w:lvl w:ilvl="4" w:tplc="528AD3C8">
      <w:numFmt w:val="bullet"/>
      <w:lvlText w:val="•"/>
      <w:lvlJc w:val="left"/>
      <w:pPr>
        <w:ind w:left="3103" w:hanging="288"/>
      </w:pPr>
      <w:rPr>
        <w:rFonts w:hint="default"/>
        <w:lang w:val="es-MX" w:eastAsia="es-MX" w:bidi="es-MX"/>
      </w:rPr>
    </w:lvl>
    <w:lvl w:ilvl="5" w:tplc="604CBBE6">
      <w:numFmt w:val="bullet"/>
      <w:lvlText w:val="•"/>
      <w:lvlJc w:val="left"/>
      <w:pPr>
        <w:ind w:left="3854" w:hanging="288"/>
      </w:pPr>
      <w:rPr>
        <w:rFonts w:hint="default"/>
        <w:lang w:val="es-MX" w:eastAsia="es-MX" w:bidi="es-MX"/>
      </w:rPr>
    </w:lvl>
    <w:lvl w:ilvl="6" w:tplc="F6B636A2">
      <w:numFmt w:val="bullet"/>
      <w:lvlText w:val="•"/>
      <w:lvlJc w:val="left"/>
      <w:pPr>
        <w:ind w:left="4605" w:hanging="288"/>
      </w:pPr>
      <w:rPr>
        <w:rFonts w:hint="default"/>
        <w:lang w:val="es-MX" w:eastAsia="es-MX" w:bidi="es-MX"/>
      </w:rPr>
    </w:lvl>
    <w:lvl w:ilvl="7" w:tplc="5CFE1852">
      <w:numFmt w:val="bullet"/>
      <w:lvlText w:val="•"/>
      <w:lvlJc w:val="left"/>
      <w:pPr>
        <w:ind w:left="5356" w:hanging="288"/>
      </w:pPr>
      <w:rPr>
        <w:rFonts w:hint="default"/>
        <w:lang w:val="es-MX" w:eastAsia="es-MX" w:bidi="es-MX"/>
      </w:rPr>
    </w:lvl>
    <w:lvl w:ilvl="8" w:tplc="8328F46C">
      <w:numFmt w:val="bullet"/>
      <w:lvlText w:val="•"/>
      <w:lvlJc w:val="left"/>
      <w:pPr>
        <w:ind w:left="6107" w:hanging="288"/>
      </w:pPr>
      <w:rPr>
        <w:rFonts w:hint="default"/>
        <w:lang w:val="es-MX" w:eastAsia="es-MX" w:bidi="es-MX"/>
      </w:rPr>
    </w:lvl>
  </w:abstractNum>
  <w:abstractNum w:abstractNumId="9" w15:restartNumberingAfterBreak="0">
    <w:nsid w:val="76FB46C2"/>
    <w:multiLevelType w:val="hybridMultilevel"/>
    <w:tmpl w:val="A4EEDA68"/>
    <w:lvl w:ilvl="0" w:tplc="44BE8EC4">
      <w:start w:val="1"/>
      <w:numFmt w:val="upperRoman"/>
      <w:lvlText w:val="%1."/>
      <w:lvlJc w:val="left"/>
      <w:pPr>
        <w:ind w:left="263" w:hanging="156"/>
      </w:pPr>
      <w:rPr>
        <w:rFonts w:ascii="Century Gothic" w:eastAsia="Century Gothic" w:hAnsi="Century Gothic" w:cs="Century Gothic" w:hint="default"/>
        <w:spacing w:val="0"/>
        <w:w w:val="99"/>
        <w:sz w:val="20"/>
        <w:szCs w:val="20"/>
        <w:lang w:val="es-MX" w:eastAsia="es-MX" w:bidi="es-MX"/>
      </w:rPr>
    </w:lvl>
    <w:lvl w:ilvl="1" w:tplc="59A2F176">
      <w:numFmt w:val="bullet"/>
      <w:lvlText w:val="•"/>
      <w:lvlJc w:val="left"/>
      <w:pPr>
        <w:ind w:left="994" w:hanging="156"/>
      </w:pPr>
      <w:rPr>
        <w:rFonts w:hint="default"/>
        <w:lang w:val="es-MX" w:eastAsia="es-MX" w:bidi="es-MX"/>
      </w:rPr>
    </w:lvl>
    <w:lvl w:ilvl="2" w:tplc="EEC24DC4">
      <w:numFmt w:val="bullet"/>
      <w:lvlText w:val="•"/>
      <w:lvlJc w:val="left"/>
      <w:pPr>
        <w:ind w:left="1729" w:hanging="156"/>
      </w:pPr>
      <w:rPr>
        <w:rFonts w:hint="default"/>
        <w:lang w:val="es-MX" w:eastAsia="es-MX" w:bidi="es-MX"/>
      </w:rPr>
    </w:lvl>
    <w:lvl w:ilvl="3" w:tplc="C38E97AA">
      <w:numFmt w:val="bullet"/>
      <w:lvlText w:val="•"/>
      <w:lvlJc w:val="left"/>
      <w:pPr>
        <w:ind w:left="2464" w:hanging="156"/>
      </w:pPr>
      <w:rPr>
        <w:rFonts w:hint="default"/>
        <w:lang w:val="es-MX" w:eastAsia="es-MX" w:bidi="es-MX"/>
      </w:rPr>
    </w:lvl>
    <w:lvl w:ilvl="4" w:tplc="C24096AA">
      <w:numFmt w:val="bullet"/>
      <w:lvlText w:val="•"/>
      <w:lvlJc w:val="left"/>
      <w:pPr>
        <w:ind w:left="3199" w:hanging="156"/>
      </w:pPr>
      <w:rPr>
        <w:rFonts w:hint="default"/>
        <w:lang w:val="es-MX" w:eastAsia="es-MX" w:bidi="es-MX"/>
      </w:rPr>
    </w:lvl>
    <w:lvl w:ilvl="5" w:tplc="8F6CCA88">
      <w:numFmt w:val="bullet"/>
      <w:lvlText w:val="•"/>
      <w:lvlJc w:val="left"/>
      <w:pPr>
        <w:ind w:left="3934" w:hanging="156"/>
      </w:pPr>
      <w:rPr>
        <w:rFonts w:hint="default"/>
        <w:lang w:val="es-MX" w:eastAsia="es-MX" w:bidi="es-MX"/>
      </w:rPr>
    </w:lvl>
    <w:lvl w:ilvl="6" w:tplc="5E58B9C8">
      <w:numFmt w:val="bullet"/>
      <w:lvlText w:val="•"/>
      <w:lvlJc w:val="left"/>
      <w:pPr>
        <w:ind w:left="4669" w:hanging="156"/>
      </w:pPr>
      <w:rPr>
        <w:rFonts w:hint="default"/>
        <w:lang w:val="es-MX" w:eastAsia="es-MX" w:bidi="es-MX"/>
      </w:rPr>
    </w:lvl>
    <w:lvl w:ilvl="7" w:tplc="D026D7DE">
      <w:numFmt w:val="bullet"/>
      <w:lvlText w:val="•"/>
      <w:lvlJc w:val="left"/>
      <w:pPr>
        <w:ind w:left="5404" w:hanging="156"/>
      </w:pPr>
      <w:rPr>
        <w:rFonts w:hint="default"/>
        <w:lang w:val="es-MX" w:eastAsia="es-MX" w:bidi="es-MX"/>
      </w:rPr>
    </w:lvl>
    <w:lvl w:ilvl="8" w:tplc="E216F204">
      <w:numFmt w:val="bullet"/>
      <w:lvlText w:val="•"/>
      <w:lvlJc w:val="left"/>
      <w:pPr>
        <w:ind w:left="6139" w:hanging="156"/>
      </w:pPr>
      <w:rPr>
        <w:rFonts w:hint="default"/>
        <w:lang w:val="es-MX" w:eastAsia="es-MX" w:bidi="es-MX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F8"/>
    <w:rsid w:val="000D37F8"/>
    <w:rsid w:val="003606B8"/>
    <w:rsid w:val="003F0179"/>
    <w:rsid w:val="00437B81"/>
    <w:rsid w:val="00474ACC"/>
    <w:rsid w:val="00537EE1"/>
    <w:rsid w:val="005659F0"/>
    <w:rsid w:val="007600A7"/>
    <w:rsid w:val="008E0FF0"/>
    <w:rsid w:val="00C35B9E"/>
    <w:rsid w:val="00D0350D"/>
    <w:rsid w:val="00D51C29"/>
    <w:rsid w:val="00E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B3B8"/>
  <w15:docId w15:val="{047525B3-D11C-45AC-9CEB-AFAC8F2C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51C2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1C2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7B8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0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0A7"/>
    <w:rPr>
      <w:rFonts w:ascii="Century Gothic" w:eastAsia="Century Gothic" w:hAnsi="Century Gothic" w:cs="Century Gothic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60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0A7"/>
    <w:rPr>
      <w:rFonts w:ascii="Century Gothic" w:eastAsia="Century Gothic" w:hAnsi="Century Gothic" w:cs="Century Gothic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go.gob.mx/2018/documentos/LEY_INSTITUCIONES_PROCEDIMIENTOS_ELECTORALE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e.gob.mx/legislacion/page/seleccion/4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2277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Isay Martínez Flores</dc:creator>
  <cp:lastModifiedBy>Luis Enrique González Ortega</cp:lastModifiedBy>
  <cp:revision>8</cp:revision>
  <dcterms:created xsi:type="dcterms:W3CDTF">2021-11-02T18:31:00Z</dcterms:created>
  <dcterms:modified xsi:type="dcterms:W3CDTF">2021-11-09T22:51:00Z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