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1DFD" w14:textId="77777777" w:rsidR="004F35DF" w:rsidRDefault="004F35DF">
      <w:pPr>
        <w:spacing w:after="0"/>
        <w:ind w:left="-24" w:right="17248"/>
        <w:jc w:val="both"/>
      </w:pPr>
    </w:p>
    <w:tbl>
      <w:tblPr>
        <w:tblStyle w:val="TableGrid"/>
        <w:tblW w:w="17577" w:type="dxa"/>
        <w:tblInd w:w="-5" w:type="dxa"/>
        <w:tblLayout w:type="fixed"/>
        <w:tblCellMar>
          <w:top w:w="61" w:type="dxa"/>
          <w:left w:w="108" w:type="dxa"/>
          <w:right w:w="51" w:type="dxa"/>
        </w:tblCellMar>
        <w:tblLook w:val="04A0" w:firstRow="1" w:lastRow="0" w:firstColumn="1" w:lastColumn="0" w:noHBand="0" w:noVBand="1"/>
      </w:tblPr>
      <w:tblGrid>
        <w:gridCol w:w="734"/>
        <w:gridCol w:w="1251"/>
        <w:gridCol w:w="3118"/>
        <w:gridCol w:w="12474"/>
      </w:tblGrid>
      <w:tr w:rsidR="00E37584" w14:paraId="27209C91" w14:textId="77777777" w:rsidTr="00E37584">
        <w:trPr>
          <w:trHeight w:val="408"/>
          <w:tblHeader/>
        </w:trPr>
        <w:tc>
          <w:tcPr>
            <w:tcW w:w="734" w:type="dxa"/>
            <w:tcBorders>
              <w:top w:val="single" w:sz="4" w:space="0" w:color="BFBFBF"/>
              <w:left w:val="single" w:sz="4" w:space="0" w:color="BFBFBF"/>
              <w:bottom w:val="single" w:sz="4" w:space="0" w:color="BFBFBF"/>
              <w:right w:val="single" w:sz="4" w:space="0" w:color="BFBFBF"/>
            </w:tcBorders>
            <w:shd w:val="clear" w:color="auto" w:fill="76923C"/>
          </w:tcPr>
          <w:p w14:paraId="78B35B6F" w14:textId="77777777" w:rsidR="00E37584" w:rsidRDefault="00E37584">
            <w:pPr>
              <w:ind w:left="191"/>
              <w:jc w:val="center"/>
            </w:pPr>
            <w:r>
              <w:rPr>
                <w:rFonts w:ascii="Century Gothic" w:eastAsia="Century Gothic" w:hAnsi="Century Gothic" w:cs="Century Gothic"/>
                <w:b/>
                <w:color w:val="FFFFFF"/>
                <w:sz w:val="20"/>
              </w:rPr>
              <w:t xml:space="preserve"> </w:t>
            </w:r>
          </w:p>
        </w:tc>
        <w:tc>
          <w:tcPr>
            <w:tcW w:w="1251" w:type="dxa"/>
            <w:tcBorders>
              <w:top w:val="single" w:sz="4" w:space="0" w:color="BFBFBF"/>
              <w:left w:val="single" w:sz="4" w:space="0" w:color="BFBFBF"/>
              <w:bottom w:val="single" w:sz="4" w:space="0" w:color="BFBFBF"/>
              <w:right w:val="single" w:sz="4" w:space="0" w:color="BFBFBF"/>
            </w:tcBorders>
            <w:shd w:val="clear" w:color="auto" w:fill="76923C"/>
          </w:tcPr>
          <w:p w14:paraId="13C79A14" w14:textId="77777777" w:rsidR="00E37584" w:rsidRDefault="00E37584">
            <w:pPr>
              <w:ind w:right="60"/>
              <w:jc w:val="center"/>
            </w:pPr>
            <w:r>
              <w:rPr>
                <w:rFonts w:ascii="Century Gothic" w:eastAsia="Century Gothic" w:hAnsi="Century Gothic" w:cs="Century Gothic"/>
                <w:b/>
                <w:color w:val="FFFFFF"/>
                <w:sz w:val="20"/>
              </w:rPr>
              <w:t xml:space="preserve">ESTADO </w:t>
            </w:r>
          </w:p>
        </w:tc>
        <w:tc>
          <w:tcPr>
            <w:tcW w:w="3118" w:type="dxa"/>
            <w:tcBorders>
              <w:top w:val="single" w:sz="4" w:space="0" w:color="BFBFBF"/>
              <w:left w:val="single" w:sz="4" w:space="0" w:color="BFBFBF"/>
              <w:bottom w:val="single" w:sz="4" w:space="0" w:color="BFBFBF"/>
              <w:right w:val="single" w:sz="4" w:space="0" w:color="BFBFBF"/>
            </w:tcBorders>
            <w:shd w:val="clear" w:color="auto" w:fill="76923C"/>
          </w:tcPr>
          <w:p w14:paraId="6B6EA257" w14:textId="77777777" w:rsidR="00E37584" w:rsidRDefault="00E37584">
            <w:pPr>
              <w:ind w:right="58"/>
              <w:jc w:val="center"/>
            </w:pPr>
            <w:r>
              <w:rPr>
                <w:rFonts w:ascii="Century Gothic" w:eastAsia="Century Gothic" w:hAnsi="Century Gothic" w:cs="Century Gothic"/>
                <w:b/>
                <w:color w:val="FFFFFF"/>
                <w:sz w:val="20"/>
              </w:rPr>
              <w:t xml:space="preserve">LEY </w:t>
            </w:r>
          </w:p>
        </w:tc>
        <w:tc>
          <w:tcPr>
            <w:tcW w:w="12474" w:type="dxa"/>
            <w:tcBorders>
              <w:top w:val="single" w:sz="4" w:space="0" w:color="BFBFBF"/>
              <w:left w:val="single" w:sz="4" w:space="0" w:color="BFBFBF"/>
              <w:bottom w:val="single" w:sz="4" w:space="0" w:color="BFBFBF"/>
              <w:right w:val="single" w:sz="4" w:space="0" w:color="BFBFBF"/>
            </w:tcBorders>
            <w:shd w:val="clear" w:color="auto" w:fill="76923C"/>
          </w:tcPr>
          <w:p w14:paraId="0E56E2D6" w14:textId="77777777" w:rsidR="00E37584" w:rsidRDefault="00E37584">
            <w:pPr>
              <w:ind w:right="58"/>
              <w:jc w:val="center"/>
            </w:pPr>
            <w:r>
              <w:rPr>
                <w:rFonts w:ascii="Century Gothic" w:eastAsia="Century Gothic" w:hAnsi="Century Gothic" w:cs="Century Gothic"/>
                <w:b/>
                <w:color w:val="FFFFFF"/>
                <w:sz w:val="20"/>
              </w:rPr>
              <w:t xml:space="preserve">ARTÍCULO (TRANSCRIPCIÓN) </w:t>
            </w:r>
          </w:p>
        </w:tc>
      </w:tr>
      <w:tr w:rsidR="00E37584" w14:paraId="2199D151" w14:textId="77777777" w:rsidTr="00E37584">
        <w:trPr>
          <w:trHeight w:val="2757"/>
        </w:trPr>
        <w:tc>
          <w:tcPr>
            <w:tcW w:w="73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92327CA" w14:textId="39A30F22" w:rsidR="00E37584" w:rsidRDefault="00E37584">
            <w:pPr>
              <w:ind w:right="419"/>
              <w:jc w:val="center"/>
              <w:rPr>
                <w:rFonts w:ascii="Arial" w:eastAsia="Arial" w:hAnsi="Arial" w:cs="Arial"/>
                <w:b/>
                <w:sz w:val="20"/>
              </w:rPr>
            </w:pPr>
            <w:r>
              <w:rPr>
                <w:rFonts w:ascii="Century Gothic" w:eastAsia="Century Gothic" w:hAnsi="Century Gothic" w:cs="Century Gothic"/>
                <w:b/>
                <w:sz w:val="20"/>
              </w:rPr>
              <w:t>1</w:t>
            </w:r>
            <w:r>
              <w:rPr>
                <w:rFonts w:ascii="Arial" w:eastAsia="Arial" w:hAnsi="Arial" w:cs="Arial"/>
                <w:b/>
                <w:sz w:val="20"/>
              </w:rPr>
              <w:t xml:space="preserve"> </w:t>
            </w:r>
          </w:p>
          <w:p w14:paraId="44BA444D" w14:textId="77777777" w:rsidR="00E37584" w:rsidRDefault="00E37584">
            <w:pPr>
              <w:ind w:right="419"/>
              <w:jc w:val="center"/>
              <w:rPr>
                <w:rFonts w:ascii="Arial" w:eastAsia="Arial" w:hAnsi="Arial" w:cs="Arial"/>
                <w:b/>
                <w:sz w:val="20"/>
              </w:rPr>
            </w:pPr>
          </w:p>
          <w:p w14:paraId="38DB2899" w14:textId="77777777" w:rsidR="00E37584" w:rsidRDefault="00E37584">
            <w:pPr>
              <w:ind w:right="419"/>
              <w:jc w:val="center"/>
              <w:rPr>
                <w:rFonts w:ascii="Arial" w:eastAsia="Arial" w:hAnsi="Arial" w:cs="Arial"/>
                <w:b/>
                <w:sz w:val="20"/>
              </w:rPr>
            </w:pPr>
          </w:p>
          <w:p w14:paraId="4AB13B44" w14:textId="77777777" w:rsidR="00E37584" w:rsidRDefault="00E37584">
            <w:pPr>
              <w:ind w:right="419"/>
              <w:jc w:val="center"/>
              <w:rPr>
                <w:rFonts w:ascii="Arial" w:eastAsia="Arial" w:hAnsi="Arial" w:cs="Arial"/>
                <w:b/>
                <w:sz w:val="20"/>
              </w:rPr>
            </w:pPr>
          </w:p>
          <w:p w14:paraId="0C3B76B3" w14:textId="77777777" w:rsidR="00E37584" w:rsidRDefault="00E37584">
            <w:pPr>
              <w:ind w:right="419"/>
              <w:jc w:val="center"/>
              <w:rPr>
                <w:rFonts w:ascii="Arial" w:eastAsia="Arial" w:hAnsi="Arial" w:cs="Arial"/>
                <w:b/>
                <w:sz w:val="20"/>
              </w:rPr>
            </w:pPr>
          </w:p>
          <w:p w14:paraId="60456015" w14:textId="77777777" w:rsidR="00E37584" w:rsidRDefault="00E37584">
            <w:pPr>
              <w:ind w:right="419"/>
              <w:jc w:val="center"/>
              <w:rPr>
                <w:rFonts w:ascii="Arial" w:eastAsia="Arial" w:hAnsi="Arial" w:cs="Arial"/>
                <w:b/>
                <w:sz w:val="20"/>
              </w:rPr>
            </w:pPr>
          </w:p>
          <w:p w14:paraId="6083E22A" w14:textId="77777777" w:rsidR="00E37584" w:rsidRDefault="00E37584">
            <w:pPr>
              <w:ind w:right="419"/>
              <w:jc w:val="center"/>
              <w:rPr>
                <w:rFonts w:ascii="Arial" w:eastAsia="Arial" w:hAnsi="Arial" w:cs="Arial"/>
                <w:b/>
                <w:sz w:val="20"/>
              </w:rPr>
            </w:pPr>
          </w:p>
          <w:p w14:paraId="3E884B9C" w14:textId="77777777" w:rsidR="00E37584" w:rsidRDefault="00E37584">
            <w:pPr>
              <w:ind w:right="419"/>
              <w:jc w:val="center"/>
              <w:rPr>
                <w:rFonts w:ascii="Arial" w:eastAsia="Arial" w:hAnsi="Arial" w:cs="Arial"/>
                <w:b/>
                <w:sz w:val="20"/>
              </w:rPr>
            </w:pPr>
          </w:p>
          <w:p w14:paraId="0DC97E29" w14:textId="77777777" w:rsidR="00E37584" w:rsidRDefault="00E37584">
            <w:pPr>
              <w:ind w:right="419"/>
              <w:jc w:val="center"/>
              <w:rPr>
                <w:rFonts w:ascii="Arial" w:eastAsia="Arial" w:hAnsi="Arial" w:cs="Arial"/>
                <w:b/>
                <w:sz w:val="20"/>
              </w:rPr>
            </w:pPr>
          </w:p>
          <w:p w14:paraId="05F9A03F" w14:textId="77777777" w:rsidR="00E37584" w:rsidRDefault="00E37584">
            <w:pPr>
              <w:ind w:right="419"/>
              <w:jc w:val="center"/>
              <w:rPr>
                <w:rFonts w:ascii="Arial" w:eastAsia="Arial" w:hAnsi="Arial" w:cs="Arial"/>
                <w:b/>
                <w:sz w:val="20"/>
              </w:rPr>
            </w:pPr>
          </w:p>
          <w:p w14:paraId="548550F3" w14:textId="77777777" w:rsidR="00E37584" w:rsidRDefault="00E37584">
            <w:pPr>
              <w:ind w:right="419"/>
              <w:jc w:val="center"/>
              <w:rPr>
                <w:rFonts w:ascii="Arial" w:eastAsia="Arial" w:hAnsi="Arial" w:cs="Arial"/>
                <w:b/>
                <w:sz w:val="20"/>
              </w:rPr>
            </w:pPr>
          </w:p>
          <w:p w14:paraId="197F5FBC" w14:textId="77777777" w:rsidR="00E37584" w:rsidRDefault="00E37584">
            <w:pPr>
              <w:ind w:right="419"/>
              <w:jc w:val="center"/>
              <w:rPr>
                <w:rFonts w:ascii="Arial" w:eastAsia="Arial" w:hAnsi="Arial" w:cs="Arial"/>
                <w:b/>
                <w:sz w:val="20"/>
              </w:rPr>
            </w:pPr>
          </w:p>
          <w:p w14:paraId="46886086" w14:textId="77777777" w:rsidR="00E37584" w:rsidRDefault="00E37584">
            <w:pPr>
              <w:ind w:right="419"/>
              <w:jc w:val="center"/>
              <w:rPr>
                <w:rFonts w:ascii="Arial" w:eastAsia="Arial" w:hAnsi="Arial" w:cs="Arial"/>
                <w:b/>
                <w:sz w:val="20"/>
              </w:rPr>
            </w:pPr>
          </w:p>
          <w:p w14:paraId="78EBDB7A" w14:textId="77777777" w:rsidR="00E37584" w:rsidRDefault="00E37584">
            <w:pPr>
              <w:ind w:right="419"/>
              <w:jc w:val="center"/>
              <w:rPr>
                <w:rFonts w:ascii="Arial" w:eastAsia="Arial" w:hAnsi="Arial" w:cs="Arial"/>
                <w:b/>
                <w:sz w:val="20"/>
              </w:rPr>
            </w:pPr>
          </w:p>
          <w:p w14:paraId="0B4FDF9E" w14:textId="77777777" w:rsidR="00E37584" w:rsidRDefault="00E37584">
            <w:pPr>
              <w:ind w:right="419"/>
              <w:jc w:val="center"/>
              <w:rPr>
                <w:rFonts w:ascii="Arial" w:eastAsia="Arial" w:hAnsi="Arial" w:cs="Arial"/>
                <w:b/>
                <w:sz w:val="20"/>
              </w:rPr>
            </w:pPr>
          </w:p>
          <w:p w14:paraId="12427376" w14:textId="77777777" w:rsidR="00E37584" w:rsidRDefault="00E37584">
            <w:pPr>
              <w:ind w:right="419"/>
              <w:jc w:val="center"/>
              <w:rPr>
                <w:rFonts w:ascii="Arial" w:eastAsia="Arial" w:hAnsi="Arial" w:cs="Arial"/>
                <w:b/>
                <w:sz w:val="20"/>
              </w:rPr>
            </w:pPr>
          </w:p>
          <w:p w14:paraId="1A543F26" w14:textId="77777777" w:rsidR="00E37584" w:rsidRDefault="00E37584">
            <w:pPr>
              <w:ind w:right="419"/>
              <w:jc w:val="center"/>
              <w:rPr>
                <w:rFonts w:ascii="Arial" w:eastAsia="Arial" w:hAnsi="Arial" w:cs="Arial"/>
                <w:b/>
                <w:sz w:val="20"/>
              </w:rPr>
            </w:pPr>
          </w:p>
          <w:p w14:paraId="2D076102" w14:textId="77777777" w:rsidR="00E37584" w:rsidRDefault="00E37584">
            <w:pPr>
              <w:ind w:right="419"/>
              <w:jc w:val="center"/>
              <w:rPr>
                <w:rFonts w:ascii="Arial" w:eastAsia="Arial" w:hAnsi="Arial" w:cs="Arial"/>
                <w:b/>
                <w:sz w:val="20"/>
              </w:rPr>
            </w:pPr>
          </w:p>
          <w:p w14:paraId="0F215927" w14:textId="77777777" w:rsidR="00E37584" w:rsidRDefault="00E37584">
            <w:pPr>
              <w:ind w:right="419"/>
              <w:jc w:val="center"/>
              <w:rPr>
                <w:rFonts w:ascii="Arial" w:eastAsia="Arial" w:hAnsi="Arial" w:cs="Arial"/>
                <w:b/>
                <w:sz w:val="20"/>
              </w:rPr>
            </w:pPr>
          </w:p>
          <w:p w14:paraId="0D65F554" w14:textId="77777777" w:rsidR="00E37584" w:rsidRDefault="00E37584">
            <w:pPr>
              <w:ind w:right="419"/>
              <w:jc w:val="center"/>
              <w:rPr>
                <w:rFonts w:ascii="Arial" w:eastAsia="Arial" w:hAnsi="Arial" w:cs="Arial"/>
                <w:b/>
                <w:sz w:val="20"/>
              </w:rPr>
            </w:pPr>
          </w:p>
          <w:p w14:paraId="1B8147EC" w14:textId="77777777" w:rsidR="00E37584" w:rsidRDefault="00E37584">
            <w:pPr>
              <w:ind w:right="419"/>
              <w:jc w:val="center"/>
              <w:rPr>
                <w:rFonts w:ascii="Arial" w:eastAsia="Arial" w:hAnsi="Arial" w:cs="Arial"/>
                <w:b/>
                <w:sz w:val="20"/>
              </w:rPr>
            </w:pPr>
          </w:p>
          <w:p w14:paraId="49B0E93F" w14:textId="77777777" w:rsidR="00E37584" w:rsidRDefault="00E37584">
            <w:pPr>
              <w:ind w:right="419"/>
              <w:jc w:val="center"/>
              <w:rPr>
                <w:rFonts w:ascii="Arial" w:eastAsia="Arial" w:hAnsi="Arial" w:cs="Arial"/>
                <w:b/>
                <w:sz w:val="20"/>
              </w:rPr>
            </w:pPr>
          </w:p>
          <w:p w14:paraId="22F0FECA" w14:textId="77777777" w:rsidR="00E37584" w:rsidRDefault="00E37584">
            <w:pPr>
              <w:ind w:right="419"/>
              <w:jc w:val="center"/>
              <w:rPr>
                <w:rFonts w:ascii="Arial" w:eastAsia="Arial" w:hAnsi="Arial" w:cs="Arial"/>
                <w:b/>
                <w:sz w:val="20"/>
              </w:rPr>
            </w:pPr>
          </w:p>
          <w:p w14:paraId="126B4A40" w14:textId="77777777" w:rsidR="00E37584" w:rsidRDefault="00E37584">
            <w:pPr>
              <w:ind w:right="419"/>
              <w:jc w:val="center"/>
              <w:rPr>
                <w:rFonts w:ascii="Arial" w:eastAsia="Arial" w:hAnsi="Arial" w:cs="Arial"/>
                <w:b/>
                <w:sz w:val="20"/>
              </w:rPr>
            </w:pPr>
          </w:p>
          <w:p w14:paraId="390C3BF0" w14:textId="77777777" w:rsidR="00E37584" w:rsidRDefault="00E37584">
            <w:pPr>
              <w:ind w:right="419"/>
              <w:jc w:val="center"/>
              <w:rPr>
                <w:rFonts w:ascii="Arial" w:eastAsia="Arial" w:hAnsi="Arial" w:cs="Arial"/>
                <w:b/>
                <w:sz w:val="20"/>
              </w:rPr>
            </w:pPr>
          </w:p>
          <w:p w14:paraId="256432FE" w14:textId="77777777" w:rsidR="00E37584" w:rsidRDefault="00E37584">
            <w:pPr>
              <w:ind w:right="419"/>
              <w:jc w:val="center"/>
              <w:rPr>
                <w:rFonts w:ascii="Arial" w:eastAsia="Arial" w:hAnsi="Arial" w:cs="Arial"/>
                <w:b/>
                <w:sz w:val="20"/>
              </w:rPr>
            </w:pPr>
          </w:p>
          <w:p w14:paraId="1004F4B9" w14:textId="77777777" w:rsidR="00E37584" w:rsidRDefault="00E37584">
            <w:pPr>
              <w:ind w:right="419"/>
              <w:jc w:val="center"/>
              <w:rPr>
                <w:rFonts w:ascii="Arial" w:eastAsia="Arial" w:hAnsi="Arial" w:cs="Arial"/>
                <w:b/>
                <w:sz w:val="20"/>
              </w:rPr>
            </w:pPr>
          </w:p>
          <w:p w14:paraId="292D0465" w14:textId="77777777" w:rsidR="00E37584" w:rsidRDefault="00E37584">
            <w:pPr>
              <w:ind w:right="419"/>
              <w:jc w:val="center"/>
              <w:rPr>
                <w:rFonts w:ascii="Arial" w:eastAsia="Arial" w:hAnsi="Arial" w:cs="Arial"/>
                <w:b/>
                <w:sz w:val="20"/>
              </w:rPr>
            </w:pPr>
          </w:p>
          <w:p w14:paraId="3F0E7075" w14:textId="77777777" w:rsidR="00E37584" w:rsidRDefault="00E37584">
            <w:pPr>
              <w:ind w:right="419"/>
              <w:jc w:val="center"/>
              <w:rPr>
                <w:rFonts w:ascii="Arial" w:eastAsia="Arial" w:hAnsi="Arial" w:cs="Arial"/>
                <w:b/>
                <w:sz w:val="20"/>
              </w:rPr>
            </w:pPr>
          </w:p>
          <w:p w14:paraId="27FD0336" w14:textId="77777777" w:rsidR="00E37584" w:rsidRDefault="00E37584">
            <w:pPr>
              <w:ind w:right="419"/>
              <w:jc w:val="center"/>
              <w:rPr>
                <w:rFonts w:ascii="Arial" w:eastAsia="Arial" w:hAnsi="Arial" w:cs="Arial"/>
                <w:b/>
                <w:sz w:val="20"/>
              </w:rPr>
            </w:pPr>
          </w:p>
          <w:p w14:paraId="3070E5C4" w14:textId="77777777" w:rsidR="00E37584" w:rsidRDefault="00E37584">
            <w:pPr>
              <w:ind w:right="419"/>
              <w:jc w:val="center"/>
              <w:rPr>
                <w:rFonts w:ascii="Arial" w:eastAsia="Arial" w:hAnsi="Arial" w:cs="Arial"/>
                <w:b/>
                <w:sz w:val="20"/>
              </w:rPr>
            </w:pPr>
          </w:p>
          <w:p w14:paraId="762B5E0D" w14:textId="77777777" w:rsidR="00E37584" w:rsidRDefault="00E37584">
            <w:pPr>
              <w:ind w:right="419"/>
              <w:jc w:val="center"/>
              <w:rPr>
                <w:rFonts w:ascii="Arial" w:eastAsia="Arial" w:hAnsi="Arial" w:cs="Arial"/>
                <w:b/>
                <w:sz w:val="20"/>
              </w:rPr>
            </w:pPr>
          </w:p>
          <w:p w14:paraId="78C40E5B" w14:textId="77777777" w:rsidR="00E37584" w:rsidRDefault="00E37584">
            <w:pPr>
              <w:ind w:right="419"/>
              <w:jc w:val="center"/>
              <w:rPr>
                <w:rFonts w:ascii="Arial" w:eastAsia="Arial" w:hAnsi="Arial" w:cs="Arial"/>
                <w:b/>
                <w:sz w:val="20"/>
              </w:rPr>
            </w:pPr>
          </w:p>
          <w:p w14:paraId="1467C028" w14:textId="77777777" w:rsidR="00E37584" w:rsidRDefault="00E37584">
            <w:pPr>
              <w:ind w:right="419"/>
              <w:jc w:val="center"/>
              <w:rPr>
                <w:rFonts w:ascii="Arial" w:eastAsia="Arial" w:hAnsi="Arial" w:cs="Arial"/>
                <w:b/>
                <w:sz w:val="20"/>
              </w:rPr>
            </w:pPr>
          </w:p>
          <w:p w14:paraId="6B438530" w14:textId="77777777" w:rsidR="00E37584" w:rsidRDefault="00E37584">
            <w:pPr>
              <w:ind w:right="419"/>
              <w:jc w:val="center"/>
            </w:pPr>
            <w:r>
              <w:rPr>
                <w:rFonts w:ascii="Century Gothic" w:eastAsia="Century Gothic" w:hAnsi="Century Gothic" w:cs="Century Gothic"/>
                <w:b/>
                <w:sz w:val="20"/>
              </w:rPr>
              <w:t xml:space="preserve"> </w:t>
            </w:r>
          </w:p>
        </w:tc>
        <w:tc>
          <w:tcPr>
            <w:tcW w:w="125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859674B" w14:textId="77777777" w:rsidR="00E37584" w:rsidRPr="004004CC" w:rsidRDefault="00E37584">
            <w:pPr>
              <w:ind w:right="60"/>
              <w:jc w:val="center"/>
              <w:rPr>
                <w:b/>
              </w:rPr>
            </w:pPr>
            <w:r w:rsidRPr="004004CC">
              <w:rPr>
                <w:b/>
              </w:rPr>
              <w:lastRenderedPageBreak/>
              <w:t>NUEVO LEÓN</w:t>
            </w:r>
          </w:p>
          <w:p w14:paraId="38DC6E9B" w14:textId="77777777" w:rsidR="00E37584" w:rsidRPr="004004CC" w:rsidRDefault="00E37584">
            <w:pPr>
              <w:ind w:right="60"/>
              <w:jc w:val="center"/>
              <w:rPr>
                <w:b/>
              </w:rPr>
            </w:pPr>
          </w:p>
          <w:p w14:paraId="7B8BF949" w14:textId="77777777" w:rsidR="00E37584" w:rsidRPr="004004CC" w:rsidRDefault="00E37584">
            <w:pPr>
              <w:ind w:right="60"/>
              <w:jc w:val="center"/>
              <w:rPr>
                <w:b/>
              </w:rPr>
            </w:pPr>
          </w:p>
          <w:p w14:paraId="43E76293" w14:textId="77777777" w:rsidR="00E37584" w:rsidRPr="004004CC" w:rsidRDefault="00E37584">
            <w:pPr>
              <w:ind w:right="60"/>
              <w:jc w:val="center"/>
              <w:rPr>
                <w:b/>
              </w:rPr>
            </w:pPr>
          </w:p>
          <w:p w14:paraId="1EBD8163" w14:textId="77777777" w:rsidR="00E37584" w:rsidRPr="004004CC" w:rsidRDefault="00E37584">
            <w:pPr>
              <w:ind w:right="60"/>
              <w:jc w:val="center"/>
              <w:rPr>
                <w:b/>
              </w:rPr>
            </w:pPr>
          </w:p>
          <w:p w14:paraId="67198097" w14:textId="77777777" w:rsidR="00E37584" w:rsidRPr="004004CC" w:rsidRDefault="00E37584">
            <w:pPr>
              <w:ind w:right="60"/>
              <w:jc w:val="center"/>
              <w:rPr>
                <w:b/>
              </w:rPr>
            </w:pPr>
          </w:p>
          <w:p w14:paraId="58670196" w14:textId="77777777" w:rsidR="00E37584" w:rsidRPr="004004CC" w:rsidRDefault="00E37584">
            <w:pPr>
              <w:ind w:right="60"/>
              <w:jc w:val="center"/>
              <w:rPr>
                <w:b/>
              </w:rPr>
            </w:pPr>
          </w:p>
          <w:p w14:paraId="02B4C471" w14:textId="77777777" w:rsidR="00E37584" w:rsidRPr="004004CC" w:rsidRDefault="00E37584">
            <w:pPr>
              <w:ind w:right="60"/>
              <w:jc w:val="center"/>
              <w:rPr>
                <w:b/>
              </w:rPr>
            </w:pPr>
          </w:p>
          <w:p w14:paraId="6BE0DA92" w14:textId="77777777" w:rsidR="00E37584" w:rsidRPr="004004CC" w:rsidRDefault="00E37584">
            <w:pPr>
              <w:ind w:right="60"/>
              <w:jc w:val="center"/>
              <w:rPr>
                <w:b/>
              </w:rPr>
            </w:pPr>
          </w:p>
          <w:p w14:paraId="2C2E03BC" w14:textId="77777777" w:rsidR="00E37584" w:rsidRPr="004004CC" w:rsidRDefault="00E37584">
            <w:pPr>
              <w:ind w:right="60"/>
              <w:jc w:val="center"/>
              <w:rPr>
                <w:b/>
              </w:rPr>
            </w:pPr>
          </w:p>
          <w:p w14:paraId="7C52150A" w14:textId="77777777" w:rsidR="00E37584" w:rsidRPr="004004CC" w:rsidRDefault="00E37584">
            <w:pPr>
              <w:ind w:right="60"/>
              <w:jc w:val="center"/>
              <w:rPr>
                <w:b/>
              </w:rPr>
            </w:pPr>
          </w:p>
          <w:p w14:paraId="73FE275A" w14:textId="77777777" w:rsidR="00E37584" w:rsidRPr="004004CC" w:rsidRDefault="00E37584">
            <w:pPr>
              <w:ind w:right="60"/>
              <w:jc w:val="center"/>
              <w:rPr>
                <w:b/>
              </w:rPr>
            </w:pPr>
          </w:p>
          <w:p w14:paraId="7838984F" w14:textId="77777777" w:rsidR="00E37584" w:rsidRPr="004004CC" w:rsidRDefault="00E37584">
            <w:pPr>
              <w:ind w:right="60"/>
              <w:jc w:val="center"/>
              <w:rPr>
                <w:b/>
              </w:rPr>
            </w:pPr>
          </w:p>
          <w:p w14:paraId="2E380F34" w14:textId="77777777" w:rsidR="00E37584" w:rsidRPr="004004CC" w:rsidRDefault="00E37584">
            <w:pPr>
              <w:ind w:right="60"/>
              <w:jc w:val="center"/>
              <w:rPr>
                <w:b/>
              </w:rPr>
            </w:pPr>
          </w:p>
          <w:p w14:paraId="37AC0526" w14:textId="77777777" w:rsidR="00E37584" w:rsidRPr="004004CC" w:rsidRDefault="00E37584">
            <w:pPr>
              <w:ind w:right="60"/>
              <w:jc w:val="center"/>
              <w:rPr>
                <w:b/>
              </w:rPr>
            </w:pPr>
          </w:p>
          <w:p w14:paraId="5D4E52AD" w14:textId="77777777" w:rsidR="00E37584" w:rsidRPr="004004CC" w:rsidRDefault="00E37584">
            <w:pPr>
              <w:ind w:right="60"/>
              <w:jc w:val="center"/>
              <w:rPr>
                <w:b/>
              </w:rPr>
            </w:pPr>
          </w:p>
          <w:p w14:paraId="20C6A8D1" w14:textId="77777777" w:rsidR="00E37584" w:rsidRPr="004004CC" w:rsidRDefault="00E37584">
            <w:pPr>
              <w:ind w:right="60"/>
              <w:jc w:val="center"/>
              <w:rPr>
                <w:b/>
              </w:rPr>
            </w:pPr>
          </w:p>
          <w:p w14:paraId="004717F8" w14:textId="77777777" w:rsidR="00E37584" w:rsidRPr="004004CC" w:rsidRDefault="00E37584">
            <w:pPr>
              <w:ind w:right="60"/>
              <w:jc w:val="center"/>
              <w:rPr>
                <w:b/>
              </w:rPr>
            </w:pPr>
          </w:p>
          <w:p w14:paraId="426F47DB" w14:textId="77777777" w:rsidR="00E37584" w:rsidRPr="004004CC" w:rsidRDefault="00E37584">
            <w:pPr>
              <w:ind w:right="60"/>
              <w:jc w:val="center"/>
              <w:rPr>
                <w:b/>
              </w:rPr>
            </w:pPr>
          </w:p>
          <w:p w14:paraId="42247055" w14:textId="77777777" w:rsidR="00E37584" w:rsidRPr="004004CC" w:rsidRDefault="00E37584">
            <w:pPr>
              <w:ind w:right="60"/>
              <w:jc w:val="center"/>
              <w:rPr>
                <w:b/>
              </w:rPr>
            </w:pPr>
          </w:p>
          <w:p w14:paraId="0AF63197" w14:textId="77777777" w:rsidR="00E37584" w:rsidRPr="004004CC" w:rsidRDefault="00E37584">
            <w:pPr>
              <w:ind w:right="60"/>
              <w:jc w:val="center"/>
              <w:rPr>
                <w:b/>
              </w:rPr>
            </w:pPr>
          </w:p>
          <w:p w14:paraId="21D936FD" w14:textId="77777777" w:rsidR="00E37584" w:rsidRPr="004004CC" w:rsidRDefault="00E37584">
            <w:pPr>
              <w:ind w:right="60"/>
              <w:jc w:val="center"/>
              <w:rPr>
                <w:b/>
              </w:rPr>
            </w:pPr>
          </w:p>
          <w:p w14:paraId="251F462D" w14:textId="77777777" w:rsidR="00E37584" w:rsidRPr="004004CC" w:rsidRDefault="00E37584">
            <w:pPr>
              <w:ind w:right="60"/>
              <w:jc w:val="center"/>
              <w:rPr>
                <w:b/>
              </w:rPr>
            </w:pPr>
          </w:p>
          <w:p w14:paraId="3BD40404" w14:textId="77777777" w:rsidR="00E37584" w:rsidRPr="004004CC" w:rsidRDefault="00E37584">
            <w:pPr>
              <w:ind w:right="60"/>
              <w:jc w:val="center"/>
              <w:rPr>
                <w:b/>
              </w:rPr>
            </w:pPr>
          </w:p>
          <w:p w14:paraId="4FAAD4DC" w14:textId="77777777" w:rsidR="00E37584" w:rsidRPr="004004CC" w:rsidRDefault="00E37584">
            <w:pPr>
              <w:ind w:right="60"/>
              <w:jc w:val="center"/>
              <w:rPr>
                <w:b/>
              </w:rPr>
            </w:pPr>
          </w:p>
          <w:p w14:paraId="67B4D9BB" w14:textId="77777777" w:rsidR="00E37584" w:rsidRPr="004004CC" w:rsidRDefault="00E37584">
            <w:pPr>
              <w:ind w:right="60"/>
              <w:jc w:val="center"/>
              <w:rPr>
                <w:b/>
              </w:rPr>
            </w:pPr>
          </w:p>
          <w:p w14:paraId="2011C4A9" w14:textId="77777777" w:rsidR="00E37584" w:rsidRPr="004004CC" w:rsidRDefault="00E37584">
            <w:pPr>
              <w:ind w:right="60"/>
              <w:jc w:val="center"/>
              <w:rPr>
                <w:b/>
              </w:rPr>
            </w:pPr>
          </w:p>
          <w:p w14:paraId="64B2462F" w14:textId="77777777" w:rsidR="00E37584" w:rsidRPr="004004CC" w:rsidRDefault="00E37584">
            <w:pPr>
              <w:ind w:right="60"/>
              <w:jc w:val="center"/>
              <w:rPr>
                <w:b/>
              </w:rPr>
            </w:pPr>
          </w:p>
        </w:tc>
        <w:tc>
          <w:tcPr>
            <w:tcW w:w="31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63B5B28" w14:textId="77777777" w:rsidR="00E37584" w:rsidRPr="00E37584" w:rsidRDefault="00E37584" w:rsidP="004004CC">
            <w:pPr>
              <w:ind w:left="65"/>
              <w:jc w:val="center"/>
              <w:rPr>
                <w:b/>
                <w:bCs/>
                <w:color w:val="auto"/>
              </w:rPr>
            </w:pPr>
            <w:hyperlink r:id="rId7" w:history="1">
              <w:r w:rsidRPr="00E37584">
                <w:rPr>
                  <w:rStyle w:val="Hipervnculo"/>
                  <w:b/>
                  <w:bCs/>
                  <w:color w:val="auto"/>
                  <w:u w:val="none"/>
                </w:rPr>
                <w:t>Constitución Política del Estado Libre y Soberano de Nuevo León</w:t>
              </w:r>
            </w:hyperlink>
          </w:p>
          <w:p w14:paraId="4E24DE74" w14:textId="77777777" w:rsidR="00E37584" w:rsidRPr="004004CC" w:rsidRDefault="00E37584">
            <w:pPr>
              <w:ind w:left="65"/>
            </w:pPr>
          </w:p>
          <w:p w14:paraId="7776E892" w14:textId="77777777" w:rsidR="00E37584" w:rsidRPr="004004CC" w:rsidRDefault="00E37584">
            <w:pPr>
              <w:ind w:left="65"/>
            </w:pPr>
          </w:p>
          <w:p w14:paraId="27C5207A" w14:textId="77777777" w:rsidR="00E37584" w:rsidRPr="004004CC" w:rsidRDefault="00E37584">
            <w:pPr>
              <w:ind w:left="65"/>
            </w:pPr>
          </w:p>
          <w:p w14:paraId="507BB07A" w14:textId="77777777" w:rsidR="00E37584" w:rsidRPr="004004CC" w:rsidRDefault="00E37584">
            <w:pPr>
              <w:ind w:left="65"/>
            </w:pPr>
          </w:p>
          <w:p w14:paraId="342E0F17" w14:textId="77777777" w:rsidR="00E37584" w:rsidRPr="004004CC" w:rsidRDefault="00E37584">
            <w:pPr>
              <w:ind w:left="65"/>
            </w:pPr>
          </w:p>
          <w:p w14:paraId="6605A5DE" w14:textId="77777777" w:rsidR="00E37584" w:rsidRPr="004004CC" w:rsidRDefault="00E37584">
            <w:pPr>
              <w:ind w:left="65"/>
            </w:pPr>
          </w:p>
          <w:p w14:paraId="01B91E8D" w14:textId="77777777" w:rsidR="00E37584" w:rsidRPr="004004CC" w:rsidRDefault="00E37584">
            <w:pPr>
              <w:ind w:left="65"/>
            </w:pPr>
          </w:p>
          <w:p w14:paraId="35D5C617" w14:textId="77777777" w:rsidR="00E37584" w:rsidRPr="004004CC" w:rsidRDefault="00E37584">
            <w:pPr>
              <w:ind w:left="65"/>
            </w:pPr>
          </w:p>
          <w:p w14:paraId="651D230B" w14:textId="77777777" w:rsidR="00E37584" w:rsidRPr="004004CC" w:rsidRDefault="00E37584">
            <w:pPr>
              <w:ind w:left="65"/>
            </w:pPr>
          </w:p>
          <w:p w14:paraId="29D640CD" w14:textId="77777777" w:rsidR="00E37584" w:rsidRPr="004004CC" w:rsidRDefault="00E37584">
            <w:pPr>
              <w:ind w:left="65"/>
            </w:pPr>
          </w:p>
          <w:p w14:paraId="1B80D037" w14:textId="77777777" w:rsidR="00E37584" w:rsidRPr="004004CC" w:rsidRDefault="00E37584">
            <w:pPr>
              <w:ind w:left="65"/>
            </w:pPr>
          </w:p>
          <w:p w14:paraId="37C09C5B" w14:textId="77777777" w:rsidR="00E37584" w:rsidRPr="004004CC" w:rsidRDefault="00E37584">
            <w:pPr>
              <w:ind w:left="65"/>
            </w:pPr>
          </w:p>
          <w:p w14:paraId="733B28BF" w14:textId="77777777" w:rsidR="00E37584" w:rsidRPr="004004CC" w:rsidRDefault="00E37584">
            <w:pPr>
              <w:ind w:left="65"/>
            </w:pPr>
          </w:p>
          <w:p w14:paraId="3F97117C" w14:textId="77777777" w:rsidR="00E37584" w:rsidRPr="004004CC" w:rsidRDefault="00E37584">
            <w:pPr>
              <w:ind w:left="65"/>
            </w:pPr>
          </w:p>
          <w:p w14:paraId="2186A3AE" w14:textId="77777777" w:rsidR="00E37584" w:rsidRPr="004004CC" w:rsidRDefault="00E37584">
            <w:pPr>
              <w:ind w:left="65"/>
            </w:pPr>
          </w:p>
          <w:p w14:paraId="454217B0" w14:textId="77777777" w:rsidR="00E37584" w:rsidRPr="004004CC" w:rsidRDefault="00E37584">
            <w:pPr>
              <w:ind w:left="65"/>
            </w:pPr>
          </w:p>
          <w:p w14:paraId="13938DBC" w14:textId="77777777" w:rsidR="00E37584" w:rsidRPr="004004CC" w:rsidRDefault="00E37584">
            <w:pPr>
              <w:ind w:left="65"/>
            </w:pPr>
          </w:p>
          <w:p w14:paraId="1EB13420" w14:textId="77777777" w:rsidR="00E37584" w:rsidRPr="004004CC" w:rsidRDefault="00E37584">
            <w:pPr>
              <w:ind w:left="65"/>
            </w:pPr>
          </w:p>
          <w:p w14:paraId="0F296667" w14:textId="77777777" w:rsidR="00E37584" w:rsidRPr="004004CC" w:rsidRDefault="00E37584">
            <w:pPr>
              <w:ind w:left="65"/>
            </w:pPr>
          </w:p>
          <w:p w14:paraId="424A286D" w14:textId="77777777" w:rsidR="00E37584" w:rsidRPr="004004CC" w:rsidRDefault="00E37584">
            <w:pPr>
              <w:ind w:left="65"/>
            </w:pPr>
          </w:p>
          <w:p w14:paraId="31FDC17A" w14:textId="77777777" w:rsidR="00E37584" w:rsidRPr="004004CC" w:rsidRDefault="00E37584">
            <w:pPr>
              <w:ind w:left="65"/>
            </w:pPr>
          </w:p>
          <w:p w14:paraId="6EF44407" w14:textId="77777777" w:rsidR="00E37584" w:rsidRPr="004004CC" w:rsidRDefault="00E37584">
            <w:pPr>
              <w:ind w:left="65"/>
            </w:pPr>
          </w:p>
          <w:p w14:paraId="2BE2B129" w14:textId="77777777" w:rsidR="00E37584" w:rsidRPr="004004CC" w:rsidRDefault="00E37584">
            <w:pPr>
              <w:ind w:left="65"/>
            </w:pPr>
          </w:p>
          <w:p w14:paraId="32B34C09" w14:textId="77777777" w:rsidR="00E37584" w:rsidRPr="004004CC" w:rsidRDefault="00E37584">
            <w:pPr>
              <w:ind w:left="65"/>
            </w:pPr>
          </w:p>
          <w:p w14:paraId="2378BC74" w14:textId="77777777" w:rsidR="00E37584" w:rsidRPr="004004CC" w:rsidRDefault="00E37584">
            <w:pPr>
              <w:ind w:left="65"/>
            </w:pPr>
          </w:p>
          <w:p w14:paraId="69E2770B" w14:textId="77777777" w:rsidR="00E37584" w:rsidRPr="004004CC" w:rsidRDefault="00E37584">
            <w:pPr>
              <w:ind w:left="65"/>
            </w:pPr>
          </w:p>
          <w:p w14:paraId="2FFDD716" w14:textId="77777777" w:rsidR="00E37584" w:rsidRPr="004004CC" w:rsidRDefault="00E37584">
            <w:pPr>
              <w:ind w:left="65"/>
            </w:pPr>
          </w:p>
          <w:p w14:paraId="383124A9" w14:textId="77777777" w:rsidR="00E37584" w:rsidRPr="004004CC" w:rsidRDefault="00E37584">
            <w:pPr>
              <w:ind w:left="65"/>
            </w:pPr>
          </w:p>
        </w:tc>
        <w:tc>
          <w:tcPr>
            <w:tcW w:w="1247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0582DAD" w14:textId="77777777" w:rsidR="00E37584" w:rsidRPr="004004CC"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b/>
                <w:bCs/>
                <w:sz w:val="20"/>
                <w:szCs w:val="20"/>
              </w:rPr>
              <w:lastRenderedPageBreak/>
              <w:t>ARTÍCULO 42.-</w:t>
            </w:r>
            <w:r w:rsidRPr="004004CC">
              <w:rPr>
                <w:rFonts w:ascii="Century Gothic" w:eastAsiaTheme="minorEastAsia" w:hAnsi="Century Gothic" w:cs="Century Gothic"/>
                <w:sz w:val="20"/>
                <w:szCs w:val="20"/>
              </w:rPr>
              <w:t xml:space="preserve"> Los partidos políticos son entidades de interés público. Tienen como finalidad promover la organización y participación de los ciudadanos en la vida democrática y permitir el acceso de éstos a la integración de los órganos de representación popular, de acuerdo con los programas, principios e ideas que postulan y mediante el sufragio universal, libre, secreto y directo, así como las reglas para garantizar la paridad entre géneros en candidaturas para Diputados al Congreso. Los partidos políticos nacionales o con registro en el estado gozarán para todos los efectos legales de personalidad jurídica y patrimonio propio, mismo que administrarán libremente; teniendo el derecho para solicitar el registro de candidatos a participar en los procesos electorales para elegir al Gobernador, a los Diputados al Congreso y a los integrantes de los Ayuntamientos del Estado, en los términos que prevea la Ley Electoral. </w:t>
            </w:r>
          </w:p>
          <w:p w14:paraId="61DD2E39" w14:textId="77777777" w:rsidR="00E37584" w:rsidRPr="004004CC" w:rsidRDefault="00E37584" w:rsidP="00896685">
            <w:pPr>
              <w:ind w:right="61"/>
              <w:jc w:val="both"/>
              <w:rPr>
                <w:rFonts w:ascii="Century Gothic" w:eastAsiaTheme="minorEastAsia" w:hAnsi="Century Gothic" w:cs="Century Gothic"/>
                <w:sz w:val="20"/>
                <w:szCs w:val="20"/>
              </w:rPr>
            </w:pPr>
          </w:p>
          <w:p w14:paraId="7D431B84" w14:textId="77777777" w:rsidR="00E37584" w:rsidRPr="004004CC"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sz w:val="20"/>
                <w:szCs w:val="20"/>
              </w:rPr>
              <w:t>[…]</w:t>
            </w:r>
          </w:p>
          <w:p w14:paraId="12839CDA" w14:textId="77777777" w:rsidR="00E37584" w:rsidRPr="004004CC" w:rsidRDefault="00E37584" w:rsidP="00896685">
            <w:pPr>
              <w:ind w:right="61"/>
              <w:jc w:val="both"/>
              <w:rPr>
                <w:rFonts w:ascii="Century Gothic" w:eastAsiaTheme="minorEastAsia" w:hAnsi="Century Gothic" w:cs="Century Gothic"/>
                <w:sz w:val="20"/>
                <w:szCs w:val="20"/>
              </w:rPr>
            </w:pPr>
          </w:p>
          <w:p w14:paraId="5E252173" w14:textId="77777777" w:rsidR="00E37584" w:rsidRPr="004004CC"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sz w:val="20"/>
                <w:szCs w:val="20"/>
              </w:rPr>
              <w:t>En materia de fiscalización, se estará a lo dispuesto en la Constitución Política de los Estados Unidos Mexicanos y las leyes de la materia.</w:t>
            </w:r>
          </w:p>
          <w:p w14:paraId="518112D7" w14:textId="77777777" w:rsidR="00E37584" w:rsidRPr="004004CC" w:rsidRDefault="00E37584" w:rsidP="00896685">
            <w:pPr>
              <w:ind w:right="61"/>
              <w:jc w:val="both"/>
              <w:rPr>
                <w:rFonts w:ascii="Century Gothic" w:eastAsiaTheme="minorEastAsia" w:hAnsi="Century Gothic" w:cs="Century Gothic"/>
                <w:sz w:val="20"/>
                <w:szCs w:val="20"/>
              </w:rPr>
            </w:pPr>
          </w:p>
          <w:p w14:paraId="5FBCA8AE" w14:textId="77777777" w:rsidR="00E37584" w:rsidRPr="004004CC"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sz w:val="20"/>
                <w:szCs w:val="20"/>
              </w:rPr>
              <w:t>(Reformado mediante decreto No. 179, publicado el 8 de julio de 2014)</w:t>
            </w:r>
          </w:p>
          <w:p w14:paraId="63A00E99" w14:textId="77777777" w:rsidR="00E37584" w:rsidRPr="004004CC" w:rsidRDefault="00E37584" w:rsidP="00896685">
            <w:pPr>
              <w:ind w:right="61"/>
              <w:jc w:val="both"/>
              <w:rPr>
                <w:rFonts w:ascii="Century Gothic" w:eastAsiaTheme="minorEastAsia" w:hAnsi="Century Gothic" w:cs="Century Gothic"/>
                <w:sz w:val="20"/>
                <w:szCs w:val="20"/>
              </w:rPr>
            </w:pPr>
          </w:p>
          <w:p w14:paraId="0E5CF94C" w14:textId="77777777" w:rsidR="00E37584" w:rsidRPr="004004CC"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sz w:val="20"/>
                <w:szCs w:val="20"/>
              </w:rPr>
              <w:t xml:space="preserve">La Ley Electoral establecerá entre otras, las disposiciones siguientes: </w:t>
            </w:r>
          </w:p>
          <w:p w14:paraId="1FD499CD" w14:textId="77777777" w:rsidR="00E37584" w:rsidRPr="004004CC" w:rsidRDefault="00E37584" w:rsidP="00896685">
            <w:pPr>
              <w:ind w:right="61"/>
              <w:jc w:val="both"/>
              <w:rPr>
                <w:rFonts w:ascii="Century Gothic" w:eastAsiaTheme="minorEastAsia" w:hAnsi="Century Gothic" w:cs="Century Gothic"/>
                <w:sz w:val="20"/>
                <w:szCs w:val="20"/>
              </w:rPr>
            </w:pPr>
          </w:p>
          <w:p w14:paraId="3A1D0200" w14:textId="77777777" w:rsidR="00E37584" w:rsidRPr="004004CC"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sz w:val="20"/>
                <w:szCs w:val="20"/>
              </w:rPr>
              <w:t>(N.E. Reformada mediante decreto No. 179, publicado el 8 de julio de 2014)</w:t>
            </w:r>
          </w:p>
          <w:p w14:paraId="05E27A24" w14:textId="77777777" w:rsidR="00E37584" w:rsidRPr="004004CC" w:rsidRDefault="00E37584" w:rsidP="00896685">
            <w:pPr>
              <w:ind w:right="61"/>
              <w:jc w:val="both"/>
              <w:rPr>
                <w:rFonts w:ascii="Century Gothic" w:eastAsiaTheme="minorEastAsia" w:hAnsi="Century Gothic" w:cs="Century Gothic"/>
                <w:sz w:val="20"/>
                <w:szCs w:val="20"/>
              </w:rPr>
            </w:pPr>
          </w:p>
          <w:p w14:paraId="5C747D22" w14:textId="77777777" w:rsidR="00E37584"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sz w:val="20"/>
                <w:szCs w:val="20"/>
              </w:rPr>
              <w:t>I. Las reglas para establecer los límites a las erogaciones de los partidos políticos en sus procesos de precampaña y en las campañas electorales, los montos máximos que tengan las aportaciones de sus militantes y simpatizantes; los procedimientos para el control y vigilancia del origen y uso de todos los recursos con que cuenten los partidos políticos o los candidatos, así como para dar a conocer el patrimonio que poseen al iniciar el período electoral</w:t>
            </w:r>
            <w:r>
              <w:rPr>
                <w:rFonts w:ascii="Century Gothic" w:eastAsiaTheme="minorEastAsia" w:hAnsi="Century Gothic" w:cs="Century Gothic"/>
                <w:sz w:val="20"/>
                <w:szCs w:val="20"/>
              </w:rPr>
              <w:t xml:space="preserve"> </w:t>
            </w:r>
            <w:r w:rsidRPr="004004CC">
              <w:rPr>
                <w:rFonts w:ascii="Century Gothic" w:eastAsiaTheme="minorEastAsia" w:hAnsi="Century Gothic" w:cs="Century Gothic"/>
                <w:sz w:val="20"/>
                <w:szCs w:val="20"/>
              </w:rPr>
              <w:t>y el establecimiento de las sanciones para el incumplimiento de las disposiciones que se expidan en estas materias;</w:t>
            </w:r>
          </w:p>
          <w:p w14:paraId="7BF17B2E" w14:textId="77777777" w:rsidR="00E37584" w:rsidRPr="004004CC" w:rsidRDefault="00E37584" w:rsidP="00896685">
            <w:pPr>
              <w:ind w:right="61"/>
              <w:jc w:val="both"/>
              <w:rPr>
                <w:rFonts w:ascii="Century Gothic" w:eastAsiaTheme="minorEastAsia" w:hAnsi="Century Gothic" w:cs="Century Gothic"/>
                <w:sz w:val="20"/>
                <w:szCs w:val="20"/>
              </w:rPr>
            </w:pPr>
          </w:p>
          <w:p w14:paraId="7A0FA13F" w14:textId="77777777" w:rsidR="00E37584" w:rsidRPr="004004CC"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sz w:val="20"/>
                <w:szCs w:val="20"/>
              </w:rPr>
              <w:t>(N.E. Reformada mediante decreto No. 179, publicado el 8 de julio de 2014)</w:t>
            </w:r>
          </w:p>
          <w:p w14:paraId="44A9F2BC" w14:textId="77777777" w:rsidR="00E37584" w:rsidRPr="004004CC" w:rsidRDefault="00E37584" w:rsidP="00896685">
            <w:pPr>
              <w:ind w:right="61"/>
              <w:jc w:val="both"/>
              <w:rPr>
                <w:rFonts w:ascii="Century Gothic" w:eastAsiaTheme="minorEastAsia" w:hAnsi="Century Gothic" w:cs="Century Gothic"/>
                <w:sz w:val="20"/>
                <w:szCs w:val="20"/>
              </w:rPr>
            </w:pPr>
          </w:p>
          <w:p w14:paraId="46D1F215" w14:textId="77777777" w:rsidR="00E37584" w:rsidRPr="004004CC"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sz w:val="20"/>
                <w:szCs w:val="20"/>
              </w:rPr>
              <w:t xml:space="preserve">II. Las bases y requisitos para la postulación y registro de los candidatos independientes, así como sus derechos y obligaciones, garantizando su derecho al financiamiento público y el acceso a la radio y televisión en los términos establecidos en la Constitución Política de los Estados Unidos Mexicanos, en ésta Constitución, así como en las leyes de la materia. </w:t>
            </w:r>
          </w:p>
          <w:p w14:paraId="7B37B082" w14:textId="77777777" w:rsidR="00E37584" w:rsidRPr="004004CC"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sz w:val="20"/>
                <w:szCs w:val="20"/>
              </w:rPr>
              <w:lastRenderedPageBreak/>
              <w:t xml:space="preserve">(N.E. Reformada mediante decreto No. 179, publicado el 8 de julio de 2014) </w:t>
            </w:r>
          </w:p>
          <w:p w14:paraId="227B69A2" w14:textId="77777777" w:rsidR="00E37584" w:rsidRPr="004004CC" w:rsidRDefault="00E37584" w:rsidP="00896685">
            <w:pPr>
              <w:ind w:right="61"/>
              <w:jc w:val="both"/>
              <w:rPr>
                <w:rFonts w:ascii="Century Gothic" w:eastAsiaTheme="minorEastAsia" w:hAnsi="Century Gothic" w:cs="Century Gothic"/>
                <w:sz w:val="20"/>
                <w:szCs w:val="20"/>
              </w:rPr>
            </w:pPr>
          </w:p>
          <w:p w14:paraId="73902FCF" w14:textId="77777777" w:rsidR="00E37584" w:rsidRPr="004004CC"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sz w:val="20"/>
                <w:szCs w:val="20"/>
              </w:rPr>
              <w:t>III. Las reglas para que de manera permanente los organismos electorales y los partidos políticos; así como los candidatos y precandidatos en los períodos de campaña y precampaña, transparenten sus ingresos y egresos;</w:t>
            </w:r>
          </w:p>
          <w:p w14:paraId="7D870EBB" w14:textId="77777777" w:rsidR="00E37584" w:rsidRPr="004004CC" w:rsidRDefault="00E37584" w:rsidP="00896685">
            <w:pPr>
              <w:ind w:right="61"/>
              <w:jc w:val="both"/>
              <w:rPr>
                <w:rFonts w:ascii="Century Gothic" w:eastAsiaTheme="minorEastAsia" w:hAnsi="Century Gothic" w:cs="Century Gothic"/>
                <w:sz w:val="20"/>
                <w:szCs w:val="20"/>
              </w:rPr>
            </w:pPr>
          </w:p>
          <w:p w14:paraId="414D29EC" w14:textId="77777777" w:rsidR="00E37584" w:rsidRPr="004004CC"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sz w:val="20"/>
                <w:szCs w:val="20"/>
              </w:rPr>
              <w:t xml:space="preserve">(N.E. Reformada mediante decreto No. 179, publicado el 8 de julio de 2014) </w:t>
            </w:r>
          </w:p>
          <w:p w14:paraId="484E24AA" w14:textId="77777777" w:rsidR="00E37584" w:rsidRPr="004004CC" w:rsidRDefault="00E37584" w:rsidP="00896685">
            <w:pPr>
              <w:ind w:right="61"/>
              <w:jc w:val="both"/>
              <w:rPr>
                <w:rFonts w:ascii="Century Gothic" w:eastAsiaTheme="minorEastAsia" w:hAnsi="Century Gothic" w:cs="Century Gothic"/>
                <w:sz w:val="20"/>
                <w:szCs w:val="20"/>
              </w:rPr>
            </w:pPr>
          </w:p>
          <w:p w14:paraId="78E1771B" w14:textId="77777777" w:rsidR="00E37584" w:rsidRPr="004004CC"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sz w:val="20"/>
                <w:szCs w:val="20"/>
              </w:rPr>
              <w:t xml:space="preserve">[…] </w:t>
            </w:r>
          </w:p>
          <w:p w14:paraId="1B617873" w14:textId="661D0868" w:rsidR="00E37584" w:rsidRPr="004004CC" w:rsidRDefault="00E37584" w:rsidP="00896685">
            <w:pPr>
              <w:ind w:right="61"/>
              <w:jc w:val="both"/>
              <w:rPr>
                <w:rFonts w:ascii="Century Gothic" w:eastAsiaTheme="minorEastAsia" w:hAnsi="Century Gothic" w:cs="Century Gothic"/>
                <w:sz w:val="20"/>
                <w:szCs w:val="20"/>
              </w:rPr>
            </w:pPr>
            <w:r w:rsidRPr="004004CC">
              <w:rPr>
                <w:rFonts w:ascii="Century Gothic" w:eastAsiaTheme="minorEastAsia" w:hAnsi="Century Gothic" w:cs="Century Gothic"/>
                <w:sz w:val="20"/>
                <w:szCs w:val="20"/>
              </w:rPr>
              <w:t xml:space="preserve">La violación a estas disposiciones por los partidos políticos, candidatos o cualquier persona física o moral, será sancionada conforme a la Ley. </w:t>
            </w:r>
          </w:p>
          <w:p w14:paraId="05568383" w14:textId="7CAF24A0" w:rsidR="00E37584" w:rsidRPr="004004CC" w:rsidRDefault="00E37584" w:rsidP="00631638">
            <w:pPr>
              <w:ind w:right="61"/>
              <w:jc w:val="both"/>
              <w:rPr>
                <w:sz w:val="20"/>
                <w:szCs w:val="20"/>
              </w:rPr>
            </w:pPr>
          </w:p>
        </w:tc>
      </w:tr>
      <w:tr w:rsidR="00E37584" w14:paraId="303C2145" w14:textId="77777777" w:rsidTr="00E37584">
        <w:trPr>
          <w:trHeight w:val="2331"/>
        </w:trPr>
        <w:tc>
          <w:tcPr>
            <w:tcW w:w="734" w:type="dxa"/>
            <w:tcBorders>
              <w:top w:val="single" w:sz="4" w:space="0" w:color="BFBFBF"/>
              <w:left w:val="single" w:sz="4" w:space="0" w:color="BFBFBF"/>
              <w:bottom w:val="single" w:sz="4" w:space="0" w:color="BFBFBF"/>
              <w:right w:val="single" w:sz="4" w:space="0" w:color="BFBFBF"/>
            </w:tcBorders>
            <w:vAlign w:val="center"/>
          </w:tcPr>
          <w:p w14:paraId="24FFD6EF" w14:textId="4AE19CD7" w:rsidR="00E37584" w:rsidRDefault="00E37584">
            <w:pPr>
              <w:ind w:right="419"/>
              <w:jc w:val="center"/>
              <w:rPr>
                <w:rFonts w:ascii="Century Gothic" w:eastAsia="Century Gothic" w:hAnsi="Century Gothic" w:cs="Century Gothic"/>
                <w:b/>
                <w:sz w:val="20"/>
              </w:rPr>
            </w:pPr>
            <w:r>
              <w:rPr>
                <w:rFonts w:ascii="Century Gothic" w:eastAsia="Century Gothic" w:hAnsi="Century Gothic" w:cs="Century Gothic"/>
                <w:b/>
                <w:sz w:val="20"/>
              </w:rPr>
              <w:lastRenderedPageBreak/>
              <w:t>2</w:t>
            </w:r>
            <w:r>
              <w:rPr>
                <w:rFonts w:ascii="Arial" w:eastAsia="Arial" w:hAnsi="Arial" w:cs="Arial"/>
                <w:b/>
                <w:sz w:val="20"/>
              </w:rPr>
              <w:t xml:space="preserve"> </w:t>
            </w:r>
            <w:r>
              <w:rPr>
                <w:rFonts w:ascii="Century Gothic" w:eastAsia="Century Gothic" w:hAnsi="Century Gothic" w:cs="Century Gothic"/>
                <w:b/>
                <w:sz w:val="20"/>
              </w:rPr>
              <w:t xml:space="preserve"> </w:t>
            </w:r>
          </w:p>
          <w:p w14:paraId="05E565BF" w14:textId="77777777" w:rsidR="00E37584" w:rsidRDefault="00E37584">
            <w:pPr>
              <w:ind w:right="419"/>
              <w:jc w:val="center"/>
              <w:rPr>
                <w:rFonts w:ascii="Century Gothic" w:eastAsia="Century Gothic" w:hAnsi="Century Gothic" w:cs="Century Gothic"/>
                <w:b/>
                <w:sz w:val="20"/>
              </w:rPr>
            </w:pPr>
          </w:p>
          <w:p w14:paraId="4C7CF879" w14:textId="77777777" w:rsidR="00E37584" w:rsidRDefault="00E37584">
            <w:pPr>
              <w:ind w:right="419"/>
              <w:jc w:val="center"/>
              <w:rPr>
                <w:rFonts w:ascii="Century Gothic" w:eastAsia="Century Gothic" w:hAnsi="Century Gothic" w:cs="Century Gothic"/>
                <w:b/>
                <w:sz w:val="20"/>
              </w:rPr>
            </w:pPr>
          </w:p>
          <w:p w14:paraId="71551A9D" w14:textId="77777777" w:rsidR="00E37584" w:rsidRDefault="00E37584">
            <w:pPr>
              <w:ind w:right="419"/>
              <w:jc w:val="center"/>
              <w:rPr>
                <w:rFonts w:ascii="Century Gothic" w:eastAsia="Century Gothic" w:hAnsi="Century Gothic" w:cs="Century Gothic"/>
                <w:b/>
                <w:sz w:val="20"/>
              </w:rPr>
            </w:pPr>
          </w:p>
          <w:p w14:paraId="68EADF03" w14:textId="77777777" w:rsidR="00E37584" w:rsidRDefault="00E37584">
            <w:pPr>
              <w:ind w:right="419"/>
              <w:jc w:val="center"/>
              <w:rPr>
                <w:rFonts w:ascii="Century Gothic" w:eastAsia="Century Gothic" w:hAnsi="Century Gothic" w:cs="Century Gothic"/>
                <w:b/>
                <w:sz w:val="20"/>
              </w:rPr>
            </w:pPr>
          </w:p>
          <w:p w14:paraId="157A582D" w14:textId="77777777" w:rsidR="00E37584" w:rsidRDefault="00E37584">
            <w:pPr>
              <w:ind w:right="419"/>
              <w:jc w:val="center"/>
              <w:rPr>
                <w:rFonts w:ascii="Century Gothic" w:eastAsia="Century Gothic" w:hAnsi="Century Gothic" w:cs="Century Gothic"/>
                <w:b/>
                <w:sz w:val="20"/>
              </w:rPr>
            </w:pPr>
          </w:p>
          <w:p w14:paraId="119560E9" w14:textId="77777777" w:rsidR="00E37584" w:rsidRDefault="00E37584">
            <w:pPr>
              <w:ind w:right="419"/>
              <w:jc w:val="center"/>
              <w:rPr>
                <w:rFonts w:ascii="Century Gothic" w:eastAsia="Century Gothic" w:hAnsi="Century Gothic" w:cs="Century Gothic"/>
                <w:b/>
                <w:sz w:val="20"/>
              </w:rPr>
            </w:pPr>
          </w:p>
          <w:p w14:paraId="2AB384B7" w14:textId="77777777" w:rsidR="00E37584" w:rsidRDefault="00E37584">
            <w:pPr>
              <w:ind w:right="419"/>
              <w:jc w:val="center"/>
              <w:rPr>
                <w:rFonts w:ascii="Century Gothic" w:eastAsia="Century Gothic" w:hAnsi="Century Gothic" w:cs="Century Gothic"/>
                <w:b/>
                <w:sz w:val="20"/>
              </w:rPr>
            </w:pPr>
          </w:p>
          <w:p w14:paraId="43F7318E" w14:textId="77777777" w:rsidR="00E37584" w:rsidRDefault="00E37584">
            <w:pPr>
              <w:ind w:right="419"/>
              <w:jc w:val="center"/>
              <w:rPr>
                <w:rFonts w:ascii="Century Gothic" w:eastAsia="Century Gothic" w:hAnsi="Century Gothic" w:cs="Century Gothic"/>
                <w:b/>
                <w:sz w:val="20"/>
              </w:rPr>
            </w:pPr>
          </w:p>
          <w:p w14:paraId="7D34DC97" w14:textId="77777777" w:rsidR="00E37584" w:rsidRDefault="00E37584">
            <w:pPr>
              <w:ind w:right="419"/>
              <w:jc w:val="center"/>
              <w:rPr>
                <w:rFonts w:ascii="Century Gothic" w:eastAsia="Century Gothic" w:hAnsi="Century Gothic" w:cs="Century Gothic"/>
                <w:b/>
                <w:sz w:val="20"/>
              </w:rPr>
            </w:pPr>
          </w:p>
          <w:p w14:paraId="6FFF7C0C" w14:textId="77777777" w:rsidR="00E37584" w:rsidRDefault="00E37584">
            <w:pPr>
              <w:ind w:right="419"/>
              <w:jc w:val="center"/>
              <w:rPr>
                <w:rFonts w:ascii="Century Gothic" w:eastAsia="Century Gothic" w:hAnsi="Century Gothic" w:cs="Century Gothic"/>
                <w:b/>
                <w:sz w:val="20"/>
              </w:rPr>
            </w:pPr>
          </w:p>
          <w:p w14:paraId="3746C77B" w14:textId="77777777" w:rsidR="00E37584" w:rsidRDefault="00E37584">
            <w:pPr>
              <w:ind w:right="419"/>
              <w:jc w:val="center"/>
              <w:rPr>
                <w:rFonts w:ascii="Century Gothic" w:eastAsia="Century Gothic" w:hAnsi="Century Gothic" w:cs="Century Gothic"/>
                <w:b/>
                <w:sz w:val="20"/>
              </w:rPr>
            </w:pPr>
          </w:p>
          <w:p w14:paraId="315F7B8C" w14:textId="77777777" w:rsidR="00E37584" w:rsidRDefault="00E37584">
            <w:pPr>
              <w:ind w:right="419"/>
              <w:jc w:val="center"/>
              <w:rPr>
                <w:rFonts w:ascii="Century Gothic" w:eastAsia="Century Gothic" w:hAnsi="Century Gothic" w:cs="Century Gothic"/>
                <w:b/>
                <w:sz w:val="20"/>
              </w:rPr>
            </w:pPr>
          </w:p>
          <w:p w14:paraId="371376BD" w14:textId="77777777" w:rsidR="00E37584" w:rsidRDefault="00E37584">
            <w:pPr>
              <w:ind w:right="419"/>
              <w:jc w:val="center"/>
              <w:rPr>
                <w:rFonts w:ascii="Century Gothic" w:eastAsia="Century Gothic" w:hAnsi="Century Gothic" w:cs="Century Gothic"/>
                <w:b/>
                <w:sz w:val="20"/>
              </w:rPr>
            </w:pPr>
          </w:p>
          <w:p w14:paraId="00BEF214" w14:textId="77777777" w:rsidR="00E37584" w:rsidRDefault="00E37584">
            <w:pPr>
              <w:ind w:right="419"/>
              <w:jc w:val="center"/>
              <w:rPr>
                <w:rFonts w:ascii="Century Gothic" w:eastAsia="Century Gothic" w:hAnsi="Century Gothic" w:cs="Century Gothic"/>
                <w:b/>
                <w:sz w:val="20"/>
              </w:rPr>
            </w:pPr>
          </w:p>
          <w:p w14:paraId="38598C55" w14:textId="77777777" w:rsidR="00E37584" w:rsidRDefault="00E37584">
            <w:pPr>
              <w:ind w:right="419"/>
              <w:jc w:val="center"/>
              <w:rPr>
                <w:rFonts w:ascii="Century Gothic" w:eastAsia="Century Gothic" w:hAnsi="Century Gothic" w:cs="Century Gothic"/>
                <w:b/>
                <w:sz w:val="20"/>
              </w:rPr>
            </w:pPr>
          </w:p>
          <w:p w14:paraId="5E697304" w14:textId="77777777" w:rsidR="00E37584" w:rsidRDefault="00E37584">
            <w:pPr>
              <w:ind w:right="419"/>
              <w:jc w:val="center"/>
              <w:rPr>
                <w:rFonts w:ascii="Century Gothic" w:eastAsia="Century Gothic" w:hAnsi="Century Gothic" w:cs="Century Gothic"/>
                <w:b/>
                <w:sz w:val="20"/>
              </w:rPr>
            </w:pPr>
          </w:p>
          <w:p w14:paraId="0E6E5977" w14:textId="77777777" w:rsidR="00E37584" w:rsidRDefault="00E37584">
            <w:pPr>
              <w:ind w:right="419"/>
              <w:jc w:val="center"/>
              <w:rPr>
                <w:rFonts w:ascii="Century Gothic" w:eastAsia="Century Gothic" w:hAnsi="Century Gothic" w:cs="Century Gothic"/>
                <w:b/>
                <w:sz w:val="20"/>
              </w:rPr>
            </w:pPr>
          </w:p>
          <w:p w14:paraId="3A6AEB1E" w14:textId="77777777" w:rsidR="00E37584" w:rsidRDefault="00E37584">
            <w:pPr>
              <w:ind w:right="419"/>
              <w:jc w:val="center"/>
            </w:pPr>
          </w:p>
        </w:tc>
        <w:tc>
          <w:tcPr>
            <w:tcW w:w="1251" w:type="dxa"/>
            <w:tcBorders>
              <w:top w:val="single" w:sz="4" w:space="0" w:color="BFBFBF"/>
              <w:left w:val="single" w:sz="4" w:space="0" w:color="BFBFBF"/>
              <w:bottom w:val="single" w:sz="4" w:space="0" w:color="BFBFBF"/>
              <w:right w:val="single" w:sz="4" w:space="0" w:color="BFBFBF"/>
            </w:tcBorders>
            <w:vAlign w:val="center"/>
          </w:tcPr>
          <w:p w14:paraId="32CAC347" w14:textId="77777777" w:rsidR="00E37584" w:rsidRDefault="00E37584">
            <w:pPr>
              <w:ind w:right="60"/>
              <w:jc w:val="center"/>
              <w:rPr>
                <w:b/>
                <w:bCs/>
              </w:rPr>
            </w:pPr>
            <w:r w:rsidRPr="004004CC">
              <w:rPr>
                <w:b/>
                <w:bCs/>
              </w:rPr>
              <w:t>NUEVO LEÓN</w:t>
            </w:r>
          </w:p>
          <w:p w14:paraId="27B24B6B" w14:textId="77777777" w:rsidR="00E37584" w:rsidRDefault="00E37584">
            <w:pPr>
              <w:ind w:right="60"/>
              <w:jc w:val="center"/>
              <w:rPr>
                <w:b/>
                <w:bCs/>
              </w:rPr>
            </w:pPr>
          </w:p>
          <w:p w14:paraId="7E040C6D" w14:textId="77777777" w:rsidR="00E37584" w:rsidRDefault="00E37584">
            <w:pPr>
              <w:ind w:right="60"/>
              <w:jc w:val="center"/>
              <w:rPr>
                <w:b/>
                <w:bCs/>
              </w:rPr>
            </w:pPr>
          </w:p>
          <w:p w14:paraId="7C5DB984" w14:textId="77777777" w:rsidR="00E37584" w:rsidRDefault="00E37584">
            <w:pPr>
              <w:ind w:right="60"/>
              <w:jc w:val="center"/>
              <w:rPr>
                <w:b/>
                <w:bCs/>
              </w:rPr>
            </w:pPr>
          </w:p>
          <w:p w14:paraId="32A2E9FA" w14:textId="77777777" w:rsidR="00E37584" w:rsidRDefault="00E37584">
            <w:pPr>
              <w:ind w:right="60"/>
              <w:jc w:val="center"/>
              <w:rPr>
                <w:b/>
                <w:bCs/>
              </w:rPr>
            </w:pPr>
          </w:p>
          <w:p w14:paraId="2EF6DA63" w14:textId="77777777" w:rsidR="00E37584" w:rsidRDefault="00E37584">
            <w:pPr>
              <w:ind w:right="60"/>
              <w:jc w:val="center"/>
              <w:rPr>
                <w:b/>
                <w:bCs/>
              </w:rPr>
            </w:pPr>
          </w:p>
          <w:p w14:paraId="4F24D524" w14:textId="77777777" w:rsidR="00E37584" w:rsidRDefault="00E37584">
            <w:pPr>
              <w:ind w:right="60"/>
              <w:jc w:val="center"/>
              <w:rPr>
                <w:b/>
                <w:bCs/>
              </w:rPr>
            </w:pPr>
          </w:p>
          <w:p w14:paraId="5311A35D" w14:textId="77777777" w:rsidR="00E37584" w:rsidRDefault="00E37584">
            <w:pPr>
              <w:ind w:right="60"/>
              <w:jc w:val="center"/>
              <w:rPr>
                <w:b/>
                <w:bCs/>
              </w:rPr>
            </w:pPr>
          </w:p>
          <w:p w14:paraId="66B50618" w14:textId="77777777" w:rsidR="00E37584" w:rsidRDefault="00E37584">
            <w:pPr>
              <w:ind w:right="60"/>
              <w:jc w:val="center"/>
              <w:rPr>
                <w:b/>
                <w:bCs/>
              </w:rPr>
            </w:pPr>
          </w:p>
          <w:p w14:paraId="49B7A25B" w14:textId="77777777" w:rsidR="00E37584" w:rsidRDefault="00E37584">
            <w:pPr>
              <w:ind w:right="60"/>
              <w:jc w:val="center"/>
              <w:rPr>
                <w:b/>
                <w:bCs/>
              </w:rPr>
            </w:pPr>
          </w:p>
          <w:p w14:paraId="24DC5C85" w14:textId="77777777" w:rsidR="00E37584" w:rsidRDefault="00E37584">
            <w:pPr>
              <w:ind w:right="60"/>
              <w:jc w:val="center"/>
              <w:rPr>
                <w:b/>
                <w:bCs/>
              </w:rPr>
            </w:pPr>
          </w:p>
          <w:p w14:paraId="34D61D87" w14:textId="77777777" w:rsidR="00E37584" w:rsidRDefault="00E37584">
            <w:pPr>
              <w:ind w:right="60"/>
              <w:jc w:val="center"/>
              <w:rPr>
                <w:b/>
                <w:bCs/>
              </w:rPr>
            </w:pPr>
          </w:p>
          <w:p w14:paraId="15379B43" w14:textId="77777777" w:rsidR="00E37584" w:rsidRDefault="00E37584">
            <w:pPr>
              <w:ind w:right="60"/>
              <w:jc w:val="center"/>
              <w:rPr>
                <w:b/>
                <w:bCs/>
              </w:rPr>
            </w:pPr>
          </w:p>
          <w:p w14:paraId="114C1D4E" w14:textId="77777777" w:rsidR="00E37584" w:rsidRDefault="00E37584">
            <w:pPr>
              <w:ind w:right="60"/>
              <w:jc w:val="center"/>
              <w:rPr>
                <w:b/>
                <w:bCs/>
              </w:rPr>
            </w:pPr>
          </w:p>
          <w:p w14:paraId="300CE326" w14:textId="77777777" w:rsidR="00E37584" w:rsidRDefault="00E37584">
            <w:pPr>
              <w:ind w:right="60"/>
              <w:jc w:val="center"/>
              <w:rPr>
                <w:b/>
                <w:bCs/>
              </w:rPr>
            </w:pPr>
          </w:p>
          <w:p w14:paraId="7972E9EA" w14:textId="77777777" w:rsidR="00E37584" w:rsidRDefault="00E37584">
            <w:pPr>
              <w:ind w:right="60"/>
              <w:jc w:val="center"/>
              <w:rPr>
                <w:b/>
                <w:bCs/>
              </w:rPr>
            </w:pPr>
          </w:p>
          <w:p w14:paraId="4884B04A" w14:textId="77777777" w:rsidR="00E37584" w:rsidRPr="004004CC" w:rsidRDefault="00E37584">
            <w:pPr>
              <w:ind w:right="60"/>
              <w:jc w:val="center"/>
              <w:rPr>
                <w:b/>
                <w:bCs/>
              </w:rPr>
            </w:pPr>
          </w:p>
        </w:tc>
        <w:tc>
          <w:tcPr>
            <w:tcW w:w="3118" w:type="dxa"/>
            <w:tcBorders>
              <w:top w:val="single" w:sz="4" w:space="0" w:color="BFBFBF"/>
              <w:left w:val="single" w:sz="4" w:space="0" w:color="BFBFBF"/>
              <w:bottom w:val="single" w:sz="4" w:space="0" w:color="BFBFBF"/>
              <w:right w:val="single" w:sz="4" w:space="0" w:color="BFBFBF"/>
            </w:tcBorders>
            <w:vAlign w:val="center"/>
          </w:tcPr>
          <w:p w14:paraId="256BF182" w14:textId="77777777" w:rsidR="00E37584" w:rsidRPr="00E37584" w:rsidRDefault="00E37584">
            <w:pPr>
              <w:jc w:val="center"/>
              <w:rPr>
                <w:b/>
                <w:bCs/>
                <w:color w:val="auto"/>
              </w:rPr>
            </w:pPr>
            <w:hyperlink r:id="rId8" w:history="1">
              <w:r w:rsidRPr="00E37584">
                <w:rPr>
                  <w:rStyle w:val="Hipervnculo"/>
                  <w:b/>
                  <w:bCs/>
                  <w:color w:val="auto"/>
                  <w:u w:val="none"/>
                </w:rPr>
                <w:t>Ley Electoral para el Estado de Nuevo León</w:t>
              </w:r>
            </w:hyperlink>
          </w:p>
          <w:p w14:paraId="391CCDE9" w14:textId="77777777" w:rsidR="00E37584" w:rsidRDefault="00E37584">
            <w:pPr>
              <w:jc w:val="center"/>
            </w:pPr>
          </w:p>
          <w:p w14:paraId="21143AA3" w14:textId="77777777" w:rsidR="00E37584" w:rsidRDefault="00E37584">
            <w:pPr>
              <w:jc w:val="center"/>
            </w:pPr>
          </w:p>
          <w:p w14:paraId="201A54A3" w14:textId="77777777" w:rsidR="00E37584" w:rsidRDefault="00E37584">
            <w:pPr>
              <w:jc w:val="center"/>
            </w:pPr>
          </w:p>
          <w:p w14:paraId="2D2DA764" w14:textId="77777777" w:rsidR="00E37584" w:rsidRDefault="00E37584">
            <w:pPr>
              <w:jc w:val="center"/>
            </w:pPr>
          </w:p>
          <w:p w14:paraId="4B7B6751" w14:textId="77777777" w:rsidR="00E37584" w:rsidRDefault="00E37584">
            <w:pPr>
              <w:jc w:val="center"/>
            </w:pPr>
          </w:p>
          <w:p w14:paraId="58376CE9" w14:textId="77777777" w:rsidR="00E37584" w:rsidRDefault="00E37584">
            <w:pPr>
              <w:jc w:val="center"/>
            </w:pPr>
          </w:p>
          <w:p w14:paraId="615A025B" w14:textId="77777777" w:rsidR="00E37584" w:rsidRDefault="00E37584">
            <w:pPr>
              <w:jc w:val="center"/>
            </w:pPr>
          </w:p>
          <w:p w14:paraId="5519437C" w14:textId="77777777" w:rsidR="00E37584" w:rsidRDefault="00E37584">
            <w:pPr>
              <w:jc w:val="center"/>
            </w:pPr>
          </w:p>
          <w:p w14:paraId="453ED180" w14:textId="77777777" w:rsidR="00E37584" w:rsidRDefault="00E37584">
            <w:pPr>
              <w:jc w:val="center"/>
            </w:pPr>
          </w:p>
          <w:p w14:paraId="15F7F318" w14:textId="77777777" w:rsidR="00E37584" w:rsidRDefault="00E37584">
            <w:pPr>
              <w:jc w:val="center"/>
            </w:pPr>
          </w:p>
          <w:p w14:paraId="6435A028" w14:textId="77777777" w:rsidR="00E37584" w:rsidRDefault="00E37584">
            <w:pPr>
              <w:jc w:val="center"/>
            </w:pPr>
          </w:p>
          <w:p w14:paraId="784E0076" w14:textId="77777777" w:rsidR="00E37584" w:rsidRDefault="00E37584">
            <w:pPr>
              <w:jc w:val="center"/>
            </w:pPr>
          </w:p>
          <w:p w14:paraId="63749837" w14:textId="77777777" w:rsidR="00E37584" w:rsidRDefault="00E37584">
            <w:pPr>
              <w:jc w:val="center"/>
            </w:pPr>
          </w:p>
          <w:p w14:paraId="0B005ECF" w14:textId="77777777" w:rsidR="00E37584" w:rsidRDefault="00E37584">
            <w:pPr>
              <w:jc w:val="center"/>
            </w:pPr>
          </w:p>
          <w:p w14:paraId="2841E319" w14:textId="77777777" w:rsidR="00E37584" w:rsidRDefault="00E37584">
            <w:pPr>
              <w:jc w:val="center"/>
            </w:pPr>
          </w:p>
          <w:p w14:paraId="02B1FCE5" w14:textId="77777777" w:rsidR="00E37584" w:rsidRDefault="00E37584">
            <w:pPr>
              <w:jc w:val="center"/>
            </w:pPr>
          </w:p>
        </w:tc>
        <w:tc>
          <w:tcPr>
            <w:tcW w:w="12474" w:type="dxa"/>
            <w:tcBorders>
              <w:top w:val="single" w:sz="4" w:space="0" w:color="BFBFBF"/>
              <w:left w:val="single" w:sz="4" w:space="0" w:color="BFBFBF"/>
              <w:bottom w:val="single" w:sz="4" w:space="0" w:color="BFBFBF"/>
              <w:right w:val="single" w:sz="4" w:space="0" w:color="BFBFBF"/>
            </w:tcBorders>
          </w:tcPr>
          <w:p w14:paraId="013F8342" w14:textId="77777777" w:rsidR="00E37584" w:rsidRDefault="00E37584" w:rsidP="004004CC">
            <w:pPr>
              <w:pStyle w:val="Default"/>
              <w:jc w:val="both"/>
              <w:rPr>
                <w:sz w:val="20"/>
                <w:szCs w:val="20"/>
              </w:rPr>
            </w:pPr>
            <w:r>
              <w:rPr>
                <w:b/>
                <w:bCs/>
                <w:sz w:val="20"/>
                <w:szCs w:val="20"/>
              </w:rPr>
              <w:t xml:space="preserve">Artículo 31. </w:t>
            </w:r>
            <w:r>
              <w:rPr>
                <w:sz w:val="20"/>
                <w:szCs w:val="20"/>
              </w:rPr>
              <w:t xml:space="preserve">Los partidos políticos son entidades de interés público, que cuentan para todos los efectos legales, con personalidad jurídica y patrimonio propio, el cual administrará libremente. </w:t>
            </w:r>
          </w:p>
          <w:p w14:paraId="7C9B38F1" w14:textId="77777777" w:rsidR="00E37584" w:rsidRDefault="00E37584" w:rsidP="004004CC">
            <w:pPr>
              <w:pStyle w:val="Default"/>
              <w:jc w:val="both"/>
              <w:rPr>
                <w:sz w:val="20"/>
                <w:szCs w:val="20"/>
              </w:rPr>
            </w:pPr>
          </w:p>
          <w:p w14:paraId="69E46EB4" w14:textId="77777777" w:rsidR="00E37584" w:rsidRDefault="00E37584" w:rsidP="004004CC">
            <w:pPr>
              <w:pStyle w:val="Default"/>
              <w:jc w:val="both"/>
              <w:rPr>
                <w:sz w:val="20"/>
                <w:szCs w:val="20"/>
              </w:rPr>
            </w:pPr>
            <w:r>
              <w:rPr>
                <w:sz w:val="20"/>
                <w:szCs w:val="20"/>
              </w:rPr>
              <w:t>[…]</w:t>
            </w:r>
          </w:p>
          <w:p w14:paraId="7B77D178" w14:textId="77777777" w:rsidR="00E37584" w:rsidRDefault="00E37584" w:rsidP="004004CC">
            <w:pPr>
              <w:pStyle w:val="Default"/>
              <w:jc w:val="both"/>
              <w:rPr>
                <w:sz w:val="20"/>
                <w:szCs w:val="20"/>
              </w:rPr>
            </w:pPr>
            <w:r>
              <w:rPr>
                <w:sz w:val="20"/>
                <w:szCs w:val="20"/>
              </w:rPr>
              <w:t xml:space="preserve"> </w:t>
            </w:r>
          </w:p>
          <w:p w14:paraId="3EABDFE1" w14:textId="77777777" w:rsidR="00E37584" w:rsidRDefault="00E37584" w:rsidP="004004CC">
            <w:pPr>
              <w:pStyle w:val="Default"/>
              <w:jc w:val="both"/>
              <w:rPr>
                <w:sz w:val="20"/>
                <w:szCs w:val="20"/>
              </w:rPr>
            </w:pPr>
            <w:r>
              <w:rPr>
                <w:sz w:val="20"/>
                <w:szCs w:val="20"/>
              </w:rPr>
              <w:t xml:space="preserve">Para la constitución, registro, pérdida de registro de los partidos políticos locales, organización y fiscalización de los partidos políticos se estará a lo dispuesto en la Ley General de Partidos Políticos y la Ley General de Instituciones y Procedimientos Electorales. </w:t>
            </w:r>
          </w:p>
          <w:p w14:paraId="62B89B2B" w14:textId="77777777" w:rsidR="00E37584" w:rsidRDefault="00E37584" w:rsidP="004004CC">
            <w:pPr>
              <w:pStyle w:val="Default"/>
              <w:jc w:val="both"/>
              <w:rPr>
                <w:sz w:val="20"/>
                <w:szCs w:val="20"/>
              </w:rPr>
            </w:pPr>
          </w:p>
          <w:p w14:paraId="5F25B80E" w14:textId="77777777" w:rsidR="00E37584" w:rsidRDefault="00E37584" w:rsidP="004004CC">
            <w:pPr>
              <w:pStyle w:val="Default"/>
              <w:jc w:val="both"/>
              <w:rPr>
                <w:sz w:val="20"/>
                <w:szCs w:val="20"/>
              </w:rPr>
            </w:pPr>
            <w:r>
              <w:rPr>
                <w:b/>
                <w:bCs/>
                <w:sz w:val="20"/>
                <w:szCs w:val="20"/>
              </w:rPr>
              <w:t xml:space="preserve">Artículo 33. </w:t>
            </w:r>
            <w:r>
              <w:rPr>
                <w:sz w:val="20"/>
                <w:szCs w:val="20"/>
              </w:rPr>
              <w:t xml:space="preserve">La cancelación o pérdida de registro extinguirá la personalidad jurídica del partido político local, pero quienes hayan sido sus dirigentes o candidatos deberán cumplir las obligaciones en materia de fiscalización que establecen la Ley General de Partidos Políticos y esta Ley, hasta la conclusión de los procedimientos respectivos y de liquidación de su patrimonio. </w:t>
            </w:r>
          </w:p>
          <w:p w14:paraId="4512DF75" w14:textId="77777777" w:rsidR="00E37584" w:rsidRDefault="00E37584" w:rsidP="004004CC">
            <w:pPr>
              <w:pStyle w:val="Default"/>
              <w:jc w:val="both"/>
              <w:rPr>
                <w:sz w:val="20"/>
                <w:szCs w:val="20"/>
              </w:rPr>
            </w:pPr>
          </w:p>
          <w:p w14:paraId="00135457" w14:textId="77777777" w:rsidR="00E37584" w:rsidRDefault="00E37584" w:rsidP="004004CC">
            <w:pPr>
              <w:pStyle w:val="Default"/>
              <w:jc w:val="both"/>
              <w:rPr>
                <w:sz w:val="20"/>
                <w:szCs w:val="20"/>
              </w:rPr>
            </w:pPr>
            <w:r>
              <w:rPr>
                <w:sz w:val="20"/>
                <w:szCs w:val="20"/>
              </w:rPr>
              <w:t xml:space="preserve">[…] </w:t>
            </w:r>
          </w:p>
          <w:p w14:paraId="00973000" w14:textId="77777777" w:rsidR="00E37584" w:rsidRDefault="00E37584" w:rsidP="004004CC">
            <w:pPr>
              <w:pStyle w:val="Default"/>
              <w:jc w:val="both"/>
              <w:rPr>
                <w:sz w:val="20"/>
                <w:szCs w:val="20"/>
              </w:rPr>
            </w:pPr>
          </w:p>
          <w:p w14:paraId="431931CA" w14:textId="77777777" w:rsidR="00E37584" w:rsidRDefault="00E37584" w:rsidP="004004CC">
            <w:pPr>
              <w:pStyle w:val="Default"/>
              <w:jc w:val="both"/>
              <w:rPr>
                <w:sz w:val="20"/>
                <w:szCs w:val="20"/>
              </w:rPr>
            </w:pPr>
            <w:r>
              <w:rPr>
                <w:b/>
                <w:bCs/>
                <w:sz w:val="20"/>
                <w:szCs w:val="20"/>
              </w:rPr>
              <w:t xml:space="preserve">Artículo 40. </w:t>
            </w:r>
            <w:r>
              <w:rPr>
                <w:sz w:val="20"/>
                <w:szCs w:val="20"/>
              </w:rPr>
              <w:t>Son obligaciones de los partidos políticos con registro:</w:t>
            </w:r>
          </w:p>
          <w:p w14:paraId="3897E5F2" w14:textId="77777777" w:rsidR="00E37584" w:rsidRDefault="00E37584" w:rsidP="004004CC">
            <w:pPr>
              <w:pStyle w:val="Default"/>
              <w:jc w:val="both"/>
              <w:rPr>
                <w:sz w:val="20"/>
                <w:szCs w:val="20"/>
              </w:rPr>
            </w:pPr>
            <w:r>
              <w:rPr>
                <w:sz w:val="20"/>
                <w:szCs w:val="20"/>
              </w:rPr>
              <w:t xml:space="preserve"> </w:t>
            </w:r>
          </w:p>
          <w:p w14:paraId="365D557F" w14:textId="77777777" w:rsidR="00E37584" w:rsidRDefault="00E37584" w:rsidP="004004CC">
            <w:pPr>
              <w:pStyle w:val="Default"/>
              <w:jc w:val="both"/>
              <w:rPr>
                <w:sz w:val="20"/>
                <w:szCs w:val="20"/>
              </w:rPr>
            </w:pPr>
            <w:r>
              <w:rPr>
                <w:sz w:val="20"/>
                <w:szCs w:val="20"/>
              </w:rPr>
              <w:t xml:space="preserve">[…] </w:t>
            </w:r>
          </w:p>
          <w:p w14:paraId="35A5C826" w14:textId="77777777" w:rsidR="00E37584" w:rsidRDefault="00E37584" w:rsidP="004004CC">
            <w:pPr>
              <w:pStyle w:val="Default"/>
              <w:jc w:val="both"/>
              <w:rPr>
                <w:sz w:val="20"/>
                <w:szCs w:val="20"/>
              </w:rPr>
            </w:pPr>
          </w:p>
          <w:p w14:paraId="33FC1992" w14:textId="77777777" w:rsidR="00E37584" w:rsidRDefault="00E37584" w:rsidP="004004CC">
            <w:pPr>
              <w:pStyle w:val="Default"/>
              <w:jc w:val="both"/>
              <w:rPr>
                <w:sz w:val="20"/>
                <w:szCs w:val="20"/>
              </w:rPr>
            </w:pPr>
            <w:r>
              <w:rPr>
                <w:sz w:val="20"/>
                <w:szCs w:val="20"/>
              </w:rPr>
              <w:t xml:space="preserve">V. Permitir la práctica de auditorías y verificaciones por los órganos del Instituto Nacional Electoral facultados para ello, o de la Comisión Estatal Electoral cuando se deleguen en ésta las facultades de fiscalización previstas en el artículo 41 de la </w:t>
            </w:r>
            <w:r>
              <w:rPr>
                <w:sz w:val="20"/>
                <w:szCs w:val="20"/>
              </w:rPr>
              <w:lastRenderedPageBreak/>
              <w:t>Constitución Política de los Estados Unidos Mexicanos para el Instituto Nacional Electoral, así como entregar la documentación que dichos órganos les requieran respecto a sus ingresos y egresos;</w:t>
            </w:r>
          </w:p>
          <w:p w14:paraId="696DBF9E" w14:textId="77777777" w:rsidR="00E37584" w:rsidRDefault="00E37584" w:rsidP="004004CC">
            <w:pPr>
              <w:pStyle w:val="Default"/>
              <w:jc w:val="both"/>
              <w:rPr>
                <w:sz w:val="20"/>
                <w:szCs w:val="20"/>
              </w:rPr>
            </w:pPr>
            <w:r>
              <w:rPr>
                <w:sz w:val="20"/>
                <w:szCs w:val="20"/>
              </w:rPr>
              <w:t xml:space="preserve"> </w:t>
            </w:r>
          </w:p>
          <w:p w14:paraId="325CF87A" w14:textId="77777777" w:rsidR="00E37584" w:rsidRDefault="00E37584" w:rsidP="004004CC">
            <w:pPr>
              <w:pStyle w:val="Default"/>
              <w:jc w:val="both"/>
              <w:rPr>
                <w:sz w:val="20"/>
                <w:szCs w:val="20"/>
              </w:rPr>
            </w:pPr>
            <w:r>
              <w:rPr>
                <w:sz w:val="20"/>
                <w:szCs w:val="20"/>
              </w:rPr>
              <w:t xml:space="preserve">[…] </w:t>
            </w:r>
          </w:p>
          <w:p w14:paraId="33B51F43" w14:textId="77777777" w:rsidR="00E37584" w:rsidRDefault="00E37584" w:rsidP="004004CC">
            <w:pPr>
              <w:pStyle w:val="Default"/>
              <w:jc w:val="both"/>
              <w:rPr>
                <w:sz w:val="20"/>
                <w:szCs w:val="20"/>
              </w:rPr>
            </w:pPr>
          </w:p>
          <w:p w14:paraId="467D16FF" w14:textId="77777777" w:rsidR="00E37584" w:rsidRPr="008702BA" w:rsidRDefault="00E37584" w:rsidP="008702BA">
            <w:pPr>
              <w:jc w:val="both"/>
              <w:rPr>
                <w:rFonts w:ascii="Century Gothic" w:eastAsiaTheme="minorEastAsia" w:hAnsi="Century Gothic" w:cs="Century Gothic"/>
                <w:sz w:val="20"/>
                <w:szCs w:val="20"/>
              </w:rPr>
            </w:pPr>
            <w:r w:rsidRPr="008702BA">
              <w:rPr>
                <w:rFonts w:ascii="Century Gothic" w:eastAsiaTheme="minorEastAsia" w:hAnsi="Century Gothic" w:cs="Century Gothic"/>
                <w:b/>
                <w:bCs/>
                <w:sz w:val="20"/>
                <w:szCs w:val="20"/>
              </w:rPr>
              <w:t>Artículo 47.</w:t>
            </w:r>
            <w:r w:rsidRPr="004004CC">
              <w:rPr>
                <w:rFonts w:ascii="Century Gothic" w:eastAsiaTheme="minorEastAsia" w:hAnsi="Century Gothic" w:cs="Century Gothic"/>
                <w:sz w:val="20"/>
                <w:szCs w:val="20"/>
              </w:rPr>
              <w:t xml:space="preserve"> Cada partido político será responsable de su contabilidad y de la operación del sistema de contabilidad, así como del cumplimiento de lo dispuesto en la Ley</w:t>
            </w:r>
            <w:r w:rsidRPr="008702BA">
              <w:rPr>
                <w:rFonts w:ascii="Century Gothic" w:eastAsiaTheme="minorEastAsia" w:hAnsi="Century Gothic" w:cs="Century Gothic"/>
                <w:sz w:val="20"/>
                <w:szCs w:val="20"/>
              </w:rPr>
              <w:t xml:space="preserve"> General de Partidos Políticos, en esta Ley y demás ordenamientos legales que sean aplicables en la materia. </w:t>
            </w:r>
          </w:p>
          <w:p w14:paraId="47E7FD51" w14:textId="77777777" w:rsidR="00E37584" w:rsidRPr="008702BA" w:rsidRDefault="00E37584" w:rsidP="008702BA">
            <w:pPr>
              <w:jc w:val="both"/>
              <w:rPr>
                <w:rFonts w:ascii="Century Gothic" w:eastAsiaTheme="minorEastAsia" w:hAnsi="Century Gothic" w:cs="Century Gothic"/>
                <w:sz w:val="20"/>
                <w:szCs w:val="20"/>
              </w:rPr>
            </w:pPr>
          </w:p>
          <w:p w14:paraId="29EDED9C" w14:textId="77777777" w:rsidR="00E37584" w:rsidRDefault="00E37584" w:rsidP="008702BA">
            <w:pPr>
              <w:pStyle w:val="Default"/>
              <w:jc w:val="both"/>
              <w:rPr>
                <w:sz w:val="20"/>
                <w:szCs w:val="20"/>
              </w:rPr>
            </w:pPr>
            <w:r w:rsidRPr="008702BA">
              <w:rPr>
                <w:b/>
                <w:bCs/>
                <w:sz w:val="20"/>
                <w:szCs w:val="20"/>
              </w:rPr>
              <w:t>Artículo 48.</w:t>
            </w:r>
            <w:r w:rsidRPr="008702BA">
              <w:rPr>
                <w:sz w:val="20"/>
                <w:szCs w:val="20"/>
              </w:rPr>
              <w:t xml:space="preserve"> </w:t>
            </w:r>
            <w:r>
              <w:rPr>
                <w:sz w:val="20"/>
                <w:szCs w:val="20"/>
              </w:rPr>
              <w:t xml:space="preserve">El sistema de contabilidad al que los partidos políticos se sujetarán, deberá tener las características siguientes: </w:t>
            </w:r>
          </w:p>
          <w:p w14:paraId="27C143B4" w14:textId="77777777" w:rsidR="00E37584" w:rsidRDefault="00E37584" w:rsidP="008702BA">
            <w:pPr>
              <w:pStyle w:val="Default"/>
              <w:jc w:val="both"/>
              <w:rPr>
                <w:sz w:val="20"/>
                <w:szCs w:val="20"/>
              </w:rPr>
            </w:pPr>
          </w:p>
          <w:p w14:paraId="3C4F158D" w14:textId="77777777" w:rsidR="00E37584" w:rsidRDefault="00E37584" w:rsidP="008702BA">
            <w:pPr>
              <w:pStyle w:val="Default"/>
              <w:jc w:val="both"/>
              <w:rPr>
                <w:sz w:val="20"/>
                <w:szCs w:val="20"/>
              </w:rPr>
            </w:pPr>
            <w:r>
              <w:rPr>
                <w:sz w:val="20"/>
                <w:szCs w:val="20"/>
              </w:rPr>
              <w:t xml:space="preserve">I. Estar conformado por el conjunto de registros, procedimientos, criterios e informes, estructurados sobre la base de principios técnicos comunes destinados a captar, valuar, registrar, clasificar, informar e interpretar, las transacciones, transformaciones y eventos que, derivados de la actividad financiera, modifican la situación patrimonial del partido político; </w:t>
            </w:r>
          </w:p>
          <w:p w14:paraId="40FA8ECD" w14:textId="77777777" w:rsidR="00E37584" w:rsidRDefault="00E37584" w:rsidP="008702BA">
            <w:pPr>
              <w:pStyle w:val="Default"/>
              <w:jc w:val="both"/>
              <w:rPr>
                <w:sz w:val="20"/>
                <w:szCs w:val="20"/>
              </w:rPr>
            </w:pPr>
          </w:p>
          <w:p w14:paraId="67451A5F" w14:textId="77777777" w:rsidR="00E37584" w:rsidRDefault="00E37584" w:rsidP="008702BA">
            <w:pPr>
              <w:pStyle w:val="Default"/>
              <w:jc w:val="both"/>
              <w:rPr>
                <w:sz w:val="20"/>
                <w:szCs w:val="20"/>
              </w:rPr>
            </w:pPr>
            <w:r>
              <w:rPr>
                <w:sz w:val="20"/>
                <w:szCs w:val="20"/>
              </w:rPr>
              <w:t xml:space="preserve">II. Las disposiciones que en materia de fiscalización establezcan las obligaciones, clasifiquen los conceptos de gasto de los partidos políticos, candidatos y todos los sujetos obligados; así como las que fijan las infracciones, son de interpretación estricta de la norma; </w:t>
            </w:r>
          </w:p>
          <w:p w14:paraId="6111AECA" w14:textId="77777777" w:rsidR="00E37584" w:rsidRDefault="00E37584" w:rsidP="008702BA">
            <w:pPr>
              <w:pStyle w:val="Default"/>
              <w:jc w:val="both"/>
              <w:rPr>
                <w:sz w:val="20"/>
                <w:szCs w:val="20"/>
              </w:rPr>
            </w:pPr>
          </w:p>
          <w:p w14:paraId="7E6B5405" w14:textId="77777777" w:rsidR="00E37584" w:rsidRDefault="00E37584" w:rsidP="008702BA">
            <w:pPr>
              <w:pStyle w:val="Default"/>
              <w:jc w:val="both"/>
              <w:rPr>
                <w:sz w:val="20"/>
                <w:szCs w:val="20"/>
              </w:rPr>
            </w:pPr>
            <w:r>
              <w:rPr>
                <w:sz w:val="20"/>
                <w:szCs w:val="20"/>
              </w:rPr>
              <w:t xml:space="preserve">III. Reconocer la naturaleza jurídica de las operaciones realizadas por los partidos políticos con terceros, en términos de las disposiciones civiles y mercantiles; </w:t>
            </w:r>
          </w:p>
          <w:p w14:paraId="76833F72" w14:textId="77777777" w:rsidR="00E37584" w:rsidRDefault="00E37584" w:rsidP="008702BA">
            <w:pPr>
              <w:pStyle w:val="Default"/>
              <w:jc w:val="both"/>
              <w:rPr>
                <w:sz w:val="20"/>
                <w:szCs w:val="20"/>
              </w:rPr>
            </w:pPr>
          </w:p>
          <w:p w14:paraId="2425ED87" w14:textId="77777777" w:rsidR="00E37584" w:rsidRDefault="00E37584" w:rsidP="008702BA">
            <w:pPr>
              <w:pStyle w:val="Default"/>
              <w:jc w:val="both"/>
              <w:rPr>
                <w:sz w:val="20"/>
                <w:szCs w:val="20"/>
              </w:rPr>
            </w:pPr>
            <w:r>
              <w:rPr>
                <w:sz w:val="20"/>
                <w:szCs w:val="20"/>
              </w:rPr>
              <w:t xml:space="preserve">IV. Registrar de manera armónica, delimitada y específica sus operaciones presupuestarias y contables, así como otros flujos económicos; </w:t>
            </w:r>
          </w:p>
          <w:p w14:paraId="5E162A49" w14:textId="77777777" w:rsidR="00E37584" w:rsidRDefault="00E37584" w:rsidP="008702BA">
            <w:pPr>
              <w:pStyle w:val="Default"/>
              <w:jc w:val="both"/>
              <w:rPr>
                <w:sz w:val="20"/>
                <w:szCs w:val="20"/>
              </w:rPr>
            </w:pPr>
          </w:p>
          <w:p w14:paraId="13610EFC" w14:textId="77777777" w:rsidR="00E37584" w:rsidRDefault="00E37584" w:rsidP="008702BA">
            <w:pPr>
              <w:pStyle w:val="Default"/>
              <w:jc w:val="both"/>
              <w:rPr>
                <w:sz w:val="20"/>
                <w:szCs w:val="20"/>
              </w:rPr>
            </w:pPr>
            <w:r>
              <w:rPr>
                <w:sz w:val="20"/>
                <w:szCs w:val="20"/>
              </w:rPr>
              <w:t xml:space="preserve">V. Reflejar la aplicación de los principios, normas contables generales y específicas e instrumentos que establezca el Instituto Nacional Electoral o, en su caso, la Comisión Estatal Electoral; </w:t>
            </w:r>
          </w:p>
          <w:p w14:paraId="0D889292" w14:textId="77777777" w:rsidR="00E37584" w:rsidRDefault="00E37584" w:rsidP="008702BA">
            <w:pPr>
              <w:pStyle w:val="Default"/>
              <w:jc w:val="both"/>
              <w:rPr>
                <w:sz w:val="20"/>
                <w:szCs w:val="20"/>
              </w:rPr>
            </w:pPr>
          </w:p>
          <w:p w14:paraId="4B6BA748" w14:textId="77777777" w:rsidR="00E37584" w:rsidRDefault="00E37584" w:rsidP="008702BA">
            <w:pPr>
              <w:pStyle w:val="Default"/>
              <w:jc w:val="both"/>
              <w:rPr>
                <w:sz w:val="20"/>
                <w:szCs w:val="20"/>
              </w:rPr>
            </w:pPr>
            <w:r>
              <w:rPr>
                <w:sz w:val="20"/>
                <w:szCs w:val="20"/>
              </w:rPr>
              <w:t>VI. Facilitar el reconocimiento de las operaciones de ingresos, gastos, activos, pasivos y patrimoniales;</w:t>
            </w:r>
          </w:p>
          <w:p w14:paraId="7BFD507E" w14:textId="77777777" w:rsidR="00E37584" w:rsidRDefault="00E37584" w:rsidP="008702BA">
            <w:pPr>
              <w:pStyle w:val="Default"/>
              <w:jc w:val="both"/>
              <w:rPr>
                <w:sz w:val="20"/>
                <w:szCs w:val="20"/>
              </w:rPr>
            </w:pPr>
            <w:r>
              <w:rPr>
                <w:sz w:val="20"/>
                <w:szCs w:val="20"/>
              </w:rPr>
              <w:t xml:space="preserve"> </w:t>
            </w:r>
          </w:p>
          <w:p w14:paraId="4005DBB9" w14:textId="77777777" w:rsidR="00E37584" w:rsidRDefault="00E37584" w:rsidP="008702BA">
            <w:pPr>
              <w:pStyle w:val="Default"/>
              <w:jc w:val="both"/>
              <w:rPr>
                <w:sz w:val="20"/>
                <w:szCs w:val="20"/>
              </w:rPr>
            </w:pPr>
            <w:r>
              <w:rPr>
                <w:sz w:val="20"/>
                <w:szCs w:val="20"/>
              </w:rPr>
              <w:t>VII. Integrar en forma automática el ejercicio presupuestario con la operación contable, a partir de la utilización del gasto devengado;</w:t>
            </w:r>
          </w:p>
          <w:p w14:paraId="3BCB1C0D" w14:textId="77777777" w:rsidR="00E37584" w:rsidRDefault="00E37584" w:rsidP="008702BA">
            <w:pPr>
              <w:pStyle w:val="Default"/>
              <w:jc w:val="both"/>
              <w:rPr>
                <w:sz w:val="20"/>
                <w:szCs w:val="20"/>
              </w:rPr>
            </w:pPr>
            <w:r>
              <w:rPr>
                <w:sz w:val="20"/>
                <w:szCs w:val="20"/>
              </w:rPr>
              <w:t xml:space="preserve"> </w:t>
            </w:r>
          </w:p>
          <w:p w14:paraId="7A000260" w14:textId="77777777" w:rsidR="00E37584" w:rsidRDefault="00E37584" w:rsidP="008702BA">
            <w:pPr>
              <w:jc w:val="both"/>
              <w:rPr>
                <w:sz w:val="20"/>
                <w:szCs w:val="20"/>
              </w:rPr>
            </w:pPr>
            <w:r w:rsidRPr="008702BA">
              <w:rPr>
                <w:rFonts w:ascii="Century Gothic" w:eastAsiaTheme="minorEastAsia" w:hAnsi="Century Gothic" w:cs="Century Gothic"/>
                <w:sz w:val="20"/>
                <w:szCs w:val="20"/>
              </w:rPr>
              <w:lastRenderedPageBreak/>
              <w:t>VIII. Permitir que los registros se efectúen considerando la base acumulativa para la integración de la información presupuestaria y contable;</w:t>
            </w:r>
            <w:r>
              <w:rPr>
                <w:sz w:val="20"/>
                <w:szCs w:val="20"/>
              </w:rPr>
              <w:t xml:space="preserve"> </w:t>
            </w:r>
          </w:p>
          <w:p w14:paraId="6D680D0A" w14:textId="77777777" w:rsidR="00E37584" w:rsidRDefault="00E37584" w:rsidP="008702BA">
            <w:pPr>
              <w:jc w:val="both"/>
              <w:rPr>
                <w:sz w:val="20"/>
                <w:szCs w:val="20"/>
              </w:rPr>
            </w:pPr>
          </w:p>
          <w:p w14:paraId="4BC935B0" w14:textId="77777777" w:rsidR="00E37584" w:rsidRDefault="00E37584" w:rsidP="008702BA">
            <w:pPr>
              <w:pStyle w:val="Default"/>
              <w:jc w:val="both"/>
              <w:rPr>
                <w:sz w:val="20"/>
                <w:szCs w:val="20"/>
              </w:rPr>
            </w:pPr>
            <w:r>
              <w:rPr>
                <w:sz w:val="20"/>
                <w:szCs w:val="20"/>
              </w:rPr>
              <w:t xml:space="preserve">IX. Reflejar un registro congruente y ordenado de cada operación que genere derechos y obligaciones derivados de la gestión financiera; </w:t>
            </w:r>
          </w:p>
          <w:p w14:paraId="011D80ED" w14:textId="77777777" w:rsidR="00E37584" w:rsidRDefault="00E37584" w:rsidP="008702BA">
            <w:pPr>
              <w:pStyle w:val="Default"/>
              <w:jc w:val="both"/>
              <w:rPr>
                <w:sz w:val="20"/>
                <w:szCs w:val="20"/>
              </w:rPr>
            </w:pPr>
          </w:p>
          <w:p w14:paraId="63E7AB5C" w14:textId="77777777" w:rsidR="00E37584" w:rsidRDefault="00E37584" w:rsidP="008702BA">
            <w:pPr>
              <w:pStyle w:val="Default"/>
              <w:jc w:val="both"/>
              <w:rPr>
                <w:sz w:val="20"/>
                <w:szCs w:val="20"/>
              </w:rPr>
            </w:pPr>
            <w:r>
              <w:rPr>
                <w:sz w:val="20"/>
                <w:szCs w:val="20"/>
              </w:rPr>
              <w:t xml:space="preserve">X. Generar, en tiempo real, estados financieros, de ejecución presupuestaria y otra información que coadyuve a la toma de decisiones, a la transparencia, a la programación con base en resultados, a la evaluación y a la rendición de cuentas, y </w:t>
            </w:r>
          </w:p>
          <w:p w14:paraId="49A5C928" w14:textId="77777777" w:rsidR="00E37584" w:rsidRDefault="00E37584" w:rsidP="008702BA">
            <w:pPr>
              <w:pStyle w:val="Default"/>
              <w:jc w:val="both"/>
              <w:rPr>
                <w:sz w:val="20"/>
                <w:szCs w:val="20"/>
              </w:rPr>
            </w:pPr>
            <w:r>
              <w:rPr>
                <w:sz w:val="20"/>
                <w:szCs w:val="20"/>
              </w:rPr>
              <w:t xml:space="preserve">XI. Facilitar el registro y control de los inventarios de los bienes muebles e inmuebles. </w:t>
            </w:r>
          </w:p>
          <w:p w14:paraId="7822D593" w14:textId="77777777" w:rsidR="00E37584" w:rsidRDefault="00E37584" w:rsidP="008702BA">
            <w:pPr>
              <w:pStyle w:val="Default"/>
              <w:jc w:val="both"/>
              <w:rPr>
                <w:sz w:val="20"/>
                <w:szCs w:val="20"/>
              </w:rPr>
            </w:pPr>
          </w:p>
          <w:p w14:paraId="6B6864A2" w14:textId="77777777" w:rsidR="00E37584" w:rsidRDefault="00E37584" w:rsidP="008702BA">
            <w:pPr>
              <w:pStyle w:val="Default"/>
              <w:jc w:val="both"/>
              <w:rPr>
                <w:sz w:val="20"/>
                <w:szCs w:val="20"/>
              </w:rPr>
            </w:pPr>
            <w:r>
              <w:rPr>
                <w:sz w:val="20"/>
                <w:szCs w:val="20"/>
              </w:rPr>
              <w:t>El sistema de contabilidad se desplegará en un sistema informático que contará con dispositivos de seguridad. Los partidos harán su registro contable en línea y el Instituto Nacional Electoral o, en su caso, la Comisión Estatal Electoral podrá tener acceso a esos sistemas en ejercicio de sus facultades de vigilancia y fiscalización.</w:t>
            </w:r>
          </w:p>
          <w:p w14:paraId="1EE97AFD" w14:textId="77777777" w:rsidR="00E37584" w:rsidRDefault="00E37584" w:rsidP="008702BA">
            <w:pPr>
              <w:pStyle w:val="Default"/>
              <w:jc w:val="both"/>
              <w:rPr>
                <w:sz w:val="20"/>
                <w:szCs w:val="20"/>
              </w:rPr>
            </w:pPr>
            <w:r>
              <w:rPr>
                <w:sz w:val="20"/>
                <w:szCs w:val="20"/>
              </w:rPr>
              <w:t xml:space="preserve"> </w:t>
            </w:r>
          </w:p>
          <w:p w14:paraId="7E1FF12E" w14:textId="77777777" w:rsidR="00E37584" w:rsidRDefault="00E37584" w:rsidP="008702BA">
            <w:pPr>
              <w:pStyle w:val="Default"/>
              <w:jc w:val="both"/>
              <w:rPr>
                <w:sz w:val="20"/>
                <w:szCs w:val="20"/>
              </w:rPr>
            </w:pPr>
            <w:r>
              <w:rPr>
                <w:sz w:val="20"/>
                <w:szCs w:val="20"/>
              </w:rPr>
              <w:t xml:space="preserve">En su caso, la autoridad competente formulará recomendaciones preventivas a partidos políticos y candidatos, con vistas a mejorar la eficacia, eficiencia, oportunidad, consistencia y veracidad de los informes que la Ley General de Partidos Políticos y esta Ley señalan. </w:t>
            </w:r>
          </w:p>
          <w:p w14:paraId="2A747789" w14:textId="77777777" w:rsidR="00E37584" w:rsidRDefault="00E37584" w:rsidP="008702BA">
            <w:pPr>
              <w:pStyle w:val="Default"/>
              <w:jc w:val="both"/>
              <w:rPr>
                <w:sz w:val="20"/>
                <w:szCs w:val="20"/>
              </w:rPr>
            </w:pPr>
          </w:p>
          <w:p w14:paraId="511A8621" w14:textId="77777777" w:rsidR="00E37584" w:rsidRDefault="00E37584" w:rsidP="008702BA">
            <w:pPr>
              <w:pStyle w:val="Default"/>
              <w:jc w:val="both"/>
              <w:rPr>
                <w:sz w:val="20"/>
                <w:szCs w:val="20"/>
              </w:rPr>
            </w:pPr>
            <w:r w:rsidRPr="008702BA">
              <w:rPr>
                <w:b/>
                <w:bCs/>
                <w:sz w:val="20"/>
                <w:szCs w:val="20"/>
              </w:rPr>
              <w:t>Artículo 49.</w:t>
            </w:r>
            <w:r w:rsidRPr="008702BA">
              <w:rPr>
                <w:sz w:val="20"/>
                <w:szCs w:val="20"/>
              </w:rPr>
              <w:t xml:space="preserve"> </w:t>
            </w:r>
            <w:r>
              <w:rPr>
                <w:sz w:val="20"/>
                <w:szCs w:val="20"/>
              </w:rPr>
              <w:t xml:space="preserve">En cuanto a su régimen financiero, los partidos políticos deberán: </w:t>
            </w:r>
          </w:p>
          <w:p w14:paraId="01988525" w14:textId="77777777" w:rsidR="00E37584" w:rsidRDefault="00E37584" w:rsidP="008702BA">
            <w:pPr>
              <w:pStyle w:val="Default"/>
              <w:jc w:val="both"/>
              <w:rPr>
                <w:sz w:val="20"/>
                <w:szCs w:val="20"/>
              </w:rPr>
            </w:pPr>
          </w:p>
          <w:p w14:paraId="53389829" w14:textId="77777777" w:rsidR="00E37584" w:rsidRDefault="00E37584" w:rsidP="008702BA">
            <w:pPr>
              <w:pStyle w:val="Default"/>
              <w:jc w:val="both"/>
              <w:rPr>
                <w:sz w:val="20"/>
                <w:szCs w:val="20"/>
              </w:rPr>
            </w:pPr>
            <w:r>
              <w:rPr>
                <w:sz w:val="20"/>
                <w:szCs w:val="20"/>
              </w:rPr>
              <w:t xml:space="preserve">I. Llevar su contabilidad mediante libros, sistemas, registros contables, estados de cuenta, cuentas especiales, papeles de trabajo, discos o cualquier medio procesable de almacenamiento de datos que les permitan facilitar el registro y la fiscalización de sus activos, pasivos, ingresos y gastos y, en general, contribuir a medir la eficacia, economía y eficiencia del gasto e ingresos y la administración de la deuda; </w:t>
            </w:r>
          </w:p>
          <w:p w14:paraId="3D322DD2" w14:textId="77777777" w:rsidR="00E37584" w:rsidRDefault="00E37584" w:rsidP="008702BA">
            <w:pPr>
              <w:pStyle w:val="Default"/>
              <w:jc w:val="both"/>
              <w:rPr>
                <w:sz w:val="20"/>
                <w:szCs w:val="20"/>
              </w:rPr>
            </w:pPr>
          </w:p>
          <w:p w14:paraId="491496D3" w14:textId="77777777" w:rsidR="00E37584" w:rsidRDefault="00E37584" w:rsidP="008702BA">
            <w:pPr>
              <w:pStyle w:val="Default"/>
              <w:jc w:val="both"/>
              <w:rPr>
                <w:sz w:val="20"/>
                <w:szCs w:val="20"/>
              </w:rPr>
            </w:pPr>
            <w:r>
              <w:rPr>
                <w:sz w:val="20"/>
                <w:szCs w:val="20"/>
              </w:rPr>
              <w:t xml:space="preserve">II. Generar estados financieros confiables, oportunos, comprensibles, periódicos, comparables y homogéneos, los cuales serán expresados en términos monetarios; </w:t>
            </w:r>
          </w:p>
          <w:p w14:paraId="35EAE5B5" w14:textId="77777777" w:rsidR="00E37584" w:rsidRDefault="00E37584" w:rsidP="008702BA">
            <w:pPr>
              <w:pStyle w:val="Default"/>
              <w:jc w:val="both"/>
              <w:rPr>
                <w:sz w:val="20"/>
                <w:szCs w:val="20"/>
              </w:rPr>
            </w:pPr>
          </w:p>
          <w:p w14:paraId="0F7B2E6B" w14:textId="77777777" w:rsidR="00E37584" w:rsidRDefault="00E37584" w:rsidP="008702BA">
            <w:pPr>
              <w:jc w:val="both"/>
              <w:rPr>
                <w:rFonts w:ascii="Century Gothic" w:eastAsiaTheme="minorEastAsia" w:hAnsi="Century Gothic" w:cs="Century Gothic"/>
                <w:sz w:val="20"/>
                <w:szCs w:val="20"/>
              </w:rPr>
            </w:pPr>
            <w:r w:rsidRPr="008702BA">
              <w:rPr>
                <w:rFonts w:ascii="Century Gothic" w:eastAsiaTheme="minorEastAsia" w:hAnsi="Century Gothic" w:cs="Century Gothic"/>
                <w:sz w:val="20"/>
                <w:szCs w:val="20"/>
              </w:rPr>
              <w:t>III. Seguir las mejores prácticas contables en apoyo a las tareas de planeación financiera, control de recursos, análisis y fiscalización;</w:t>
            </w:r>
          </w:p>
          <w:p w14:paraId="03B0744D" w14:textId="77777777" w:rsidR="00E37584" w:rsidRDefault="00E37584" w:rsidP="008702BA">
            <w:pPr>
              <w:jc w:val="both"/>
              <w:rPr>
                <w:rFonts w:ascii="Century Gothic" w:eastAsiaTheme="minorEastAsia" w:hAnsi="Century Gothic" w:cs="Century Gothic"/>
                <w:sz w:val="20"/>
                <w:szCs w:val="20"/>
              </w:rPr>
            </w:pPr>
            <w:r w:rsidRPr="008702BA">
              <w:rPr>
                <w:rFonts w:ascii="Century Gothic" w:eastAsiaTheme="minorEastAsia" w:hAnsi="Century Gothic" w:cs="Century Gothic"/>
                <w:sz w:val="20"/>
                <w:szCs w:val="20"/>
              </w:rPr>
              <w:t xml:space="preserve">IV. Contar con manuales de contabilidad, así como con otros instrumentos contables que defina el Consejo General del Instituto Nacional Electoral; </w:t>
            </w:r>
          </w:p>
          <w:p w14:paraId="236A4EA5" w14:textId="77777777" w:rsidR="00E37584" w:rsidRPr="008702BA" w:rsidRDefault="00E37584" w:rsidP="008702BA">
            <w:pPr>
              <w:jc w:val="both"/>
              <w:rPr>
                <w:rFonts w:ascii="Century Gothic" w:eastAsiaTheme="minorEastAsia" w:hAnsi="Century Gothic" w:cs="Century Gothic"/>
                <w:sz w:val="20"/>
                <w:szCs w:val="20"/>
              </w:rPr>
            </w:pPr>
          </w:p>
          <w:p w14:paraId="4057CAE9" w14:textId="77777777" w:rsidR="00E37584" w:rsidRDefault="00E37584" w:rsidP="008702BA">
            <w:pPr>
              <w:pStyle w:val="Default"/>
              <w:jc w:val="both"/>
              <w:rPr>
                <w:sz w:val="20"/>
                <w:szCs w:val="20"/>
              </w:rPr>
            </w:pPr>
            <w:r>
              <w:rPr>
                <w:sz w:val="20"/>
                <w:szCs w:val="20"/>
              </w:rPr>
              <w:lastRenderedPageBreak/>
              <w:t xml:space="preserve">V. Conservar la información contable por un término mínimo de cinco años, y </w:t>
            </w:r>
          </w:p>
          <w:p w14:paraId="0310249D" w14:textId="77777777" w:rsidR="00E37584" w:rsidRDefault="00E37584" w:rsidP="008702BA">
            <w:pPr>
              <w:pStyle w:val="Default"/>
              <w:jc w:val="both"/>
              <w:rPr>
                <w:sz w:val="20"/>
                <w:szCs w:val="20"/>
              </w:rPr>
            </w:pPr>
          </w:p>
          <w:p w14:paraId="1D5957F4" w14:textId="77777777" w:rsidR="00E37584" w:rsidRDefault="00E37584" w:rsidP="008702BA">
            <w:pPr>
              <w:pStyle w:val="Default"/>
              <w:jc w:val="both"/>
              <w:rPr>
                <w:sz w:val="20"/>
                <w:szCs w:val="20"/>
              </w:rPr>
            </w:pPr>
            <w:r>
              <w:rPr>
                <w:sz w:val="20"/>
                <w:szCs w:val="20"/>
              </w:rPr>
              <w:t xml:space="preserve">VI. Las demás obligaciones que establezcan las leyes generales y demás disposiciones normativas aplicables en la materia. </w:t>
            </w:r>
          </w:p>
          <w:p w14:paraId="078FF8F9" w14:textId="77777777" w:rsidR="00E37584" w:rsidRDefault="00E37584" w:rsidP="008702BA">
            <w:pPr>
              <w:pStyle w:val="Default"/>
              <w:jc w:val="both"/>
              <w:rPr>
                <w:sz w:val="20"/>
                <w:szCs w:val="20"/>
              </w:rPr>
            </w:pPr>
          </w:p>
          <w:p w14:paraId="394F1DF5" w14:textId="77777777" w:rsidR="00E37584" w:rsidRDefault="00E37584" w:rsidP="008702BA">
            <w:pPr>
              <w:pStyle w:val="Default"/>
              <w:jc w:val="both"/>
              <w:rPr>
                <w:sz w:val="20"/>
                <w:szCs w:val="20"/>
              </w:rPr>
            </w:pPr>
            <w:r w:rsidRPr="008702BA">
              <w:rPr>
                <w:b/>
                <w:bCs/>
                <w:sz w:val="20"/>
                <w:szCs w:val="20"/>
              </w:rPr>
              <w:t>Artículo 50.</w:t>
            </w:r>
            <w:r>
              <w:rPr>
                <w:sz w:val="20"/>
                <w:szCs w:val="20"/>
              </w:rPr>
              <w:t xml:space="preserve"> Corresponde al Instituto Nacional Electoral la fiscalización de ingresos y egresos de los partidos políticos, sus coaliciones, las agrupaciones políticas nacionales y de los candidatos a cargos de elección popular en el Estado.</w:t>
            </w:r>
          </w:p>
          <w:p w14:paraId="2B3D0E01" w14:textId="77777777" w:rsidR="00E37584" w:rsidRDefault="00E37584" w:rsidP="008702BA">
            <w:pPr>
              <w:pStyle w:val="Default"/>
              <w:jc w:val="both"/>
              <w:rPr>
                <w:sz w:val="20"/>
                <w:szCs w:val="20"/>
              </w:rPr>
            </w:pPr>
            <w:r>
              <w:rPr>
                <w:sz w:val="20"/>
                <w:szCs w:val="20"/>
              </w:rPr>
              <w:t xml:space="preserve"> </w:t>
            </w:r>
          </w:p>
          <w:p w14:paraId="604F1993" w14:textId="77777777" w:rsidR="00E37584" w:rsidRDefault="00E37584" w:rsidP="008702BA">
            <w:pPr>
              <w:pStyle w:val="Default"/>
              <w:jc w:val="both"/>
              <w:rPr>
                <w:sz w:val="20"/>
                <w:szCs w:val="20"/>
              </w:rPr>
            </w:pPr>
            <w:r>
              <w:rPr>
                <w:sz w:val="20"/>
                <w:szCs w:val="20"/>
              </w:rPr>
              <w:t xml:space="preserve">La Comisión Estatal Electoral tendrá a su cargo la fiscalización de los ingresos y gastos de las Asociaciones Políticas Estatales y de las organizaciones de observadores electorales. También será responsable de la fiscalización de los ingresos y egresos de los partidos políticos, sus coaliciones y de los candidatos a cargos de elección popular en el Estado, sólo en el supuesto de que el Instituto Nacional Electoral le delegue dicha facultad, o así se convenga entre las autoridades electorales. </w:t>
            </w:r>
          </w:p>
          <w:p w14:paraId="5594F4BE" w14:textId="77777777" w:rsidR="00E37584" w:rsidRDefault="00E37584" w:rsidP="008702BA">
            <w:pPr>
              <w:pStyle w:val="Default"/>
              <w:jc w:val="both"/>
              <w:rPr>
                <w:sz w:val="20"/>
                <w:szCs w:val="20"/>
              </w:rPr>
            </w:pPr>
          </w:p>
          <w:p w14:paraId="4E7DFCC8" w14:textId="77777777" w:rsidR="00E37584" w:rsidRDefault="00E37584" w:rsidP="008702BA">
            <w:pPr>
              <w:pStyle w:val="Default"/>
              <w:jc w:val="both"/>
              <w:rPr>
                <w:sz w:val="20"/>
                <w:szCs w:val="20"/>
              </w:rPr>
            </w:pPr>
            <w:r>
              <w:rPr>
                <w:sz w:val="20"/>
                <w:szCs w:val="20"/>
              </w:rPr>
              <w:t xml:space="preserve">La fiscalización de los partidos políticos se realizará en los términos y conforme a los procedimientos previstos por esta Ley, la Ley General de Instituciones y Procedimientos Electorales, la Ley General de Partidos Políticos, los reglamentos, lineamientos, acuerdos generales, normas técnicas y demás disposiciones que emita el Consejo General del Instituto Nacional Electoral. </w:t>
            </w:r>
          </w:p>
          <w:p w14:paraId="525763BD" w14:textId="77777777" w:rsidR="00E37584" w:rsidRDefault="00E37584" w:rsidP="008702BA">
            <w:pPr>
              <w:pStyle w:val="Default"/>
              <w:jc w:val="both"/>
              <w:rPr>
                <w:sz w:val="20"/>
                <w:szCs w:val="20"/>
              </w:rPr>
            </w:pPr>
          </w:p>
          <w:p w14:paraId="7D9A36C1" w14:textId="77777777" w:rsidR="00E37584" w:rsidRDefault="00E37584" w:rsidP="008702BA">
            <w:pPr>
              <w:pStyle w:val="Default"/>
              <w:jc w:val="both"/>
              <w:rPr>
                <w:sz w:val="20"/>
                <w:szCs w:val="20"/>
              </w:rPr>
            </w:pPr>
            <w:r>
              <w:rPr>
                <w:sz w:val="20"/>
                <w:szCs w:val="20"/>
              </w:rPr>
              <w:t xml:space="preserve">En el desempeño de sus funciones de fiscalización, la Comisión Estatal Electoral podrá solicitar, mediante acuerdo motivado y fundado, la intervención del Órgano Técnico del Consejo General del Instituto Nacional Electoral en caso de ser necesario para superar la limitación establecida por los secretos bancarios, fiscal y fiduciario, a fin de que ésta actúe ante las autoridades de la materia, para todos los efectos legales. </w:t>
            </w:r>
          </w:p>
          <w:p w14:paraId="203375F0" w14:textId="77777777" w:rsidR="00E37584" w:rsidRDefault="00E37584" w:rsidP="008702BA">
            <w:pPr>
              <w:pStyle w:val="Default"/>
              <w:jc w:val="both"/>
              <w:rPr>
                <w:sz w:val="20"/>
                <w:szCs w:val="20"/>
              </w:rPr>
            </w:pPr>
          </w:p>
          <w:p w14:paraId="71403A59" w14:textId="77777777" w:rsidR="00E37584" w:rsidRPr="008702BA" w:rsidRDefault="00E37584" w:rsidP="008702BA">
            <w:pPr>
              <w:jc w:val="both"/>
              <w:rPr>
                <w:rFonts w:ascii="Century Gothic" w:eastAsiaTheme="minorEastAsia" w:hAnsi="Century Gothic" w:cs="Century Gothic"/>
                <w:sz w:val="20"/>
                <w:szCs w:val="20"/>
              </w:rPr>
            </w:pPr>
            <w:r w:rsidRPr="008702BA">
              <w:rPr>
                <w:rFonts w:ascii="Century Gothic" w:eastAsiaTheme="minorEastAsia" w:hAnsi="Century Gothic" w:cs="Century Gothic"/>
                <w:b/>
                <w:bCs/>
                <w:sz w:val="20"/>
                <w:szCs w:val="20"/>
              </w:rPr>
              <w:t>Artículo 51.</w:t>
            </w:r>
            <w:r w:rsidRPr="008702BA">
              <w:rPr>
                <w:rFonts w:ascii="Century Gothic" w:eastAsiaTheme="minorEastAsia" w:hAnsi="Century Gothic" w:cs="Century Gothic"/>
                <w:sz w:val="20"/>
                <w:szCs w:val="20"/>
              </w:rPr>
              <w:t xml:space="preserve"> Para efectos de ejercer sus facultades de fiscalización, además de las que, en su caso, le sean delegadas por el Instituto Nacional Electoral, la Comisión Estatal Electoral deberá contar con una Dirección de Fiscalización dependiente de la Secretaría Ejecutiva, que tendrá las siguientes facultades: </w:t>
            </w:r>
          </w:p>
          <w:p w14:paraId="480B5115" w14:textId="77777777" w:rsidR="00E37584" w:rsidRPr="008702BA" w:rsidRDefault="00E37584" w:rsidP="008702BA">
            <w:pPr>
              <w:jc w:val="both"/>
              <w:rPr>
                <w:rFonts w:ascii="Century Gothic" w:eastAsiaTheme="minorEastAsia" w:hAnsi="Century Gothic" w:cs="Century Gothic"/>
                <w:sz w:val="20"/>
                <w:szCs w:val="20"/>
              </w:rPr>
            </w:pPr>
          </w:p>
          <w:p w14:paraId="75326A11" w14:textId="77777777" w:rsidR="00E37584" w:rsidRDefault="00E37584" w:rsidP="008702BA">
            <w:pPr>
              <w:pStyle w:val="Default"/>
              <w:jc w:val="both"/>
              <w:rPr>
                <w:sz w:val="20"/>
                <w:szCs w:val="20"/>
              </w:rPr>
            </w:pPr>
            <w:r>
              <w:rPr>
                <w:sz w:val="20"/>
                <w:szCs w:val="20"/>
              </w:rPr>
              <w:t xml:space="preserve">I. Vigilar que los recursos de los partidos y candidatos independientes tengan origen lícito y se apliquen estricta e invariablemente a las actividades señaladas en esta Ley; </w:t>
            </w:r>
          </w:p>
          <w:p w14:paraId="2A1C0D68" w14:textId="77777777" w:rsidR="00E37584" w:rsidRDefault="00E37584" w:rsidP="008702BA">
            <w:pPr>
              <w:pStyle w:val="Default"/>
              <w:jc w:val="both"/>
              <w:rPr>
                <w:sz w:val="20"/>
                <w:szCs w:val="20"/>
              </w:rPr>
            </w:pPr>
          </w:p>
          <w:p w14:paraId="113B12BF" w14:textId="77777777" w:rsidR="00E37584" w:rsidRDefault="00E37584" w:rsidP="008702BA">
            <w:pPr>
              <w:pStyle w:val="Default"/>
              <w:jc w:val="both"/>
              <w:rPr>
                <w:sz w:val="20"/>
                <w:szCs w:val="20"/>
              </w:rPr>
            </w:pPr>
            <w:r>
              <w:rPr>
                <w:sz w:val="20"/>
                <w:szCs w:val="20"/>
              </w:rPr>
              <w:t xml:space="preserve">II. Recibir los informes trimestrales y anuales, así como de gastos de precampaña y campaña de los partidos políticos y candidatos, así como los demás informes de ingresos y gastos establecidos en esta Ley; </w:t>
            </w:r>
          </w:p>
          <w:p w14:paraId="224AD333" w14:textId="77777777" w:rsidR="00E37584" w:rsidRDefault="00E37584" w:rsidP="008702BA">
            <w:pPr>
              <w:pStyle w:val="Default"/>
              <w:jc w:val="both"/>
              <w:rPr>
                <w:sz w:val="20"/>
                <w:szCs w:val="20"/>
              </w:rPr>
            </w:pPr>
          </w:p>
          <w:p w14:paraId="2B950CA4" w14:textId="77777777" w:rsidR="00E37584" w:rsidRDefault="00E37584" w:rsidP="008702BA">
            <w:pPr>
              <w:pStyle w:val="Default"/>
              <w:jc w:val="both"/>
              <w:rPr>
                <w:sz w:val="20"/>
                <w:szCs w:val="20"/>
              </w:rPr>
            </w:pPr>
            <w:r>
              <w:rPr>
                <w:sz w:val="20"/>
                <w:szCs w:val="20"/>
              </w:rPr>
              <w:t xml:space="preserve">III. Revisar los informes señalados en el inciso anterior; </w:t>
            </w:r>
          </w:p>
          <w:p w14:paraId="1012C380" w14:textId="77777777" w:rsidR="00E37584" w:rsidRDefault="00E37584" w:rsidP="008702BA">
            <w:pPr>
              <w:pStyle w:val="Default"/>
              <w:jc w:val="both"/>
              <w:rPr>
                <w:sz w:val="20"/>
                <w:szCs w:val="20"/>
              </w:rPr>
            </w:pPr>
          </w:p>
          <w:p w14:paraId="3AE2C9C3" w14:textId="77777777" w:rsidR="00E37584" w:rsidRDefault="00E37584" w:rsidP="008702BA">
            <w:pPr>
              <w:pStyle w:val="Default"/>
              <w:jc w:val="both"/>
              <w:rPr>
                <w:sz w:val="20"/>
                <w:szCs w:val="20"/>
              </w:rPr>
            </w:pPr>
            <w:r>
              <w:rPr>
                <w:sz w:val="20"/>
                <w:szCs w:val="20"/>
              </w:rPr>
              <w:lastRenderedPageBreak/>
              <w:t>IV. Requerir información complementaria respecto de los diversos apartados de los informes de ingresos y egresos o documentación comprobatoria de cualquier otro aspecto vinculado a los mismos;</w:t>
            </w:r>
          </w:p>
          <w:p w14:paraId="29630386" w14:textId="77777777" w:rsidR="00E37584" w:rsidRDefault="00E37584" w:rsidP="008702BA">
            <w:pPr>
              <w:pStyle w:val="Default"/>
              <w:jc w:val="both"/>
              <w:rPr>
                <w:sz w:val="20"/>
                <w:szCs w:val="20"/>
              </w:rPr>
            </w:pPr>
            <w:r>
              <w:rPr>
                <w:sz w:val="20"/>
                <w:szCs w:val="20"/>
              </w:rPr>
              <w:t xml:space="preserve"> </w:t>
            </w:r>
          </w:p>
          <w:p w14:paraId="568B02AC" w14:textId="77777777" w:rsidR="00E37584" w:rsidRDefault="00E37584" w:rsidP="008702BA">
            <w:pPr>
              <w:pStyle w:val="Default"/>
              <w:jc w:val="both"/>
              <w:rPr>
                <w:sz w:val="20"/>
                <w:szCs w:val="20"/>
              </w:rPr>
            </w:pPr>
            <w:r>
              <w:rPr>
                <w:sz w:val="20"/>
                <w:szCs w:val="20"/>
              </w:rPr>
              <w:t xml:space="preserve">V. Ordenar la práctica de auditorías, directamente o a través de terceros, a las finanzas de los partidos políticos; </w:t>
            </w:r>
          </w:p>
          <w:p w14:paraId="2DF255E7" w14:textId="77777777" w:rsidR="00E37584" w:rsidRDefault="00E37584" w:rsidP="008702BA">
            <w:pPr>
              <w:pStyle w:val="Default"/>
              <w:jc w:val="both"/>
              <w:rPr>
                <w:sz w:val="20"/>
                <w:szCs w:val="20"/>
              </w:rPr>
            </w:pPr>
          </w:p>
          <w:p w14:paraId="44D65B74" w14:textId="77777777" w:rsidR="00E37584" w:rsidRDefault="00E37584" w:rsidP="008702BA">
            <w:pPr>
              <w:pStyle w:val="Default"/>
              <w:jc w:val="both"/>
              <w:rPr>
                <w:sz w:val="20"/>
                <w:szCs w:val="20"/>
              </w:rPr>
            </w:pPr>
            <w:r>
              <w:rPr>
                <w:sz w:val="20"/>
                <w:szCs w:val="20"/>
              </w:rPr>
              <w:t xml:space="preserve">VI. Ordenar visitas de verificación a los partidos políticos y candidatos independientes con el fin de corroborar el cumplimiento de sus obligaciones y la veracidad de sus informes; </w:t>
            </w:r>
          </w:p>
          <w:p w14:paraId="6E7F577D" w14:textId="77777777" w:rsidR="00E37584" w:rsidRDefault="00E37584" w:rsidP="008702BA">
            <w:pPr>
              <w:pStyle w:val="Default"/>
              <w:jc w:val="both"/>
              <w:rPr>
                <w:sz w:val="20"/>
                <w:szCs w:val="20"/>
              </w:rPr>
            </w:pPr>
            <w:r>
              <w:rPr>
                <w:sz w:val="20"/>
                <w:szCs w:val="20"/>
              </w:rPr>
              <w:t xml:space="preserve">VII. Presentar a la Comisión Estatal Electoral los informes de resultados y proyectos de resolución sobre las auditorías y verificaciones practicadas a los partidos políticos y candidatos independientes. Los informes especificarán las irregularidades en que hubieren incurrido los partidos políticos y candidatos independientes en el manejo de sus recursos; el incumplimiento de su obligación de informar sobre la aplicación de los mismos y, en su caso, propondrán las sanciones que procedan conforme a la normatividad aplicable; </w:t>
            </w:r>
          </w:p>
          <w:p w14:paraId="264C5B43" w14:textId="77777777" w:rsidR="00E37584" w:rsidRDefault="00E37584" w:rsidP="008702BA">
            <w:pPr>
              <w:pStyle w:val="Default"/>
              <w:jc w:val="both"/>
              <w:rPr>
                <w:sz w:val="20"/>
                <w:szCs w:val="20"/>
              </w:rPr>
            </w:pPr>
          </w:p>
          <w:p w14:paraId="5A55CEC3" w14:textId="77777777" w:rsidR="00E37584" w:rsidRDefault="00E37584" w:rsidP="008702BA">
            <w:pPr>
              <w:pStyle w:val="Default"/>
              <w:jc w:val="both"/>
              <w:rPr>
                <w:sz w:val="20"/>
                <w:szCs w:val="20"/>
              </w:rPr>
            </w:pPr>
            <w:r>
              <w:rPr>
                <w:sz w:val="20"/>
                <w:szCs w:val="20"/>
              </w:rPr>
              <w:t xml:space="preserve">VIII. Proporcionar a los partidos políticos y candidatos la orientación, asesoría y capacitación necesarias para el cumplimiento de sus obligaciones consignadas en esta sección; </w:t>
            </w:r>
          </w:p>
          <w:p w14:paraId="28E9FC3D" w14:textId="77777777" w:rsidR="00E37584" w:rsidRDefault="00E37584" w:rsidP="008702BA">
            <w:pPr>
              <w:pStyle w:val="Default"/>
              <w:jc w:val="both"/>
              <w:rPr>
                <w:sz w:val="20"/>
                <w:szCs w:val="20"/>
              </w:rPr>
            </w:pPr>
          </w:p>
          <w:p w14:paraId="337E6B21" w14:textId="77777777" w:rsidR="00E37584" w:rsidRPr="001F4197" w:rsidRDefault="00E37584" w:rsidP="001F4197">
            <w:pPr>
              <w:jc w:val="both"/>
              <w:rPr>
                <w:rFonts w:ascii="Century Gothic" w:eastAsiaTheme="minorEastAsia" w:hAnsi="Century Gothic" w:cs="Century Gothic"/>
                <w:sz w:val="20"/>
                <w:szCs w:val="20"/>
              </w:rPr>
            </w:pPr>
            <w:r w:rsidRPr="008702BA">
              <w:rPr>
                <w:rFonts w:ascii="Century Gothic" w:eastAsiaTheme="minorEastAsia" w:hAnsi="Century Gothic" w:cs="Century Gothic"/>
                <w:sz w:val="20"/>
                <w:szCs w:val="20"/>
              </w:rPr>
              <w:t xml:space="preserve">IX. Fiscalizar y vigilar los ingresos y gastos de las Asociaciones Políticas Estatales que pretendan obtener registro como partido político, a partir del momento en que </w:t>
            </w:r>
            <w:r w:rsidRPr="001F4197">
              <w:rPr>
                <w:rFonts w:ascii="Century Gothic" w:eastAsiaTheme="minorEastAsia" w:hAnsi="Century Gothic" w:cs="Century Gothic"/>
                <w:sz w:val="20"/>
                <w:szCs w:val="20"/>
              </w:rPr>
              <w:t xml:space="preserve">notifiquen de tal propósito a la Comisión Estatal Electoral, en los términos establecidos en esta Ley; </w:t>
            </w:r>
          </w:p>
          <w:p w14:paraId="13E0A8F5" w14:textId="77777777" w:rsidR="00E37584" w:rsidRDefault="00E37584" w:rsidP="008702BA">
            <w:pPr>
              <w:pStyle w:val="Default"/>
              <w:jc w:val="both"/>
              <w:rPr>
                <w:sz w:val="20"/>
                <w:szCs w:val="20"/>
              </w:rPr>
            </w:pPr>
          </w:p>
          <w:p w14:paraId="2CBE7BEC" w14:textId="77777777" w:rsidR="00E37584" w:rsidRDefault="00E37584" w:rsidP="008702BA">
            <w:pPr>
              <w:pStyle w:val="Default"/>
              <w:jc w:val="both"/>
              <w:rPr>
                <w:sz w:val="20"/>
                <w:szCs w:val="20"/>
              </w:rPr>
            </w:pPr>
            <w:r>
              <w:rPr>
                <w:sz w:val="20"/>
                <w:szCs w:val="20"/>
              </w:rPr>
              <w:t xml:space="preserve">X. Revisar los informes de ingresos y gastos que presenten las Asociaciones Políticas Estatales y las organizaciones de observadores electorales, de conformidad a lo que establezca el Reglamento que al efecto emita la Comisión Estatal Electoral; </w:t>
            </w:r>
          </w:p>
          <w:p w14:paraId="22A4DA10" w14:textId="77777777" w:rsidR="00E37584" w:rsidRDefault="00E37584" w:rsidP="008702BA">
            <w:pPr>
              <w:pStyle w:val="Default"/>
              <w:jc w:val="both"/>
              <w:rPr>
                <w:sz w:val="20"/>
                <w:szCs w:val="20"/>
              </w:rPr>
            </w:pPr>
          </w:p>
          <w:p w14:paraId="294E5CAC" w14:textId="77777777" w:rsidR="00E37584" w:rsidRDefault="00E37584" w:rsidP="008702BA">
            <w:pPr>
              <w:pStyle w:val="Default"/>
              <w:jc w:val="both"/>
              <w:rPr>
                <w:sz w:val="20"/>
                <w:szCs w:val="20"/>
              </w:rPr>
            </w:pPr>
            <w:r>
              <w:rPr>
                <w:sz w:val="20"/>
                <w:szCs w:val="20"/>
              </w:rPr>
              <w:t xml:space="preserve">XI. Ser responsable de los procedimientos de liquidación de los partidos políticos locales que pierdan su registro, de conformidad con lo previsto en las leyes; </w:t>
            </w:r>
          </w:p>
          <w:p w14:paraId="3E46098D" w14:textId="77777777" w:rsidR="00E37584" w:rsidRDefault="00E37584" w:rsidP="008702BA">
            <w:pPr>
              <w:pStyle w:val="Default"/>
              <w:jc w:val="both"/>
              <w:rPr>
                <w:sz w:val="20"/>
                <w:szCs w:val="20"/>
              </w:rPr>
            </w:pPr>
          </w:p>
          <w:p w14:paraId="1FE9429D" w14:textId="77777777" w:rsidR="00E37584" w:rsidRDefault="00E37584" w:rsidP="008702BA">
            <w:pPr>
              <w:pStyle w:val="Default"/>
              <w:jc w:val="both"/>
              <w:rPr>
                <w:sz w:val="20"/>
                <w:szCs w:val="20"/>
              </w:rPr>
            </w:pPr>
            <w:r>
              <w:rPr>
                <w:sz w:val="20"/>
                <w:szCs w:val="20"/>
              </w:rPr>
              <w:t xml:space="preserve">XII. Presentar al Consejo General de la Comisión Estatal Electoral el proyecto de reglamento para el desahogo de los procedimientos administrativos a que haya lugar respecto de las quejas que se presenten en materia de fiscalización y vigilancia de los recursos de los partidos políticos, dichas quejas deberán ser presentadas ante la Dirección Jurídica; </w:t>
            </w:r>
          </w:p>
          <w:p w14:paraId="52AD3316" w14:textId="77777777" w:rsidR="00E37584" w:rsidRDefault="00E37584" w:rsidP="008702BA">
            <w:pPr>
              <w:pStyle w:val="Default"/>
              <w:jc w:val="both"/>
              <w:rPr>
                <w:sz w:val="20"/>
                <w:szCs w:val="20"/>
              </w:rPr>
            </w:pPr>
          </w:p>
          <w:p w14:paraId="598DB9B8" w14:textId="77777777" w:rsidR="00E37584" w:rsidRDefault="00E37584" w:rsidP="008702BA">
            <w:pPr>
              <w:pStyle w:val="Default"/>
              <w:jc w:val="both"/>
              <w:rPr>
                <w:sz w:val="20"/>
                <w:szCs w:val="20"/>
              </w:rPr>
            </w:pPr>
            <w:r>
              <w:rPr>
                <w:sz w:val="20"/>
                <w:szCs w:val="20"/>
              </w:rPr>
              <w:t xml:space="preserve">XIII. Celebrar, en materia de fiscalización y vigilancia de los recursos de los partidos políticos y candidatos, convenios de coordinación con el Instituto Nacional Electoral; </w:t>
            </w:r>
          </w:p>
          <w:p w14:paraId="2D1AA2CF" w14:textId="77777777" w:rsidR="00E37584" w:rsidRDefault="00E37584" w:rsidP="008702BA">
            <w:pPr>
              <w:pStyle w:val="Default"/>
              <w:jc w:val="both"/>
              <w:rPr>
                <w:sz w:val="20"/>
                <w:szCs w:val="20"/>
              </w:rPr>
            </w:pPr>
          </w:p>
          <w:p w14:paraId="71E4A64E" w14:textId="77777777" w:rsidR="00E37584" w:rsidRDefault="00E37584" w:rsidP="008702BA">
            <w:pPr>
              <w:pStyle w:val="Default"/>
              <w:jc w:val="both"/>
              <w:rPr>
                <w:sz w:val="20"/>
                <w:szCs w:val="20"/>
              </w:rPr>
            </w:pPr>
            <w:r>
              <w:rPr>
                <w:sz w:val="20"/>
                <w:szCs w:val="20"/>
              </w:rPr>
              <w:lastRenderedPageBreak/>
              <w:t xml:space="preserve">XIV. Ser el conducto ante el Instituto Nacional Electoral para que se superen las limitaciones de los secretos bancario, fiduciario o fiscal, en materia de fiscalización; </w:t>
            </w:r>
          </w:p>
          <w:p w14:paraId="6BCCE6A2" w14:textId="77777777" w:rsidR="00E37584" w:rsidRDefault="00E37584" w:rsidP="008702BA">
            <w:pPr>
              <w:pStyle w:val="Default"/>
              <w:jc w:val="both"/>
              <w:rPr>
                <w:sz w:val="20"/>
                <w:szCs w:val="20"/>
              </w:rPr>
            </w:pPr>
          </w:p>
          <w:p w14:paraId="2EB8CF10" w14:textId="77777777" w:rsidR="00E37584" w:rsidRDefault="00E37584" w:rsidP="008702BA">
            <w:pPr>
              <w:pStyle w:val="Default"/>
              <w:jc w:val="both"/>
              <w:rPr>
                <w:sz w:val="20"/>
                <w:szCs w:val="20"/>
              </w:rPr>
            </w:pPr>
            <w:r>
              <w:rPr>
                <w:sz w:val="20"/>
                <w:szCs w:val="20"/>
              </w:rPr>
              <w:t xml:space="preserve">XV. Requerir de las personas físicas o morales, públicas o privadas, en relación con las operaciones que realicen con los partidos políticos, la información necesaria para el cumplimiento de sus tareas, respetando en todo momento las garantías del requerido. Quienes se nieguen a proporcionar la información que les sea requerida, o no la proporcionen, sin causa justificada, dentro de los plazos que se señalen, se harán acreedores a las sanciones establecidas en esta Ley; y </w:t>
            </w:r>
          </w:p>
          <w:p w14:paraId="02EC562F" w14:textId="77777777" w:rsidR="00E37584" w:rsidRDefault="00E37584" w:rsidP="008702BA">
            <w:pPr>
              <w:pStyle w:val="Default"/>
              <w:jc w:val="both"/>
              <w:rPr>
                <w:sz w:val="20"/>
                <w:szCs w:val="20"/>
              </w:rPr>
            </w:pPr>
          </w:p>
          <w:p w14:paraId="3FB2F37C" w14:textId="77777777" w:rsidR="00E37584" w:rsidRDefault="00E37584" w:rsidP="008702BA">
            <w:pPr>
              <w:pStyle w:val="Default"/>
              <w:jc w:val="both"/>
              <w:rPr>
                <w:sz w:val="20"/>
                <w:szCs w:val="20"/>
              </w:rPr>
            </w:pPr>
            <w:r>
              <w:rPr>
                <w:sz w:val="20"/>
                <w:szCs w:val="20"/>
              </w:rPr>
              <w:t xml:space="preserve">XVI. Las demás que le confieran las leyes generales de la materia, esta Ley y las demás disposiciones aplicables. </w:t>
            </w:r>
          </w:p>
          <w:p w14:paraId="4F33AE8B" w14:textId="77777777" w:rsidR="00E37584" w:rsidRDefault="00E37584" w:rsidP="008702BA">
            <w:pPr>
              <w:pStyle w:val="Default"/>
              <w:jc w:val="both"/>
              <w:rPr>
                <w:sz w:val="20"/>
                <w:szCs w:val="20"/>
              </w:rPr>
            </w:pPr>
          </w:p>
          <w:p w14:paraId="0CBBFAD1" w14:textId="77777777" w:rsidR="00E37584" w:rsidRPr="001F4197" w:rsidRDefault="00E37584" w:rsidP="001F4197">
            <w:pPr>
              <w:jc w:val="both"/>
              <w:rPr>
                <w:rFonts w:ascii="Century Gothic" w:eastAsiaTheme="minorEastAsia" w:hAnsi="Century Gothic" w:cs="Century Gothic"/>
                <w:sz w:val="20"/>
                <w:szCs w:val="20"/>
              </w:rPr>
            </w:pPr>
            <w:r w:rsidRPr="001F4197">
              <w:rPr>
                <w:rFonts w:ascii="Century Gothic" w:eastAsiaTheme="minorEastAsia" w:hAnsi="Century Gothic" w:cs="Century Gothic"/>
                <w:b/>
                <w:bCs/>
                <w:sz w:val="20"/>
                <w:szCs w:val="20"/>
              </w:rPr>
              <w:t>Artículo 52.</w:t>
            </w:r>
            <w:r w:rsidRPr="001F4197">
              <w:rPr>
                <w:rFonts w:ascii="Century Gothic" w:eastAsiaTheme="minorEastAsia" w:hAnsi="Century Gothic" w:cs="Century Gothic"/>
                <w:sz w:val="20"/>
                <w:szCs w:val="20"/>
              </w:rPr>
              <w:t xml:space="preserve"> En el ejercicio de sus facultades, la Dirección de Fiscalización deberá garantizar el derecho de audiencia de los partidos políticos y en general de toda persona requerida con motivo de los procesos de fiscalización a que se refiere la presente sección. Los partidos políticos tendrán derecho a la confronta de los documentos comprobatorios de sus ingresos y gastos, o de sus estados contables, contra los obtenidos o elaborados por la Dirección sobre las mismas operaciones, a fin de aclarar las discrepancias entre unos y otros. </w:t>
            </w:r>
          </w:p>
          <w:p w14:paraId="2291E21E" w14:textId="77777777" w:rsidR="00E37584" w:rsidRDefault="00E37584" w:rsidP="001F4197">
            <w:pPr>
              <w:jc w:val="both"/>
              <w:rPr>
                <w:sz w:val="20"/>
                <w:szCs w:val="20"/>
              </w:rPr>
            </w:pPr>
          </w:p>
          <w:p w14:paraId="519C6998" w14:textId="77777777" w:rsidR="00E37584" w:rsidRDefault="00E37584" w:rsidP="001F4197">
            <w:pPr>
              <w:pStyle w:val="Default"/>
              <w:jc w:val="both"/>
              <w:rPr>
                <w:sz w:val="20"/>
                <w:szCs w:val="20"/>
              </w:rPr>
            </w:pPr>
            <w:r>
              <w:rPr>
                <w:sz w:val="20"/>
                <w:szCs w:val="20"/>
              </w:rPr>
              <w:t xml:space="preserve">El órgano interno de los partidos políticos previsto en el artículo 43, inciso c), de la Ley General de Partidos Políticos, será el responsable de la administración de su patrimonio y de sus recursos generales, de precampaña y campaña, así como de la presentación de los informes a que se refiere la Ley General de Partidos Políticos. Dicho órgano se constituirá en los términos y con las modalidades y características que cada partido libremente determine. </w:t>
            </w:r>
          </w:p>
          <w:p w14:paraId="788BDE1B" w14:textId="77777777" w:rsidR="00E37584" w:rsidRDefault="00E37584" w:rsidP="001F4197">
            <w:pPr>
              <w:pStyle w:val="Default"/>
              <w:jc w:val="both"/>
              <w:rPr>
                <w:sz w:val="20"/>
                <w:szCs w:val="20"/>
              </w:rPr>
            </w:pPr>
          </w:p>
          <w:p w14:paraId="28D4B59C" w14:textId="77777777" w:rsidR="00E37584" w:rsidRDefault="00E37584" w:rsidP="001F4197">
            <w:pPr>
              <w:pStyle w:val="Default"/>
              <w:jc w:val="both"/>
              <w:rPr>
                <w:sz w:val="20"/>
                <w:szCs w:val="20"/>
              </w:rPr>
            </w:pPr>
            <w:r>
              <w:rPr>
                <w:sz w:val="20"/>
                <w:szCs w:val="20"/>
              </w:rPr>
              <w:t xml:space="preserve">La revisión de los informes que los partidos políticos presenten sobre el origen y destino de sus recursos ordinarios y de campaña, según corresponda, así como la práctica de auditorías sobre el manejo de sus recursos y su situación contable y financiera estará a cargo del Consejo General del Instituto Nacional Electoral, o en su caso, de la Comisión Estatal Electoral en los términos de las disposiciones aplicables. </w:t>
            </w:r>
          </w:p>
          <w:p w14:paraId="0347E8A2" w14:textId="77777777" w:rsidR="00E37584" w:rsidRDefault="00E37584" w:rsidP="001F4197">
            <w:pPr>
              <w:pStyle w:val="Default"/>
              <w:jc w:val="both"/>
              <w:rPr>
                <w:sz w:val="20"/>
                <w:szCs w:val="20"/>
              </w:rPr>
            </w:pPr>
          </w:p>
          <w:p w14:paraId="78B442D9" w14:textId="77777777" w:rsidR="00E37584" w:rsidRDefault="00E37584" w:rsidP="001F4197">
            <w:pPr>
              <w:pStyle w:val="Default"/>
              <w:jc w:val="both"/>
              <w:rPr>
                <w:sz w:val="20"/>
                <w:szCs w:val="20"/>
              </w:rPr>
            </w:pPr>
            <w:r>
              <w:rPr>
                <w:b/>
                <w:bCs/>
                <w:sz w:val="20"/>
                <w:szCs w:val="20"/>
              </w:rPr>
              <w:t xml:space="preserve">Artículo 53. </w:t>
            </w:r>
            <w:r>
              <w:rPr>
                <w:sz w:val="20"/>
                <w:szCs w:val="20"/>
              </w:rPr>
              <w:t xml:space="preserve">Los partidos políticos deberán presentar sus informes trimestrales, de gastos ordinarios, de precampaña y campaña, conforme a lo establecido en la Ley General de Partidos Políticos y atendiendo las siguientes reglas: </w:t>
            </w:r>
          </w:p>
          <w:p w14:paraId="36758149" w14:textId="77777777" w:rsidR="00E37584" w:rsidRDefault="00E37584" w:rsidP="001F4197">
            <w:pPr>
              <w:pStyle w:val="Default"/>
              <w:jc w:val="both"/>
              <w:rPr>
                <w:sz w:val="20"/>
                <w:szCs w:val="20"/>
              </w:rPr>
            </w:pPr>
          </w:p>
          <w:p w14:paraId="54EDA110" w14:textId="77777777" w:rsidR="00E37584" w:rsidRDefault="00E37584" w:rsidP="001F4197">
            <w:pPr>
              <w:pStyle w:val="Default"/>
              <w:jc w:val="both"/>
              <w:rPr>
                <w:sz w:val="20"/>
                <w:szCs w:val="20"/>
              </w:rPr>
            </w:pPr>
            <w:r>
              <w:rPr>
                <w:sz w:val="20"/>
                <w:szCs w:val="20"/>
              </w:rPr>
              <w:t xml:space="preserve">I. Informes trimestrales de avance del ejercicio: </w:t>
            </w:r>
          </w:p>
          <w:p w14:paraId="3B48D0F5" w14:textId="77777777" w:rsidR="00E37584" w:rsidRDefault="00E37584" w:rsidP="001F4197">
            <w:pPr>
              <w:pStyle w:val="Default"/>
              <w:jc w:val="both"/>
              <w:rPr>
                <w:sz w:val="20"/>
                <w:szCs w:val="20"/>
              </w:rPr>
            </w:pPr>
          </w:p>
          <w:p w14:paraId="7385214A" w14:textId="77777777" w:rsidR="00E37584" w:rsidRDefault="00E37584" w:rsidP="001F4197">
            <w:pPr>
              <w:pStyle w:val="Default"/>
              <w:jc w:val="both"/>
              <w:rPr>
                <w:sz w:val="20"/>
                <w:szCs w:val="20"/>
              </w:rPr>
            </w:pPr>
            <w:r>
              <w:rPr>
                <w:sz w:val="20"/>
                <w:szCs w:val="20"/>
              </w:rPr>
              <w:t xml:space="preserve">a. Serán presentados a más tardar dentro de los treinta días siguientes a la conclusión del trimestre que corresponda; </w:t>
            </w:r>
          </w:p>
          <w:p w14:paraId="555B0F5D" w14:textId="77777777" w:rsidR="00E37584" w:rsidRDefault="00E37584" w:rsidP="001F4197">
            <w:pPr>
              <w:pStyle w:val="Default"/>
              <w:jc w:val="both"/>
              <w:rPr>
                <w:sz w:val="20"/>
                <w:szCs w:val="20"/>
              </w:rPr>
            </w:pPr>
          </w:p>
          <w:p w14:paraId="216949D0" w14:textId="77777777" w:rsidR="00E37584" w:rsidRDefault="00E37584" w:rsidP="001F4197">
            <w:pPr>
              <w:pStyle w:val="Default"/>
              <w:jc w:val="both"/>
              <w:rPr>
                <w:sz w:val="20"/>
                <w:szCs w:val="20"/>
              </w:rPr>
            </w:pPr>
            <w:r>
              <w:rPr>
                <w:sz w:val="20"/>
                <w:szCs w:val="20"/>
              </w:rPr>
              <w:lastRenderedPageBreak/>
              <w:t xml:space="preserve">b. En el informe será reportado el resultado de los ingresos y gastos ordinarios que los partidos hayan obtenido y realizado durante el período que corresponda; </w:t>
            </w:r>
          </w:p>
          <w:p w14:paraId="5F418109" w14:textId="77777777" w:rsidR="00E37584" w:rsidRDefault="00E37584" w:rsidP="001F4197">
            <w:pPr>
              <w:pStyle w:val="Default"/>
              <w:jc w:val="both"/>
              <w:rPr>
                <w:sz w:val="20"/>
                <w:szCs w:val="20"/>
              </w:rPr>
            </w:pPr>
          </w:p>
          <w:p w14:paraId="6F001341" w14:textId="77777777" w:rsidR="00E37584" w:rsidRDefault="00E37584" w:rsidP="001F4197">
            <w:pPr>
              <w:jc w:val="both"/>
              <w:rPr>
                <w:rFonts w:ascii="Century Gothic" w:eastAsiaTheme="minorEastAsia" w:hAnsi="Century Gothic" w:cs="Century Gothic"/>
                <w:sz w:val="20"/>
                <w:szCs w:val="20"/>
              </w:rPr>
            </w:pPr>
            <w:r w:rsidRPr="001F4197">
              <w:rPr>
                <w:rFonts w:ascii="Century Gothic" w:eastAsiaTheme="minorEastAsia" w:hAnsi="Century Gothic" w:cs="Century Gothic"/>
                <w:sz w:val="20"/>
                <w:szCs w:val="20"/>
              </w:rPr>
              <w:t xml:space="preserve">c. Si de la revisión que realice la Dirección de Fiscalización se encuentran anomalías, errores u omisiones, se notificará al partido político a fin de que las subsane o realice las aclaraciones conducentes. En todo caso los informes trimestrales tienen el carácter exclusivamente informativo para la autoridad; y </w:t>
            </w:r>
          </w:p>
          <w:p w14:paraId="70EF8E69" w14:textId="77777777" w:rsidR="00E37584" w:rsidRDefault="00E37584" w:rsidP="001F4197">
            <w:pPr>
              <w:jc w:val="both"/>
              <w:rPr>
                <w:rFonts w:ascii="Century Gothic" w:eastAsiaTheme="minorEastAsia" w:hAnsi="Century Gothic" w:cs="Century Gothic"/>
                <w:sz w:val="20"/>
                <w:szCs w:val="20"/>
              </w:rPr>
            </w:pPr>
          </w:p>
          <w:p w14:paraId="31373E44" w14:textId="77777777" w:rsidR="00E37584" w:rsidRDefault="00E37584" w:rsidP="001F4197">
            <w:pPr>
              <w:pStyle w:val="Default"/>
              <w:jc w:val="both"/>
              <w:rPr>
                <w:sz w:val="20"/>
                <w:szCs w:val="20"/>
              </w:rPr>
            </w:pPr>
            <w:r>
              <w:rPr>
                <w:sz w:val="20"/>
                <w:szCs w:val="20"/>
              </w:rPr>
              <w:t xml:space="preserve">d. Durante el año del proceso electoral se suspenderá la obligación establecida en esta fracción. </w:t>
            </w:r>
          </w:p>
          <w:p w14:paraId="2F5C94BD" w14:textId="77777777" w:rsidR="00E37584" w:rsidRDefault="00E37584" w:rsidP="001F4197">
            <w:pPr>
              <w:pStyle w:val="Default"/>
              <w:jc w:val="both"/>
              <w:rPr>
                <w:sz w:val="20"/>
                <w:szCs w:val="20"/>
              </w:rPr>
            </w:pPr>
          </w:p>
          <w:p w14:paraId="0DC2EEEE" w14:textId="77777777" w:rsidR="00E37584" w:rsidRDefault="00E37584" w:rsidP="001F4197">
            <w:pPr>
              <w:pStyle w:val="Default"/>
              <w:jc w:val="both"/>
              <w:rPr>
                <w:sz w:val="20"/>
                <w:szCs w:val="20"/>
              </w:rPr>
            </w:pPr>
            <w:r>
              <w:rPr>
                <w:sz w:val="20"/>
                <w:szCs w:val="20"/>
              </w:rPr>
              <w:t xml:space="preserve">II. Informes anuales: </w:t>
            </w:r>
          </w:p>
          <w:p w14:paraId="0A54D2E4" w14:textId="77777777" w:rsidR="00E37584" w:rsidRDefault="00E37584" w:rsidP="001F4197">
            <w:pPr>
              <w:pStyle w:val="Default"/>
              <w:jc w:val="both"/>
              <w:rPr>
                <w:sz w:val="20"/>
                <w:szCs w:val="20"/>
              </w:rPr>
            </w:pPr>
          </w:p>
          <w:p w14:paraId="732B31AB" w14:textId="77777777" w:rsidR="00E37584" w:rsidRDefault="00E37584" w:rsidP="001F4197">
            <w:pPr>
              <w:pStyle w:val="Default"/>
              <w:jc w:val="both"/>
              <w:rPr>
                <w:sz w:val="20"/>
                <w:szCs w:val="20"/>
              </w:rPr>
            </w:pPr>
            <w:r>
              <w:rPr>
                <w:sz w:val="20"/>
                <w:szCs w:val="20"/>
              </w:rPr>
              <w:t xml:space="preserve">a. Serán presentados a más tardar dentro de los sesenta días siguientes al último día de diciembre del año del ejercicio del reporte; </w:t>
            </w:r>
          </w:p>
          <w:p w14:paraId="5B1D59D7" w14:textId="77777777" w:rsidR="00E37584" w:rsidRDefault="00E37584" w:rsidP="001F4197">
            <w:pPr>
              <w:pStyle w:val="Default"/>
              <w:jc w:val="both"/>
              <w:rPr>
                <w:sz w:val="20"/>
                <w:szCs w:val="20"/>
              </w:rPr>
            </w:pPr>
          </w:p>
          <w:p w14:paraId="100C7C87" w14:textId="77777777" w:rsidR="00E37584" w:rsidRDefault="00E37584" w:rsidP="001F4197">
            <w:pPr>
              <w:pStyle w:val="Default"/>
              <w:jc w:val="both"/>
              <w:rPr>
                <w:sz w:val="20"/>
                <w:szCs w:val="20"/>
              </w:rPr>
            </w:pPr>
            <w:r>
              <w:rPr>
                <w:sz w:val="20"/>
                <w:szCs w:val="20"/>
              </w:rPr>
              <w:t>b. En el informe anual serán reportados los ingresos totales y gastos ordinarios que los partidos políticos hayan realizado durante el ejercicio objeto del informe; y</w:t>
            </w:r>
          </w:p>
          <w:p w14:paraId="4A11FE57" w14:textId="77777777" w:rsidR="00E37584" w:rsidRDefault="00E37584" w:rsidP="001F4197">
            <w:pPr>
              <w:pStyle w:val="Default"/>
              <w:jc w:val="both"/>
              <w:rPr>
                <w:sz w:val="20"/>
                <w:szCs w:val="20"/>
              </w:rPr>
            </w:pPr>
            <w:r>
              <w:rPr>
                <w:sz w:val="20"/>
                <w:szCs w:val="20"/>
              </w:rPr>
              <w:t xml:space="preserve"> </w:t>
            </w:r>
          </w:p>
          <w:p w14:paraId="2F572B65" w14:textId="77777777" w:rsidR="00E37584" w:rsidRDefault="00E37584" w:rsidP="001F4197">
            <w:pPr>
              <w:pStyle w:val="Default"/>
              <w:jc w:val="both"/>
              <w:rPr>
                <w:sz w:val="20"/>
                <w:szCs w:val="20"/>
              </w:rPr>
            </w:pPr>
            <w:r>
              <w:rPr>
                <w:sz w:val="20"/>
                <w:szCs w:val="20"/>
              </w:rPr>
              <w:t xml:space="preserve">c. Junto con el informe anual se presentará el estado consolidado de situación patrimonial en el que se manifiesten los activos, pasivos y patrimonio, así como un informe detallado de los bienes inmuebles propiedad del partido político que corresponda. </w:t>
            </w:r>
          </w:p>
          <w:p w14:paraId="3E2888B9" w14:textId="77777777" w:rsidR="00E37584" w:rsidRDefault="00E37584" w:rsidP="001F4197">
            <w:pPr>
              <w:pStyle w:val="Default"/>
              <w:jc w:val="both"/>
              <w:rPr>
                <w:sz w:val="20"/>
                <w:szCs w:val="20"/>
              </w:rPr>
            </w:pPr>
          </w:p>
          <w:p w14:paraId="3412028A" w14:textId="77777777" w:rsidR="00E37584" w:rsidRDefault="00E37584" w:rsidP="001F4197">
            <w:pPr>
              <w:pStyle w:val="Default"/>
              <w:jc w:val="both"/>
              <w:rPr>
                <w:sz w:val="20"/>
                <w:szCs w:val="20"/>
              </w:rPr>
            </w:pPr>
            <w:r>
              <w:rPr>
                <w:sz w:val="20"/>
                <w:szCs w:val="20"/>
              </w:rPr>
              <w:t xml:space="preserve">III. Informes de precampaña: </w:t>
            </w:r>
          </w:p>
          <w:p w14:paraId="31F8401A" w14:textId="77777777" w:rsidR="00E37584" w:rsidRDefault="00E37584" w:rsidP="001F4197">
            <w:pPr>
              <w:pStyle w:val="Default"/>
              <w:jc w:val="both"/>
              <w:rPr>
                <w:sz w:val="20"/>
                <w:szCs w:val="20"/>
              </w:rPr>
            </w:pPr>
          </w:p>
          <w:p w14:paraId="1BBFE25D" w14:textId="77777777" w:rsidR="00E37584" w:rsidRDefault="00E37584" w:rsidP="001F4197">
            <w:pPr>
              <w:pStyle w:val="Default"/>
              <w:jc w:val="both"/>
              <w:rPr>
                <w:sz w:val="20"/>
                <w:szCs w:val="20"/>
              </w:rPr>
            </w:pPr>
            <w:r>
              <w:rPr>
                <w:sz w:val="20"/>
                <w:szCs w:val="20"/>
              </w:rPr>
              <w:t>a. Deberán ser presentados por los partidos políticos por cada uno de los precandidatos a cargos de elección popular, registrados para cada tipo de precampaña, especificando el origen y monto de los ingresos, así como los gastos realizados;</w:t>
            </w:r>
          </w:p>
          <w:p w14:paraId="2B5BD71D" w14:textId="77777777" w:rsidR="00E37584" w:rsidRDefault="00E37584" w:rsidP="001F4197">
            <w:pPr>
              <w:pStyle w:val="Default"/>
              <w:jc w:val="both"/>
              <w:rPr>
                <w:sz w:val="20"/>
                <w:szCs w:val="20"/>
              </w:rPr>
            </w:pPr>
            <w:r>
              <w:rPr>
                <w:sz w:val="20"/>
                <w:szCs w:val="20"/>
              </w:rPr>
              <w:t xml:space="preserve"> </w:t>
            </w:r>
          </w:p>
          <w:p w14:paraId="7D583864" w14:textId="77777777" w:rsidR="00E37584" w:rsidRDefault="00E37584" w:rsidP="001F4197">
            <w:pPr>
              <w:pStyle w:val="Default"/>
              <w:jc w:val="both"/>
              <w:rPr>
                <w:sz w:val="20"/>
                <w:szCs w:val="20"/>
              </w:rPr>
            </w:pPr>
            <w:r>
              <w:rPr>
                <w:sz w:val="20"/>
                <w:szCs w:val="20"/>
              </w:rPr>
              <w:t>b. Los informes deberán presentarse a más tardar dentro de los diez días siguientes al de la conclusión de la precampaña; y</w:t>
            </w:r>
          </w:p>
          <w:p w14:paraId="3C7851C2" w14:textId="77777777" w:rsidR="00E37584" w:rsidRDefault="00E37584" w:rsidP="001F4197">
            <w:pPr>
              <w:pStyle w:val="Default"/>
              <w:jc w:val="both"/>
              <w:rPr>
                <w:sz w:val="20"/>
                <w:szCs w:val="20"/>
              </w:rPr>
            </w:pPr>
            <w:r>
              <w:rPr>
                <w:sz w:val="20"/>
                <w:szCs w:val="20"/>
              </w:rPr>
              <w:t xml:space="preserve"> </w:t>
            </w:r>
          </w:p>
          <w:p w14:paraId="6EE55C03" w14:textId="77777777" w:rsidR="00E37584" w:rsidRDefault="00E37584" w:rsidP="001F4197">
            <w:pPr>
              <w:pStyle w:val="Default"/>
              <w:jc w:val="both"/>
              <w:rPr>
                <w:sz w:val="20"/>
                <w:szCs w:val="20"/>
              </w:rPr>
            </w:pPr>
            <w:r>
              <w:rPr>
                <w:sz w:val="20"/>
                <w:szCs w:val="20"/>
              </w:rPr>
              <w:t>c. Si de la revisión que realice la Dirección de Fiscalización se encuentran anomalías, errores u omisiones, se notificará al partido político a fin de que las subsane o realice las aclaraciones conducentes en un término de cinco días.</w:t>
            </w:r>
          </w:p>
          <w:p w14:paraId="7007C570" w14:textId="77777777" w:rsidR="00E37584" w:rsidRDefault="00E37584" w:rsidP="001F4197">
            <w:pPr>
              <w:pStyle w:val="Default"/>
              <w:jc w:val="both"/>
              <w:rPr>
                <w:sz w:val="20"/>
                <w:szCs w:val="20"/>
              </w:rPr>
            </w:pPr>
            <w:r>
              <w:rPr>
                <w:sz w:val="20"/>
                <w:szCs w:val="20"/>
              </w:rPr>
              <w:t xml:space="preserve"> </w:t>
            </w:r>
          </w:p>
          <w:p w14:paraId="752E5EAF" w14:textId="77777777" w:rsidR="00E37584" w:rsidRDefault="00E37584" w:rsidP="001F4197">
            <w:pPr>
              <w:pStyle w:val="Default"/>
              <w:jc w:val="both"/>
              <w:rPr>
                <w:sz w:val="20"/>
                <w:szCs w:val="20"/>
              </w:rPr>
            </w:pPr>
            <w:r>
              <w:rPr>
                <w:sz w:val="20"/>
                <w:szCs w:val="20"/>
              </w:rPr>
              <w:t>IV. Informes de campaña:</w:t>
            </w:r>
          </w:p>
          <w:p w14:paraId="0EF3494D" w14:textId="77777777" w:rsidR="00E37584" w:rsidRDefault="00E37584" w:rsidP="001F4197">
            <w:pPr>
              <w:pStyle w:val="Default"/>
              <w:jc w:val="both"/>
              <w:rPr>
                <w:sz w:val="20"/>
                <w:szCs w:val="20"/>
              </w:rPr>
            </w:pPr>
            <w:r>
              <w:rPr>
                <w:sz w:val="20"/>
                <w:szCs w:val="20"/>
              </w:rPr>
              <w:t xml:space="preserve"> </w:t>
            </w:r>
          </w:p>
          <w:p w14:paraId="264FCDD7" w14:textId="77777777" w:rsidR="00E37584" w:rsidRDefault="00E37584" w:rsidP="001F4197">
            <w:pPr>
              <w:jc w:val="both"/>
              <w:rPr>
                <w:sz w:val="20"/>
                <w:szCs w:val="20"/>
              </w:rPr>
            </w:pPr>
            <w:r w:rsidRPr="001F4197">
              <w:rPr>
                <w:rFonts w:ascii="Century Gothic" w:eastAsiaTheme="minorEastAsia" w:hAnsi="Century Gothic" w:cs="Century Gothic"/>
                <w:sz w:val="20"/>
                <w:szCs w:val="20"/>
              </w:rPr>
              <w:lastRenderedPageBreak/>
              <w:t>a. Deberán ser presentados por los partidos políticos, para cada una de las campañas en las elecciones respectivas, especificando los gastos que el partido político y el candidato hayan realizado en la respectiva campaña;</w:t>
            </w:r>
            <w:r>
              <w:rPr>
                <w:sz w:val="20"/>
                <w:szCs w:val="20"/>
              </w:rPr>
              <w:t xml:space="preserve">  </w:t>
            </w:r>
          </w:p>
          <w:p w14:paraId="5E9873CA" w14:textId="77777777" w:rsidR="00E37584" w:rsidRDefault="00E37584" w:rsidP="001F4197">
            <w:pPr>
              <w:jc w:val="both"/>
              <w:rPr>
                <w:sz w:val="20"/>
                <w:szCs w:val="20"/>
              </w:rPr>
            </w:pPr>
          </w:p>
          <w:p w14:paraId="199EFF8D" w14:textId="77777777" w:rsidR="00E37584" w:rsidRDefault="00E37584" w:rsidP="001F4197">
            <w:pPr>
              <w:pStyle w:val="Default"/>
              <w:jc w:val="both"/>
              <w:rPr>
                <w:sz w:val="20"/>
                <w:szCs w:val="20"/>
              </w:rPr>
            </w:pPr>
            <w:r>
              <w:rPr>
                <w:sz w:val="20"/>
                <w:szCs w:val="20"/>
              </w:rPr>
              <w:t xml:space="preserve">b. El Candidato es responsable solidario del cumplimiento de los informes de gastos que se refieren en el inciso anterior; </w:t>
            </w:r>
          </w:p>
          <w:p w14:paraId="03BE7EAC" w14:textId="77777777" w:rsidR="00E37584" w:rsidRDefault="00E37584" w:rsidP="001F4197">
            <w:pPr>
              <w:pStyle w:val="Default"/>
              <w:jc w:val="both"/>
              <w:rPr>
                <w:sz w:val="20"/>
                <w:szCs w:val="20"/>
              </w:rPr>
            </w:pPr>
          </w:p>
          <w:p w14:paraId="3E0E33AC" w14:textId="77777777" w:rsidR="00E37584" w:rsidRDefault="00E37584" w:rsidP="001F4197">
            <w:pPr>
              <w:pStyle w:val="Default"/>
              <w:jc w:val="both"/>
              <w:rPr>
                <w:sz w:val="20"/>
                <w:szCs w:val="20"/>
              </w:rPr>
            </w:pPr>
            <w:r>
              <w:rPr>
                <w:sz w:val="20"/>
                <w:szCs w:val="20"/>
              </w:rPr>
              <w:t xml:space="preserve">c. Los partidos políticos presentarán informes de ingresos y gastos por periodos de treinta días contados a partir de que dé inicio la etapa de campaña, los cuales deberán entregarse dentro de los siguientes tres días concluido cada periodo; y </w:t>
            </w:r>
          </w:p>
          <w:p w14:paraId="41E12740" w14:textId="77777777" w:rsidR="00E37584" w:rsidRDefault="00E37584" w:rsidP="001F4197">
            <w:pPr>
              <w:pStyle w:val="Default"/>
              <w:jc w:val="both"/>
              <w:rPr>
                <w:sz w:val="20"/>
                <w:szCs w:val="20"/>
              </w:rPr>
            </w:pPr>
          </w:p>
          <w:p w14:paraId="75AB8CF3" w14:textId="77777777" w:rsidR="00E37584" w:rsidRDefault="00E37584" w:rsidP="001F4197">
            <w:pPr>
              <w:pStyle w:val="Default"/>
              <w:jc w:val="both"/>
              <w:rPr>
                <w:sz w:val="20"/>
                <w:szCs w:val="20"/>
              </w:rPr>
            </w:pPr>
            <w:r>
              <w:rPr>
                <w:sz w:val="20"/>
                <w:szCs w:val="20"/>
              </w:rPr>
              <w:t>d. En cada informe será reportado el origen de los recursos que se hayan utilizado para financiar los gastos correspondientes a los rubros señalados en el artículo 174 de esta Ley, así como el monto y destino de dichas erogaciones.</w:t>
            </w:r>
          </w:p>
          <w:p w14:paraId="514B4A27" w14:textId="77777777" w:rsidR="00E37584" w:rsidRDefault="00E37584" w:rsidP="001F4197">
            <w:pPr>
              <w:pStyle w:val="Default"/>
              <w:jc w:val="both"/>
              <w:rPr>
                <w:sz w:val="20"/>
                <w:szCs w:val="20"/>
              </w:rPr>
            </w:pPr>
            <w:r>
              <w:rPr>
                <w:sz w:val="20"/>
                <w:szCs w:val="20"/>
              </w:rPr>
              <w:t xml:space="preserve"> </w:t>
            </w:r>
          </w:p>
          <w:p w14:paraId="50688805" w14:textId="77777777" w:rsidR="00E37584" w:rsidRDefault="00E37584" w:rsidP="001F4197">
            <w:pPr>
              <w:pStyle w:val="Default"/>
              <w:jc w:val="both"/>
              <w:rPr>
                <w:sz w:val="20"/>
                <w:szCs w:val="20"/>
              </w:rPr>
            </w:pPr>
            <w:r>
              <w:rPr>
                <w:sz w:val="20"/>
                <w:szCs w:val="20"/>
              </w:rPr>
              <w:t>Las Asociaciones Políticas Estatales presentarán un informe anual de ingresos y egresos, dentro del mismo plazo señalado en la fracción I de este artículo y siguiendo los lineamientos establecidos en el reglamento aplicable.</w:t>
            </w:r>
          </w:p>
          <w:p w14:paraId="5536F717" w14:textId="77777777" w:rsidR="00E37584" w:rsidRDefault="00E37584" w:rsidP="001F4197">
            <w:pPr>
              <w:pStyle w:val="Default"/>
              <w:jc w:val="both"/>
              <w:rPr>
                <w:sz w:val="20"/>
                <w:szCs w:val="20"/>
              </w:rPr>
            </w:pPr>
            <w:r>
              <w:rPr>
                <w:sz w:val="20"/>
                <w:szCs w:val="20"/>
              </w:rPr>
              <w:t xml:space="preserve"> </w:t>
            </w:r>
          </w:p>
          <w:p w14:paraId="38B20DF0" w14:textId="77777777" w:rsidR="00E37584" w:rsidRDefault="00E37584" w:rsidP="001F4197">
            <w:pPr>
              <w:pStyle w:val="Default"/>
              <w:jc w:val="both"/>
              <w:rPr>
                <w:sz w:val="20"/>
                <w:szCs w:val="20"/>
              </w:rPr>
            </w:pPr>
            <w:r w:rsidRPr="001F4197">
              <w:rPr>
                <w:b/>
                <w:bCs/>
                <w:sz w:val="20"/>
                <w:szCs w:val="20"/>
              </w:rPr>
              <w:t>Artículo 54.</w:t>
            </w:r>
            <w:r w:rsidRPr="001F4197">
              <w:rPr>
                <w:sz w:val="20"/>
                <w:szCs w:val="20"/>
              </w:rPr>
              <w:t xml:space="preserve"> </w:t>
            </w:r>
            <w:r>
              <w:rPr>
                <w:sz w:val="20"/>
                <w:szCs w:val="20"/>
              </w:rPr>
              <w:t xml:space="preserve">El procedimiento para la presentación y revisión de los informes de los partidos políticos, se sujetará a lo establecido en las leyes generales de la materia, así como a las siguientes reglas: </w:t>
            </w:r>
          </w:p>
          <w:p w14:paraId="21CD8F33" w14:textId="77777777" w:rsidR="00E37584" w:rsidRDefault="00E37584" w:rsidP="001F4197">
            <w:pPr>
              <w:pStyle w:val="Default"/>
              <w:jc w:val="both"/>
              <w:rPr>
                <w:sz w:val="20"/>
                <w:szCs w:val="20"/>
              </w:rPr>
            </w:pPr>
          </w:p>
          <w:p w14:paraId="65FB574A" w14:textId="77777777" w:rsidR="00E37584" w:rsidRDefault="00E37584" w:rsidP="001F4197">
            <w:pPr>
              <w:pStyle w:val="Default"/>
              <w:jc w:val="both"/>
              <w:rPr>
                <w:sz w:val="20"/>
                <w:szCs w:val="20"/>
              </w:rPr>
            </w:pPr>
            <w:r>
              <w:rPr>
                <w:sz w:val="20"/>
                <w:szCs w:val="20"/>
              </w:rPr>
              <w:t xml:space="preserve">I. Informes trimestrales de avance del ejercicio: </w:t>
            </w:r>
          </w:p>
          <w:p w14:paraId="7650A1D3" w14:textId="77777777" w:rsidR="00E37584" w:rsidRDefault="00E37584" w:rsidP="001F4197">
            <w:pPr>
              <w:pStyle w:val="Default"/>
              <w:jc w:val="both"/>
              <w:rPr>
                <w:sz w:val="20"/>
                <w:szCs w:val="20"/>
              </w:rPr>
            </w:pPr>
            <w:r>
              <w:rPr>
                <w:sz w:val="20"/>
                <w:szCs w:val="20"/>
              </w:rPr>
              <w:t xml:space="preserve">a. Una vez entregados los informes trimestrales, si de la revisión que realice la Dirección de Fiscalización se encuentran anomalías, errores u omisiones, se notificará al partido a fin de que las subsane o realice las aclaraciones conducentes; y </w:t>
            </w:r>
          </w:p>
          <w:p w14:paraId="0E5D03BB" w14:textId="77777777" w:rsidR="00E37584" w:rsidRDefault="00E37584" w:rsidP="001F4197">
            <w:pPr>
              <w:pStyle w:val="Default"/>
              <w:jc w:val="both"/>
              <w:rPr>
                <w:sz w:val="20"/>
                <w:szCs w:val="20"/>
              </w:rPr>
            </w:pPr>
          </w:p>
          <w:p w14:paraId="2164DBF3" w14:textId="77777777" w:rsidR="00E37584" w:rsidRDefault="00E37584" w:rsidP="001F4197">
            <w:pPr>
              <w:pStyle w:val="Default"/>
              <w:jc w:val="both"/>
              <w:rPr>
                <w:sz w:val="20"/>
                <w:szCs w:val="20"/>
              </w:rPr>
            </w:pPr>
            <w:r>
              <w:rPr>
                <w:sz w:val="20"/>
                <w:szCs w:val="20"/>
              </w:rPr>
              <w:t xml:space="preserve">b. En todo caso los informes trimestrales tienen carácter exclusivamente informativo para la autoridad. </w:t>
            </w:r>
          </w:p>
          <w:p w14:paraId="3556C9E7" w14:textId="77777777" w:rsidR="00E37584" w:rsidRDefault="00E37584" w:rsidP="001F4197">
            <w:pPr>
              <w:pStyle w:val="Default"/>
              <w:jc w:val="both"/>
              <w:rPr>
                <w:sz w:val="20"/>
                <w:szCs w:val="20"/>
              </w:rPr>
            </w:pPr>
          </w:p>
          <w:p w14:paraId="5D8C677A" w14:textId="77777777" w:rsidR="00E37584" w:rsidRDefault="00E37584" w:rsidP="001F4197">
            <w:pPr>
              <w:pStyle w:val="Default"/>
              <w:jc w:val="both"/>
              <w:rPr>
                <w:sz w:val="20"/>
                <w:szCs w:val="20"/>
              </w:rPr>
            </w:pPr>
            <w:r>
              <w:rPr>
                <w:sz w:val="20"/>
                <w:szCs w:val="20"/>
              </w:rPr>
              <w:t>II. Informes anuales:</w:t>
            </w:r>
          </w:p>
          <w:p w14:paraId="6E6A94E0" w14:textId="77777777" w:rsidR="00E37584" w:rsidRDefault="00E37584" w:rsidP="001F4197">
            <w:pPr>
              <w:pStyle w:val="Default"/>
              <w:jc w:val="both"/>
              <w:rPr>
                <w:sz w:val="20"/>
                <w:szCs w:val="20"/>
              </w:rPr>
            </w:pPr>
            <w:r>
              <w:rPr>
                <w:sz w:val="20"/>
                <w:szCs w:val="20"/>
              </w:rPr>
              <w:t xml:space="preserve"> </w:t>
            </w:r>
          </w:p>
          <w:p w14:paraId="09DE4240" w14:textId="77777777" w:rsidR="00E37584" w:rsidRDefault="00E37584" w:rsidP="001F4197">
            <w:pPr>
              <w:jc w:val="both"/>
              <w:rPr>
                <w:sz w:val="20"/>
                <w:szCs w:val="20"/>
              </w:rPr>
            </w:pPr>
            <w:r w:rsidRPr="001F4197">
              <w:rPr>
                <w:rFonts w:ascii="Century Gothic" w:eastAsiaTheme="minorEastAsia" w:hAnsi="Century Gothic" w:cs="Century Gothic"/>
                <w:sz w:val="20"/>
                <w:szCs w:val="20"/>
              </w:rPr>
              <w:t>a. Una vez entregados los informes anuales, la Dirección de Fiscalización tendrá un término de sesenta días para su revisión y estará facultado en todo momento para solicitar al órgano previsto en el artículo 43, inciso c) de la Ley General de Partidos Políticos de cada partido, la documentación necesaria para comprobar la veracidad de lo reportado en los informes;</w:t>
            </w:r>
            <w:r>
              <w:rPr>
                <w:sz w:val="20"/>
                <w:szCs w:val="20"/>
              </w:rPr>
              <w:t xml:space="preserve">  </w:t>
            </w:r>
          </w:p>
          <w:p w14:paraId="2EA041E1" w14:textId="77777777" w:rsidR="00E37584" w:rsidRDefault="00E37584" w:rsidP="001F4197">
            <w:pPr>
              <w:jc w:val="both"/>
              <w:rPr>
                <w:sz w:val="20"/>
                <w:szCs w:val="20"/>
              </w:rPr>
            </w:pPr>
          </w:p>
          <w:p w14:paraId="550C2A28" w14:textId="77777777" w:rsidR="00E37584" w:rsidRDefault="00E37584" w:rsidP="001F4197">
            <w:pPr>
              <w:pStyle w:val="Default"/>
              <w:jc w:val="both"/>
              <w:rPr>
                <w:sz w:val="20"/>
                <w:szCs w:val="20"/>
              </w:rPr>
            </w:pPr>
            <w:r>
              <w:rPr>
                <w:sz w:val="20"/>
                <w:szCs w:val="20"/>
              </w:rPr>
              <w:t xml:space="preserve">b. Si durante la revisión de los informes la Dirección de Fiscalización advierte la existencia de errores u omisiones técnicas, prevendrá al partido políticos que haya incurrido en ellos para que en un plazo de diez días, contados a partir de dicha prevención, presente las aclaraciones o rectificaciones que considere pertinentes; </w:t>
            </w:r>
          </w:p>
          <w:p w14:paraId="4EBA1D11" w14:textId="77777777" w:rsidR="00E37584" w:rsidRDefault="00E37584" w:rsidP="001F4197">
            <w:pPr>
              <w:pStyle w:val="Default"/>
              <w:jc w:val="both"/>
              <w:rPr>
                <w:sz w:val="20"/>
                <w:szCs w:val="20"/>
              </w:rPr>
            </w:pPr>
          </w:p>
          <w:p w14:paraId="54F9FB87" w14:textId="77777777" w:rsidR="00E37584" w:rsidRDefault="00E37584" w:rsidP="001F4197">
            <w:pPr>
              <w:pStyle w:val="Default"/>
              <w:jc w:val="both"/>
              <w:rPr>
                <w:sz w:val="20"/>
                <w:szCs w:val="20"/>
              </w:rPr>
            </w:pPr>
            <w:r>
              <w:rPr>
                <w:sz w:val="20"/>
                <w:szCs w:val="20"/>
              </w:rPr>
              <w:lastRenderedPageBreak/>
              <w:t xml:space="preserve">c. La Dirección de Fiscalización está obligada a informar al partido político si las aclaraciones o rectificaciones realizadas por éste subsanan los errores u omisiones encontrados, otorgándole, en su caso, un plazo improrrogable de cinco días para que los subsane. La Dirección de Fiscalización informará igualmente del resultado antes del vencimiento del plazo para la elaboración del dictamen consolidado a que se refiere la fracción siguiente; </w:t>
            </w:r>
          </w:p>
          <w:p w14:paraId="15334888" w14:textId="77777777" w:rsidR="00E37584" w:rsidRDefault="00E37584" w:rsidP="001F4197">
            <w:pPr>
              <w:pStyle w:val="Default"/>
              <w:jc w:val="both"/>
              <w:rPr>
                <w:sz w:val="20"/>
                <w:szCs w:val="20"/>
              </w:rPr>
            </w:pPr>
          </w:p>
          <w:p w14:paraId="6B723EC1" w14:textId="77777777" w:rsidR="00E37584" w:rsidRDefault="00E37584" w:rsidP="001F4197">
            <w:pPr>
              <w:pStyle w:val="Default"/>
              <w:jc w:val="both"/>
              <w:rPr>
                <w:sz w:val="20"/>
                <w:szCs w:val="20"/>
              </w:rPr>
            </w:pPr>
            <w:r>
              <w:rPr>
                <w:sz w:val="20"/>
                <w:szCs w:val="20"/>
              </w:rPr>
              <w:t>d. Una vez concluido el plazo referido en fracción I de este inciso o, en su caso, el concedido para la rectificación de errores u omisiones, la Dirección de Fiscalización contará con un plazo de veinte días para emitir el dictamen consolidado, así como el proyecto de resolución respectivo, para someterlos a consideración del Consejo General de la Comisión Estatal Electoral;</w:t>
            </w:r>
          </w:p>
          <w:p w14:paraId="18DE588B" w14:textId="77777777" w:rsidR="00E37584" w:rsidRDefault="00E37584" w:rsidP="001F4197">
            <w:pPr>
              <w:pStyle w:val="Default"/>
              <w:jc w:val="both"/>
              <w:rPr>
                <w:sz w:val="20"/>
                <w:szCs w:val="20"/>
              </w:rPr>
            </w:pPr>
            <w:r>
              <w:rPr>
                <w:sz w:val="20"/>
                <w:szCs w:val="20"/>
              </w:rPr>
              <w:t xml:space="preserve"> </w:t>
            </w:r>
          </w:p>
          <w:p w14:paraId="24F78BAA" w14:textId="77777777" w:rsidR="00E37584" w:rsidRDefault="00E37584" w:rsidP="001F4197">
            <w:pPr>
              <w:pStyle w:val="Default"/>
              <w:jc w:val="both"/>
              <w:rPr>
                <w:sz w:val="20"/>
                <w:szCs w:val="20"/>
              </w:rPr>
            </w:pPr>
            <w:r>
              <w:rPr>
                <w:sz w:val="20"/>
                <w:szCs w:val="20"/>
              </w:rPr>
              <w:t>e. El Consejo General de la Comisión Estatal Electoral contará con diez días para aprobar los proyectos emitidos por la Dirección de Fiscalización; y</w:t>
            </w:r>
          </w:p>
          <w:p w14:paraId="47B5B0F4" w14:textId="77777777" w:rsidR="00E37584" w:rsidRDefault="00E37584" w:rsidP="001F4197">
            <w:pPr>
              <w:pStyle w:val="Default"/>
              <w:jc w:val="both"/>
              <w:rPr>
                <w:sz w:val="20"/>
                <w:szCs w:val="20"/>
              </w:rPr>
            </w:pPr>
            <w:r>
              <w:rPr>
                <w:sz w:val="20"/>
                <w:szCs w:val="20"/>
              </w:rPr>
              <w:t xml:space="preserve"> </w:t>
            </w:r>
          </w:p>
          <w:p w14:paraId="20526353" w14:textId="77777777" w:rsidR="00E37584" w:rsidRDefault="00E37584" w:rsidP="001F4197">
            <w:pPr>
              <w:pStyle w:val="Default"/>
              <w:jc w:val="both"/>
              <w:rPr>
                <w:sz w:val="20"/>
                <w:szCs w:val="20"/>
              </w:rPr>
            </w:pPr>
            <w:r>
              <w:rPr>
                <w:sz w:val="20"/>
                <w:szCs w:val="20"/>
              </w:rPr>
              <w:t xml:space="preserve">f. Una vez concluido el plazo a que se refiere el inciso anterior, la Comisión de Fiscalización presentará en un término de setenta y dos horas, el proyecto ante el Consejo General de la Comisión Estatal Electoral, el cual contará con diez días para su discusión y aprobación. </w:t>
            </w:r>
          </w:p>
          <w:p w14:paraId="13B92319" w14:textId="77777777" w:rsidR="00E37584" w:rsidRDefault="00E37584" w:rsidP="001F4197">
            <w:pPr>
              <w:pStyle w:val="Default"/>
              <w:jc w:val="both"/>
              <w:rPr>
                <w:sz w:val="20"/>
                <w:szCs w:val="20"/>
              </w:rPr>
            </w:pPr>
          </w:p>
          <w:p w14:paraId="4084358C" w14:textId="77777777" w:rsidR="00E37584" w:rsidRDefault="00E37584" w:rsidP="001F4197">
            <w:pPr>
              <w:pStyle w:val="Default"/>
              <w:jc w:val="both"/>
              <w:rPr>
                <w:sz w:val="20"/>
                <w:szCs w:val="20"/>
              </w:rPr>
            </w:pPr>
            <w:r>
              <w:rPr>
                <w:sz w:val="20"/>
                <w:szCs w:val="20"/>
              </w:rPr>
              <w:t xml:space="preserve">III. Informes de Precampaña: </w:t>
            </w:r>
          </w:p>
          <w:p w14:paraId="2B070FEE" w14:textId="77777777" w:rsidR="00E37584" w:rsidRDefault="00E37584" w:rsidP="001F4197">
            <w:pPr>
              <w:pStyle w:val="Default"/>
              <w:jc w:val="both"/>
              <w:rPr>
                <w:sz w:val="20"/>
                <w:szCs w:val="20"/>
              </w:rPr>
            </w:pPr>
          </w:p>
          <w:p w14:paraId="48FAEFA8" w14:textId="77777777" w:rsidR="00E37584" w:rsidRDefault="00E37584" w:rsidP="001F4197">
            <w:pPr>
              <w:pStyle w:val="Default"/>
              <w:jc w:val="both"/>
              <w:rPr>
                <w:sz w:val="20"/>
                <w:szCs w:val="20"/>
              </w:rPr>
            </w:pPr>
            <w:r>
              <w:rPr>
                <w:sz w:val="20"/>
                <w:szCs w:val="20"/>
              </w:rPr>
              <w:t>a. Una vez entregados los informes de gastos de precampaña, la Dirección de Fiscalización tendrá un término de quince días para la revisión de dichos informes;</w:t>
            </w:r>
          </w:p>
          <w:p w14:paraId="5DC8E3D6" w14:textId="77777777" w:rsidR="00E37584" w:rsidRDefault="00E37584" w:rsidP="001F4197">
            <w:pPr>
              <w:pStyle w:val="Default"/>
              <w:jc w:val="both"/>
              <w:rPr>
                <w:sz w:val="20"/>
                <w:szCs w:val="20"/>
              </w:rPr>
            </w:pPr>
            <w:r>
              <w:rPr>
                <w:sz w:val="20"/>
                <w:szCs w:val="20"/>
              </w:rPr>
              <w:t xml:space="preserve"> </w:t>
            </w:r>
          </w:p>
          <w:p w14:paraId="7ED9607B" w14:textId="77777777" w:rsidR="00E37584" w:rsidRDefault="00E37584" w:rsidP="001F4197">
            <w:pPr>
              <w:jc w:val="both"/>
              <w:rPr>
                <w:rFonts w:ascii="Century Gothic" w:eastAsiaTheme="minorEastAsia" w:hAnsi="Century Gothic" w:cs="Century Gothic"/>
                <w:sz w:val="20"/>
                <w:szCs w:val="20"/>
              </w:rPr>
            </w:pPr>
            <w:r w:rsidRPr="001F4197">
              <w:rPr>
                <w:rFonts w:ascii="Century Gothic" w:eastAsiaTheme="minorEastAsia" w:hAnsi="Century Gothic" w:cs="Century Gothic"/>
                <w:sz w:val="20"/>
                <w:szCs w:val="20"/>
              </w:rPr>
              <w:t>b. La Dirección de Fiscalización informará a los partidos políticos, en su caso, la existencia de errores u omisiones técnicas y los prevendrá para que en término de siete</w:t>
            </w:r>
            <w:r>
              <w:rPr>
                <w:rFonts w:ascii="Century Gothic" w:eastAsiaTheme="minorEastAsia" w:hAnsi="Century Gothic" w:cs="Century Gothic"/>
                <w:sz w:val="20"/>
                <w:szCs w:val="20"/>
              </w:rPr>
              <w:t xml:space="preserve"> </w:t>
            </w:r>
            <w:r w:rsidRPr="001F4197">
              <w:rPr>
                <w:rFonts w:ascii="Century Gothic" w:eastAsiaTheme="minorEastAsia" w:hAnsi="Century Gothic" w:cs="Century Gothic"/>
                <w:sz w:val="20"/>
                <w:szCs w:val="20"/>
              </w:rPr>
              <w:t xml:space="preserve">días contados a partir de dicha notificación, presente las aclaraciones o rectificaciones que considere pertinentes; </w:t>
            </w:r>
          </w:p>
          <w:p w14:paraId="7457436B" w14:textId="77777777" w:rsidR="00E37584" w:rsidRPr="001F4197" w:rsidRDefault="00E37584" w:rsidP="001F4197">
            <w:pPr>
              <w:jc w:val="both"/>
              <w:rPr>
                <w:rFonts w:ascii="Century Gothic" w:eastAsiaTheme="minorEastAsia" w:hAnsi="Century Gothic" w:cs="Century Gothic"/>
                <w:sz w:val="20"/>
                <w:szCs w:val="20"/>
              </w:rPr>
            </w:pPr>
          </w:p>
          <w:p w14:paraId="52C26013" w14:textId="77777777" w:rsidR="00E37584" w:rsidRDefault="00E37584" w:rsidP="001F4197">
            <w:pPr>
              <w:pStyle w:val="Default"/>
              <w:jc w:val="both"/>
              <w:rPr>
                <w:sz w:val="20"/>
                <w:szCs w:val="20"/>
              </w:rPr>
            </w:pPr>
            <w:r>
              <w:rPr>
                <w:sz w:val="20"/>
                <w:szCs w:val="20"/>
              </w:rPr>
              <w:t xml:space="preserve">c. Una vez concluido el término referido en la fracción anterior, la Dirección de Fiscalización contará con un término de diez días para emitir el dictamen consolidado, así como el proyecto de resolución respectivo y para someterlo a consideración de la Comisión de Fiscalización; </w:t>
            </w:r>
          </w:p>
          <w:p w14:paraId="05EC8AA7" w14:textId="77777777" w:rsidR="00E37584" w:rsidRDefault="00E37584" w:rsidP="001F4197">
            <w:pPr>
              <w:pStyle w:val="Default"/>
              <w:jc w:val="both"/>
              <w:rPr>
                <w:sz w:val="20"/>
                <w:szCs w:val="20"/>
              </w:rPr>
            </w:pPr>
          </w:p>
          <w:p w14:paraId="5E8FE2A9" w14:textId="77777777" w:rsidR="00E37584" w:rsidRDefault="00E37584" w:rsidP="001F4197">
            <w:pPr>
              <w:pStyle w:val="Default"/>
              <w:jc w:val="both"/>
              <w:rPr>
                <w:sz w:val="20"/>
                <w:szCs w:val="20"/>
              </w:rPr>
            </w:pPr>
            <w:r>
              <w:rPr>
                <w:sz w:val="20"/>
                <w:szCs w:val="20"/>
              </w:rPr>
              <w:t xml:space="preserve">d. La Comisión de Fiscalización contara con seis días para aprobar los proyectos emitidos por la Dirección de Fiscalización, y </w:t>
            </w:r>
          </w:p>
          <w:p w14:paraId="50F75DDC" w14:textId="77777777" w:rsidR="00E37584" w:rsidRDefault="00E37584" w:rsidP="001F4197">
            <w:pPr>
              <w:pStyle w:val="Default"/>
              <w:jc w:val="both"/>
              <w:rPr>
                <w:sz w:val="20"/>
                <w:szCs w:val="20"/>
              </w:rPr>
            </w:pPr>
          </w:p>
          <w:p w14:paraId="3CD8B36A" w14:textId="77777777" w:rsidR="00E37584" w:rsidRDefault="00E37584" w:rsidP="001F4197">
            <w:pPr>
              <w:pStyle w:val="Default"/>
              <w:jc w:val="both"/>
              <w:rPr>
                <w:sz w:val="20"/>
                <w:szCs w:val="20"/>
              </w:rPr>
            </w:pPr>
            <w:r>
              <w:rPr>
                <w:sz w:val="20"/>
                <w:szCs w:val="20"/>
              </w:rPr>
              <w:lastRenderedPageBreak/>
              <w:t xml:space="preserve">e. Una vez concluido el periodo de seis días, la Comisión de Fiscalización presentará en un plazo de setenta y dos horas el proyecto ante el Consejo General de la Comisión Estatal Electoral, el cual contará con un plazo de seis días, para su discusión y aprobación. </w:t>
            </w:r>
          </w:p>
          <w:p w14:paraId="6067B1F6" w14:textId="77777777" w:rsidR="00E37584" w:rsidRDefault="00E37584" w:rsidP="001F4197">
            <w:pPr>
              <w:pStyle w:val="Default"/>
              <w:jc w:val="both"/>
              <w:rPr>
                <w:sz w:val="20"/>
                <w:szCs w:val="20"/>
              </w:rPr>
            </w:pPr>
          </w:p>
          <w:p w14:paraId="05231D03" w14:textId="77777777" w:rsidR="00E37584" w:rsidRDefault="00E37584" w:rsidP="001F4197">
            <w:pPr>
              <w:pStyle w:val="Default"/>
              <w:jc w:val="both"/>
              <w:rPr>
                <w:sz w:val="20"/>
                <w:szCs w:val="20"/>
              </w:rPr>
            </w:pPr>
            <w:r>
              <w:rPr>
                <w:sz w:val="20"/>
                <w:szCs w:val="20"/>
              </w:rPr>
              <w:t xml:space="preserve">IV. Informes de Campaña: </w:t>
            </w:r>
          </w:p>
          <w:p w14:paraId="2F1CAC1F" w14:textId="77777777" w:rsidR="00E37584" w:rsidRDefault="00E37584" w:rsidP="001F4197">
            <w:pPr>
              <w:pStyle w:val="Default"/>
              <w:jc w:val="both"/>
              <w:rPr>
                <w:sz w:val="20"/>
                <w:szCs w:val="20"/>
              </w:rPr>
            </w:pPr>
          </w:p>
          <w:p w14:paraId="7A03E54B" w14:textId="77777777" w:rsidR="00E37584" w:rsidRDefault="00E37584" w:rsidP="001F4197">
            <w:pPr>
              <w:pStyle w:val="Default"/>
              <w:jc w:val="both"/>
              <w:rPr>
                <w:sz w:val="20"/>
                <w:szCs w:val="20"/>
              </w:rPr>
            </w:pPr>
            <w:r>
              <w:rPr>
                <w:sz w:val="20"/>
                <w:szCs w:val="20"/>
              </w:rPr>
              <w:t xml:space="preserve">a. La Dirección de Fiscalización revisará y auditará, simultáneamente al desarrollo de la campaña, el destino que le den los partidos políticos a los recursos de campaña; </w:t>
            </w:r>
          </w:p>
          <w:p w14:paraId="02806BC1" w14:textId="77777777" w:rsidR="00E37584" w:rsidRDefault="00E37584" w:rsidP="001F4197">
            <w:pPr>
              <w:pStyle w:val="Default"/>
              <w:jc w:val="both"/>
              <w:rPr>
                <w:sz w:val="20"/>
                <w:szCs w:val="20"/>
              </w:rPr>
            </w:pPr>
          </w:p>
          <w:p w14:paraId="13B2882F" w14:textId="77777777" w:rsidR="00E37584" w:rsidRDefault="00E37584" w:rsidP="001F4197">
            <w:pPr>
              <w:pStyle w:val="Default"/>
              <w:jc w:val="both"/>
              <w:rPr>
                <w:sz w:val="20"/>
                <w:szCs w:val="20"/>
              </w:rPr>
            </w:pPr>
            <w:r>
              <w:rPr>
                <w:sz w:val="20"/>
                <w:szCs w:val="20"/>
              </w:rPr>
              <w:t xml:space="preserve">b. Una vez entregados los informes de campaña, la Dirección de Fiscalización contará con diez días para revisar la documentación soporte y la contabilidad presentada; </w:t>
            </w:r>
          </w:p>
          <w:p w14:paraId="431F27FA" w14:textId="77777777" w:rsidR="00E37584" w:rsidRDefault="00E37584" w:rsidP="001F4197">
            <w:pPr>
              <w:pStyle w:val="Default"/>
              <w:jc w:val="both"/>
              <w:rPr>
                <w:sz w:val="20"/>
                <w:szCs w:val="20"/>
              </w:rPr>
            </w:pPr>
          </w:p>
          <w:p w14:paraId="1D4D7571" w14:textId="77777777" w:rsidR="00E37584" w:rsidRDefault="00E37584" w:rsidP="001F4197">
            <w:pPr>
              <w:pStyle w:val="Default"/>
              <w:jc w:val="both"/>
              <w:rPr>
                <w:sz w:val="20"/>
                <w:szCs w:val="20"/>
              </w:rPr>
            </w:pPr>
            <w:r>
              <w:rPr>
                <w:sz w:val="20"/>
                <w:szCs w:val="20"/>
              </w:rPr>
              <w:t xml:space="preserve">c. En el caso que la autoridad se percate de la existencia de errores u omisiones técnicas en la documentación soporte y contabilidad presentada, otorgará un plazo de cinco días contados a partir de la notificación que al respecto realice al partido, para que éste presente las aclaraciones o rectificaciones que considere pertinentes; </w:t>
            </w:r>
          </w:p>
          <w:p w14:paraId="3F9F3ECD" w14:textId="77777777" w:rsidR="00E37584" w:rsidRDefault="00E37584" w:rsidP="001F4197">
            <w:pPr>
              <w:pStyle w:val="Default"/>
              <w:jc w:val="both"/>
              <w:rPr>
                <w:sz w:val="20"/>
                <w:szCs w:val="20"/>
              </w:rPr>
            </w:pPr>
          </w:p>
          <w:p w14:paraId="5B3914A4" w14:textId="77777777" w:rsidR="00E37584" w:rsidRDefault="00E37584" w:rsidP="001F4197">
            <w:pPr>
              <w:pStyle w:val="Default"/>
              <w:jc w:val="both"/>
              <w:rPr>
                <w:sz w:val="20"/>
                <w:szCs w:val="20"/>
              </w:rPr>
            </w:pPr>
            <w:r>
              <w:rPr>
                <w:sz w:val="20"/>
                <w:szCs w:val="20"/>
              </w:rPr>
              <w:t xml:space="preserve">d. Una vez concluida la revisión del último informe, la Dirección de Fiscalización contará con un término de diez días para realizar el dictamen consolidado y la propuesta de resolución, así como para someterlos a consideración de la Comisión de Fiscalización; </w:t>
            </w:r>
          </w:p>
          <w:p w14:paraId="37D9AD12" w14:textId="77777777" w:rsidR="00E37584" w:rsidRDefault="00E37584" w:rsidP="001F4197">
            <w:pPr>
              <w:pStyle w:val="Default"/>
              <w:jc w:val="both"/>
              <w:rPr>
                <w:sz w:val="20"/>
                <w:szCs w:val="20"/>
              </w:rPr>
            </w:pPr>
          </w:p>
          <w:p w14:paraId="34D16F0B" w14:textId="77777777" w:rsidR="00E37584" w:rsidRPr="001F4197" w:rsidRDefault="00E37584" w:rsidP="001F4197">
            <w:pPr>
              <w:jc w:val="both"/>
              <w:rPr>
                <w:rFonts w:ascii="Century Gothic" w:eastAsiaTheme="minorEastAsia" w:hAnsi="Century Gothic" w:cs="Century Gothic"/>
                <w:sz w:val="20"/>
                <w:szCs w:val="20"/>
              </w:rPr>
            </w:pPr>
            <w:r w:rsidRPr="001F4197">
              <w:rPr>
                <w:rFonts w:ascii="Century Gothic" w:eastAsiaTheme="minorEastAsia" w:hAnsi="Century Gothic" w:cs="Century Gothic"/>
                <w:sz w:val="20"/>
                <w:szCs w:val="20"/>
              </w:rPr>
              <w:t>e. Una vez que la Dirección de Fiscalización someta a consideración de la Comisión de Fiscalización el dictamen consolidado y la propuesta de resolución, ésta última tendrá</w:t>
            </w:r>
            <w:r>
              <w:rPr>
                <w:rFonts w:ascii="Century Gothic" w:eastAsiaTheme="minorEastAsia" w:hAnsi="Century Gothic" w:cs="Century Gothic"/>
                <w:sz w:val="20"/>
                <w:szCs w:val="20"/>
              </w:rPr>
              <w:t xml:space="preserve"> </w:t>
            </w:r>
            <w:r w:rsidRPr="001F4197">
              <w:rPr>
                <w:rFonts w:ascii="Century Gothic" w:eastAsiaTheme="minorEastAsia" w:hAnsi="Century Gothic" w:cs="Century Gothic"/>
                <w:sz w:val="20"/>
                <w:szCs w:val="20"/>
              </w:rPr>
              <w:t xml:space="preserve">un término de seis días para votar dichos proyectos y presentarlos al Consejo General; y </w:t>
            </w:r>
          </w:p>
          <w:p w14:paraId="619DDB3A" w14:textId="77777777" w:rsidR="00E37584" w:rsidRDefault="00E37584" w:rsidP="001F4197">
            <w:pPr>
              <w:jc w:val="both"/>
              <w:rPr>
                <w:sz w:val="20"/>
                <w:szCs w:val="20"/>
              </w:rPr>
            </w:pPr>
          </w:p>
          <w:p w14:paraId="7FF01EED" w14:textId="77777777" w:rsidR="00E37584" w:rsidRDefault="00E37584" w:rsidP="001F4197">
            <w:pPr>
              <w:pStyle w:val="Default"/>
              <w:jc w:val="both"/>
              <w:rPr>
                <w:sz w:val="20"/>
                <w:szCs w:val="20"/>
              </w:rPr>
            </w:pPr>
            <w:r>
              <w:rPr>
                <w:sz w:val="20"/>
                <w:szCs w:val="20"/>
              </w:rPr>
              <w:t>f. Una vez aprobado el dictamen consolidado así como el proyecto de resolución respectivo, la Comisión de Fiscalización, a través de su Presidente, someterá a consideración del Consejo General de la Comisión Estatal Electoral los proyectos para que éstos sean votados en un término improrrogable de seis días.</w:t>
            </w:r>
          </w:p>
          <w:p w14:paraId="39DF68A7" w14:textId="77777777" w:rsidR="00E37584" w:rsidRDefault="00E37584" w:rsidP="001F4197">
            <w:pPr>
              <w:pStyle w:val="Default"/>
              <w:jc w:val="both"/>
              <w:rPr>
                <w:sz w:val="20"/>
                <w:szCs w:val="20"/>
              </w:rPr>
            </w:pPr>
            <w:r>
              <w:rPr>
                <w:sz w:val="20"/>
                <w:szCs w:val="20"/>
              </w:rPr>
              <w:t xml:space="preserve"> </w:t>
            </w:r>
          </w:p>
          <w:p w14:paraId="4ABEA090" w14:textId="77777777" w:rsidR="00E37584" w:rsidRDefault="00E37584" w:rsidP="001F4197">
            <w:pPr>
              <w:pStyle w:val="Default"/>
              <w:jc w:val="both"/>
              <w:rPr>
                <w:sz w:val="20"/>
                <w:szCs w:val="20"/>
              </w:rPr>
            </w:pPr>
            <w:r w:rsidRPr="001F4197">
              <w:rPr>
                <w:b/>
                <w:bCs/>
                <w:sz w:val="20"/>
                <w:szCs w:val="20"/>
              </w:rPr>
              <w:t>Artículo 55.</w:t>
            </w:r>
            <w:r w:rsidRPr="001F4197">
              <w:rPr>
                <w:sz w:val="20"/>
                <w:szCs w:val="20"/>
              </w:rPr>
              <w:t xml:space="preserve"> </w:t>
            </w:r>
            <w:r>
              <w:rPr>
                <w:sz w:val="20"/>
                <w:szCs w:val="20"/>
              </w:rPr>
              <w:t xml:space="preserve">En casos de excepción, y previo acuerdo de la Comisión Estatal Electoral, la Dirección de Fiscalización podrá abrir procesos extraordinarios de fiscalización con plazos diferentes a los establecidos en el artículo anterior. En todo caso, los procesos extraordinarios deberán quedar concluidos en un plazo máximo de seis meses, salvo que la Comisión autorice, por causa justificada, la ampliación del plazo. Los acuerdos de la Comisión Estatal Electoral a que se refiere este artículo podrán ser impugnados ante el Tribunal Electoral. </w:t>
            </w:r>
          </w:p>
          <w:p w14:paraId="0E22A29C" w14:textId="77777777" w:rsidR="00E37584" w:rsidRDefault="00E37584" w:rsidP="001F4197">
            <w:pPr>
              <w:pStyle w:val="Default"/>
              <w:jc w:val="both"/>
              <w:rPr>
                <w:sz w:val="20"/>
                <w:szCs w:val="20"/>
              </w:rPr>
            </w:pPr>
          </w:p>
          <w:p w14:paraId="61C4FC88" w14:textId="77777777" w:rsidR="00E37584" w:rsidRDefault="00E37584" w:rsidP="001F4197">
            <w:pPr>
              <w:pStyle w:val="Default"/>
              <w:jc w:val="both"/>
              <w:rPr>
                <w:sz w:val="20"/>
                <w:szCs w:val="20"/>
              </w:rPr>
            </w:pPr>
            <w:r w:rsidRPr="001F4197">
              <w:rPr>
                <w:b/>
                <w:bCs/>
                <w:sz w:val="20"/>
                <w:szCs w:val="20"/>
              </w:rPr>
              <w:t>Artículo 56.</w:t>
            </w:r>
            <w:r w:rsidRPr="001F4197">
              <w:rPr>
                <w:sz w:val="20"/>
                <w:szCs w:val="20"/>
              </w:rPr>
              <w:t xml:space="preserve"> </w:t>
            </w:r>
            <w:r>
              <w:rPr>
                <w:sz w:val="20"/>
                <w:szCs w:val="20"/>
              </w:rPr>
              <w:t xml:space="preserve">El personal de la Dirección de Fiscalización y demás personal de la Comisión Estatal Electoral está obligado a guardar reserva sobre el curso de las revisiones y auditorías en las que tenga participación o sobre las que disponga de información. En todo caso la Comisión Estatal Electoral conocerá de las violaciones a esta norma y en su caso impondrá las sanciones que correspondan. </w:t>
            </w:r>
          </w:p>
          <w:p w14:paraId="5D18E0A5" w14:textId="77777777" w:rsidR="00E37584" w:rsidRDefault="00E37584" w:rsidP="001F4197">
            <w:pPr>
              <w:pStyle w:val="Default"/>
              <w:jc w:val="both"/>
              <w:rPr>
                <w:sz w:val="20"/>
                <w:szCs w:val="20"/>
              </w:rPr>
            </w:pPr>
          </w:p>
          <w:p w14:paraId="1E6F01B8" w14:textId="77777777" w:rsidR="00E37584" w:rsidRDefault="00E37584" w:rsidP="001F4197">
            <w:pPr>
              <w:pStyle w:val="Default"/>
              <w:jc w:val="both"/>
              <w:rPr>
                <w:sz w:val="20"/>
                <w:szCs w:val="20"/>
              </w:rPr>
            </w:pPr>
            <w:r>
              <w:rPr>
                <w:sz w:val="20"/>
                <w:szCs w:val="20"/>
              </w:rPr>
              <w:t xml:space="preserve">Los Consejeros Electorales de la Comisión Estatal Electoral recibirán del titular de la Dirección de Fiscalización informes periódicos respecto del avance en las revisiones y auditorías que la misma realice. </w:t>
            </w:r>
          </w:p>
          <w:p w14:paraId="23A1B947" w14:textId="77777777" w:rsidR="00E37584" w:rsidRDefault="00E37584" w:rsidP="001F4197">
            <w:pPr>
              <w:pStyle w:val="Default"/>
              <w:jc w:val="both"/>
              <w:rPr>
                <w:sz w:val="20"/>
                <w:szCs w:val="20"/>
              </w:rPr>
            </w:pPr>
          </w:p>
          <w:p w14:paraId="0E4D8C92" w14:textId="77777777" w:rsidR="00E37584" w:rsidRDefault="00E37584" w:rsidP="001F4197">
            <w:pPr>
              <w:pStyle w:val="Default"/>
              <w:jc w:val="both"/>
              <w:rPr>
                <w:sz w:val="20"/>
                <w:szCs w:val="20"/>
              </w:rPr>
            </w:pPr>
            <w:r w:rsidRPr="00BD40B1">
              <w:rPr>
                <w:b/>
                <w:bCs/>
                <w:sz w:val="20"/>
                <w:szCs w:val="20"/>
              </w:rPr>
              <w:t>Artículo 58.</w:t>
            </w:r>
            <w:r w:rsidRPr="001F4197">
              <w:rPr>
                <w:sz w:val="20"/>
                <w:szCs w:val="20"/>
              </w:rPr>
              <w:t xml:space="preserve"> </w:t>
            </w:r>
            <w:r>
              <w:rPr>
                <w:sz w:val="20"/>
                <w:szCs w:val="20"/>
              </w:rPr>
              <w:t xml:space="preserve">Todos los dictámenes y proyectos de resolución emitidos por la Dirección de Fiscalización deberán contener como mínimo: </w:t>
            </w:r>
          </w:p>
          <w:p w14:paraId="50168438" w14:textId="77777777" w:rsidR="00E37584" w:rsidRDefault="00E37584" w:rsidP="001F4197">
            <w:pPr>
              <w:pStyle w:val="Default"/>
              <w:jc w:val="both"/>
              <w:rPr>
                <w:sz w:val="20"/>
                <w:szCs w:val="20"/>
              </w:rPr>
            </w:pPr>
          </w:p>
          <w:p w14:paraId="0ADB479E" w14:textId="77777777" w:rsidR="00E37584" w:rsidRDefault="00E37584" w:rsidP="001F4197">
            <w:pPr>
              <w:pStyle w:val="Default"/>
              <w:jc w:val="both"/>
              <w:rPr>
                <w:sz w:val="20"/>
                <w:szCs w:val="20"/>
              </w:rPr>
            </w:pPr>
            <w:r>
              <w:rPr>
                <w:sz w:val="20"/>
                <w:szCs w:val="20"/>
              </w:rPr>
              <w:t xml:space="preserve">a. El resultado y las conclusiones de la revisión de los informes que hayan presentado los partidos políticos; </w:t>
            </w:r>
          </w:p>
          <w:p w14:paraId="195721C3" w14:textId="77777777" w:rsidR="00E37584" w:rsidRDefault="00E37584" w:rsidP="001F4197">
            <w:pPr>
              <w:pStyle w:val="Default"/>
              <w:jc w:val="both"/>
              <w:rPr>
                <w:sz w:val="20"/>
                <w:szCs w:val="20"/>
              </w:rPr>
            </w:pPr>
          </w:p>
          <w:p w14:paraId="3EB6F382" w14:textId="77777777" w:rsidR="00E37584" w:rsidRDefault="00E37584" w:rsidP="001F4197">
            <w:pPr>
              <w:jc w:val="both"/>
              <w:rPr>
                <w:sz w:val="20"/>
                <w:szCs w:val="20"/>
              </w:rPr>
            </w:pPr>
            <w:r w:rsidRPr="001F4197">
              <w:rPr>
                <w:rFonts w:ascii="Century Gothic" w:eastAsiaTheme="minorEastAsia" w:hAnsi="Century Gothic" w:cs="Century Gothic"/>
                <w:sz w:val="20"/>
                <w:szCs w:val="20"/>
              </w:rPr>
              <w:t>b. En su caso, la mención de los errores o irregularidades encontrados en los mismos, y</w:t>
            </w:r>
            <w:r>
              <w:rPr>
                <w:sz w:val="20"/>
                <w:szCs w:val="20"/>
              </w:rPr>
              <w:t xml:space="preserve">  </w:t>
            </w:r>
          </w:p>
          <w:p w14:paraId="0BA88883" w14:textId="77777777" w:rsidR="00E37584" w:rsidRDefault="00E37584" w:rsidP="001F4197">
            <w:pPr>
              <w:jc w:val="both"/>
            </w:pPr>
            <w:r>
              <w:rPr>
                <w:sz w:val="20"/>
                <w:szCs w:val="20"/>
              </w:rPr>
              <w:t xml:space="preserve">  </w:t>
            </w:r>
          </w:p>
          <w:p w14:paraId="5B89CB9A" w14:textId="77777777" w:rsidR="00E37584" w:rsidRDefault="00E37584" w:rsidP="00BD40B1">
            <w:pPr>
              <w:pStyle w:val="Default"/>
              <w:jc w:val="both"/>
              <w:rPr>
                <w:sz w:val="20"/>
                <w:szCs w:val="20"/>
              </w:rPr>
            </w:pPr>
            <w:r>
              <w:rPr>
                <w:sz w:val="20"/>
                <w:szCs w:val="20"/>
              </w:rPr>
              <w:t xml:space="preserve">c. El señalamiento de las aclaraciones o rectificaciones que presentaron los partidos políticos después de haberles notificado con ese fin. </w:t>
            </w:r>
          </w:p>
          <w:p w14:paraId="5054ADC2" w14:textId="77777777" w:rsidR="00E37584" w:rsidRDefault="00E37584" w:rsidP="00BD40B1">
            <w:pPr>
              <w:pStyle w:val="Default"/>
              <w:jc w:val="both"/>
              <w:rPr>
                <w:sz w:val="20"/>
                <w:szCs w:val="20"/>
              </w:rPr>
            </w:pPr>
          </w:p>
          <w:p w14:paraId="5B9ACB02" w14:textId="77777777" w:rsidR="00E37584" w:rsidRDefault="00E37584" w:rsidP="00BD40B1">
            <w:pPr>
              <w:pStyle w:val="Default"/>
              <w:jc w:val="both"/>
              <w:rPr>
                <w:sz w:val="20"/>
                <w:szCs w:val="20"/>
              </w:rPr>
            </w:pPr>
            <w:r>
              <w:rPr>
                <w:sz w:val="20"/>
                <w:szCs w:val="20"/>
              </w:rPr>
              <w:t>[…]</w:t>
            </w:r>
          </w:p>
          <w:p w14:paraId="5C6AFC44" w14:textId="77777777" w:rsidR="00E37584" w:rsidRDefault="00E37584" w:rsidP="00BD40B1">
            <w:pPr>
              <w:pStyle w:val="Default"/>
              <w:jc w:val="both"/>
              <w:rPr>
                <w:sz w:val="20"/>
                <w:szCs w:val="20"/>
              </w:rPr>
            </w:pPr>
          </w:p>
          <w:p w14:paraId="0F5CB62A" w14:textId="77777777" w:rsidR="00E37584" w:rsidRDefault="00E37584" w:rsidP="00BD40B1">
            <w:pPr>
              <w:pStyle w:val="Default"/>
              <w:jc w:val="both"/>
              <w:rPr>
                <w:sz w:val="20"/>
                <w:szCs w:val="20"/>
              </w:rPr>
            </w:pPr>
            <w:r w:rsidRPr="00BD40B1">
              <w:rPr>
                <w:b/>
                <w:bCs/>
                <w:sz w:val="20"/>
                <w:szCs w:val="20"/>
              </w:rPr>
              <w:t>Artículo 60.</w:t>
            </w:r>
            <w:r w:rsidRPr="00BD40B1">
              <w:rPr>
                <w:sz w:val="20"/>
                <w:szCs w:val="20"/>
              </w:rPr>
              <w:t xml:space="preserve"> </w:t>
            </w:r>
            <w:r>
              <w:rPr>
                <w:sz w:val="20"/>
                <w:szCs w:val="20"/>
              </w:rPr>
              <w:t xml:space="preserve">Los gastos genéricos de campaña serán prorrateados entre las campañas beneficiadas, en los términos establecidos en la Ley General de Partidos Políticos y el Reglamento de Fiscalización. </w:t>
            </w:r>
          </w:p>
          <w:p w14:paraId="72C52D97" w14:textId="77777777" w:rsidR="00E37584" w:rsidRDefault="00E37584" w:rsidP="00BD40B1">
            <w:pPr>
              <w:pStyle w:val="Default"/>
              <w:jc w:val="both"/>
              <w:rPr>
                <w:sz w:val="20"/>
                <w:szCs w:val="20"/>
              </w:rPr>
            </w:pPr>
          </w:p>
          <w:p w14:paraId="1172ECE0" w14:textId="77777777" w:rsidR="00E37584" w:rsidRDefault="00E37584" w:rsidP="00BD40B1">
            <w:pPr>
              <w:pStyle w:val="Default"/>
              <w:jc w:val="both"/>
              <w:rPr>
                <w:sz w:val="20"/>
                <w:szCs w:val="20"/>
              </w:rPr>
            </w:pPr>
            <w:r>
              <w:rPr>
                <w:sz w:val="20"/>
                <w:szCs w:val="20"/>
              </w:rPr>
              <w:t xml:space="preserve">Se entenderá que un gasto beneficia a un candidato cuando concurra alguno de los siguientes supuestos: </w:t>
            </w:r>
          </w:p>
          <w:p w14:paraId="00F5F9F6" w14:textId="77777777" w:rsidR="00E37584" w:rsidRDefault="00E37584" w:rsidP="00BD40B1">
            <w:pPr>
              <w:pStyle w:val="Default"/>
              <w:jc w:val="both"/>
              <w:rPr>
                <w:sz w:val="20"/>
                <w:szCs w:val="20"/>
              </w:rPr>
            </w:pPr>
          </w:p>
          <w:p w14:paraId="778308C3" w14:textId="77777777" w:rsidR="00E37584" w:rsidRDefault="00E37584" w:rsidP="00BD40B1">
            <w:pPr>
              <w:pStyle w:val="Default"/>
              <w:jc w:val="both"/>
              <w:rPr>
                <w:sz w:val="20"/>
                <w:szCs w:val="20"/>
              </w:rPr>
            </w:pPr>
            <w:r>
              <w:rPr>
                <w:sz w:val="20"/>
                <w:szCs w:val="20"/>
              </w:rPr>
              <w:t xml:space="preserve">a. Se mencione el nombre del candidato postulado por el partido o coalición; </w:t>
            </w:r>
          </w:p>
          <w:p w14:paraId="78F41C18" w14:textId="77777777" w:rsidR="00E37584" w:rsidRDefault="00E37584" w:rsidP="00BD40B1">
            <w:pPr>
              <w:pStyle w:val="Default"/>
              <w:jc w:val="both"/>
              <w:rPr>
                <w:sz w:val="20"/>
                <w:szCs w:val="20"/>
              </w:rPr>
            </w:pPr>
          </w:p>
          <w:p w14:paraId="47E6C8D1" w14:textId="77777777" w:rsidR="00E37584" w:rsidRDefault="00E37584" w:rsidP="00BD40B1">
            <w:pPr>
              <w:pStyle w:val="Default"/>
              <w:jc w:val="both"/>
              <w:rPr>
                <w:sz w:val="20"/>
                <w:szCs w:val="20"/>
              </w:rPr>
            </w:pPr>
            <w:r>
              <w:rPr>
                <w:sz w:val="20"/>
                <w:szCs w:val="20"/>
              </w:rPr>
              <w:t xml:space="preserve">b. Se difunda la imagen del candidato; o </w:t>
            </w:r>
          </w:p>
          <w:p w14:paraId="7BB2DCC1" w14:textId="77777777" w:rsidR="00E37584" w:rsidRDefault="00E37584" w:rsidP="00BD40B1">
            <w:pPr>
              <w:pStyle w:val="Default"/>
              <w:jc w:val="both"/>
              <w:rPr>
                <w:sz w:val="20"/>
                <w:szCs w:val="20"/>
              </w:rPr>
            </w:pPr>
          </w:p>
          <w:p w14:paraId="17CBC85C" w14:textId="77777777" w:rsidR="00E37584" w:rsidRDefault="00E37584" w:rsidP="00BD40B1">
            <w:pPr>
              <w:pStyle w:val="Default"/>
              <w:jc w:val="both"/>
              <w:rPr>
                <w:sz w:val="20"/>
                <w:szCs w:val="20"/>
              </w:rPr>
            </w:pPr>
            <w:r>
              <w:rPr>
                <w:sz w:val="20"/>
                <w:szCs w:val="20"/>
              </w:rPr>
              <w:t xml:space="preserve">c. Se promueva el voto a favor de dicha campaña de manera expresa. </w:t>
            </w:r>
          </w:p>
          <w:p w14:paraId="7FD228CA" w14:textId="77777777" w:rsidR="00E37584" w:rsidRDefault="00E37584" w:rsidP="00BD40B1">
            <w:pPr>
              <w:pStyle w:val="Default"/>
              <w:jc w:val="both"/>
              <w:rPr>
                <w:sz w:val="20"/>
                <w:szCs w:val="20"/>
              </w:rPr>
            </w:pPr>
          </w:p>
          <w:p w14:paraId="3C73D681" w14:textId="77777777" w:rsidR="00E37584" w:rsidRDefault="00E37584" w:rsidP="00BD40B1">
            <w:pPr>
              <w:pStyle w:val="Default"/>
              <w:jc w:val="both"/>
              <w:rPr>
                <w:sz w:val="20"/>
                <w:szCs w:val="20"/>
              </w:rPr>
            </w:pPr>
            <w:r>
              <w:rPr>
                <w:sz w:val="20"/>
                <w:szCs w:val="20"/>
              </w:rPr>
              <w:t>[…]</w:t>
            </w:r>
          </w:p>
          <w:p w14:paraId="42F8D5ED" w14:textId="77777777" w:rsidR="00E37584" w:rsidRDefault="00E37584" w:rsidP="00BD40B1">
            <w:pPr>
              <w:pStyle w:val="Default"/>
              <w:jc w:val="both"/>
              <w:rPr>
                <w:sz w:val="20"/>
                <w:szCs w:val="20"/>
              </w:rPr>
            </w:pPr>
            <w:r w:rsidRPr="00BD40B1">
              <w:rPr>
                <w:b/>
                <w:bCs/>
                <w:sz w:val="20"/>
                <w:szCs w:val="20"/>
              </w:rPr>
              <w:lastRenderedPageBreak/>
              <w:t>Artículo 140.</w:t>
            </w:r>
            <w:r w:rsidRPr="00BD40B1">
              <w:rPr>
                <w:sz w:val="20"/>
                <w:szCs w:val="20"/>
              </w:rPr>
              <w:t xml:space="preserve"> </w:t>
            </w:r>
            <w:r>
              <w:rPr>
                <w:sz w:val="20"/>
                <w:szCs w:val="20"/>
              </w:rPr>
              <w:t xml:space="preserve">En materia de revisión y fiscalización de los ingresos y gastos de precampaña, se estará a lo dispuesto en la Ley General de la materia y las disposiciones que para tales efectos establezca el Instituto Nacional Electoral. </w:t>
            </w:r>
          </w:p>
          <w:p w14:paraId="5F33AE60" w14:textId="77777777" w:rsidR="00E37584" w:rsidRDefault="00E37584" w:rsidP="00BD40B1">
            <w:pPr>
              <w:pStyle w:val="Default"/>
              <w:jc w:val="both"/>
              <w:rPr>
                <w:sz w:val="20"/>
                <w:szCs w:val="20"/>
              </w:rPr>
            </w:pPr>
          </w:p>
          <w:p w14:paraId="5CB58B70" w14:textId="77777777" w:rsidR="00E37584" w:rsidRDefault="00E37584" w:rsidP="00BD40B1">
            <w:pPr>
              <w:pStyle w:val="Default"/>
              <w:jc w:val="both"/>
              <w:rPr>
                <w:sz w:val="20"/>
                <w:szCs w:val="20"/>
              </w:rPr>
            </w:pPr>
            <w:r>
              <w:rPr>
                <w:sz w:val="20"/>
                <w:szCs w:val="20"/>
              </w:rPr>
              <w:t>[…]</w:t>
            </w:r>
          </w:p>
          <w:p w14:paraId="3BB33D7A" w14:textId="77777777" w:rsidR="00E37584" w:rsidRDefault="00E37584" w:rsidP="00BD40B1">
            <w:pPr>
              <w:pStyle w:val="Default"/>
              <w:jc w:val="both"/>
              <w:rPr>
                <w:sz w:val="20"/>
                <w:szCs w:val="20"/>
              </w:rPr>
            </w:pPr>
          </w:p>
          <w:p w14:paraId="664A3979" w14:textId="77777777" w:rsidR="00E37584" w:rsidRDefault="00E37584" w:rsidP="00BD40B1">
            <w:pPr>
              <w:pStyle w:val="Default"/>
              <w:jc w:val="both"/>
              <w:rPr>
                <w:sz w:val="20"/>
                <w:szCs w:val="20"/>
              </w:rPr>
            </w:pPr>
            <w:r w:rsidRPr="00BD40B1">
              <w:rPr>
                <w:b/>
                <w:bCs/>
                <w:sz w:val="20"/>
                <w:szCs w:val="20"/>
              </w:rPr>
              <w:t>Artículo 218.</w:t>
            </w:r>
            <w:r w:rsidRPr="00BD40B1">
              <w:rPr>
                <w:sz w:val="20"/>
                <w:szCs w:val="20"/>
              </w:rPr>
              <w:t xml:space="preserve"> </w:t>
            </w:r>
            <w:r>
              <w:rPr>
                <w:sz w:val="20"/>
                <w:szCs w:val="20"/>
              </w:rPr>
              <w:t xml:space="preserve">Son obligaciones de los candidatos independientes registrados: </w:t>
            </w:r>
          </w:p>
          <w:p w14:paraId="488BD416" w14:textId="77777777" w:rsidR="00E37584" w:rsidRDefault="00E37584" w:rsidP="00BD40B1">
            <w:pPr>
              <w:pStyle w:val="Default"/>
              <w:jc w:val="both"/>
              <w:rPr>
                <w:sz w:val="20"/>
                <w:szCs w:val="20"/>
              </w:rPr>
            </w:pPr>
          </w:p>
          <w:p w14:paraId="375436DF" w14:textId="77777777" w:rsidR="00E37584" w:rsidRDefault="00E37584" w:rsidP="00BD40B1">
            <w:pPr>
              <w:pStyle w:val="Default"/>
              <w:jc w:val="both"/>
              <w:rPr>
                <w:sz w:val="20"/>
                <w:szCs w:val="20"/>
              </w:rPr>
            </w:pPr>
            <w:r>
              <w:rPr>
                <w:sz w:val="20"/>
                <w:szCs w:val="20"/>
              </w:rPr>
              <w:t xml:space="preserve">[…] </w:t>
            </w:r>
          </w:p>
          <w:p w14:paraId="34C9CB8D" w14:textId="77777777" w:rsidR="00E37584" w:rsidRDefault="00E37584" w:rsidP="00BD40B1">
            <w:pPr>
              <w:pStyle w:val="Default"/>
              <w:jc w:val="both"/>
              <w:rPr>
                <w:sz w:val="20"/>
                <w:szCs w:val="20"/>
              </w:rPr>
            </w:pPr>
          </w:p>
          <w:p w14:paraId="3C929F17" w14:textId="77777777" w:rsidR="00E37584" w:rsidRDefault="00E37584" w:rsidP="00BD40B1">
            <w:pPr>
              <w:pStyle w:val="Default"/>
              <w:jc w:val="both"/>
              <w:rPr>
                <w:sz w:val="20"/>
                <w:szCs w:val="20"/>
              </w:rPr>
            </w:pPr>
            <w:r>
              <w:rPr>
                <w:sz w:val="20"/>
                <w:szCs w:val="20"/>
              </w:rPr>
              <w:t xml:space="preserve">XVII. Permitir los procedimientos de control, vigilancia y fiscalización por parte del Instituto Nacional Electoral y de la Comisión Estatal Electoral, así como de proporcionar la documentación relativa a la fiscalización de su financiamiento, en los mismos términos en que lo hagan los partidos políticos o coaliciones, de conformidad con las leyes respectivas; </w:t>
            </w:r>
          </w:p>
          <w:p w14:paraId="5FEDF80A" w14:textId="77777777" w:rsidR="00E37584" w:rsidRDefault="00E37584" w:rsidP="00BD40B1">
            <w:pPr>
              <w:pStyle w:val="Default"/>
              <w:jc w:val="both"/>
              <w:rPr>
                <w:sz w:val="20"/>
                <w:szCs w:val="20"/>
              </w:rPr>
            </w:pPr>
          </w:p>
          <w:p w14:paraId="47518ACC" w14:textId="77777777" w:rsidR="00E37584" w:rsidRDefault="00E37584" w:rsidP="00BD40B1">
            <w:pPr>
              <w:pStyle w:val="Default"/>
              <w:jc w:val="both"/>
              <w:rPr>
                <w:sz w:val="20"/>
                <w:szCs w:val="20"/>
              </w:rPr>
            </w:pPr>
            <w:r>
              <w:rPr>
                <w:sz w:val="20"/>
                <w:szCs w:val="20"/>
              </w:rPr>
              <w:t xml:space="preserve">XVIII. Ser responsable de los procedimientos de fiscalización de los recursos utilizados en la etapa de obtención del respaldo ciudadano, así como en la campaña electoral, hasta la total conclusión de los mismos; </w:t>
            </w:r>
          </w:p>
          <w:p w14:paraId="1E4694EB" w14:textId="77777777" w:rsidR="00E37584" w:rsidRDefault="00E37584" w:rsidP="00BD40B1">
            <w:pPr>
              <w:pStyle w:val="Default"/>
              <w:jc w:val="both"/>
              <w:rPr>
                <w:sz w:val="20"/>
                <w:szCs w:val="20"/>
              </w:rPr>
            </w:pPr>
          </w:p>
          <w:p w14:paraId="14CBC8ED" w14:textId="77777777" w:rsidR="00E37584" w:rsidRDefault="00E37584" w:rsidP="00BD40B1">
            <w:pPr>
              <w:jc w:val="both"/>
              <w:rPr>
                <w:rFonts w:ascii="Century Gothic" w:eastAsiaTheme="minorEastAsia" w:hAnsi="Century Gothic" w:cs="Century Gothic"/>
                <w:sz w:val="20"/>
                <w:szCs w:val="20"/>
              </w:rPr>
            </w:pPr>
            <w:r w:rsidRPr="00BD40B1">
              <w:rPr>
                <w:rFonts w:ascii="Century Gothic" w:eastAsiaTheme="minorEastAsia" w:hAnsi="Century Gothic" w:cs="Century Gothic"/>
                <w:sz w:val="20"/>
                <w:szCs w:val="20"/>
              </w:rPr>
              <w:t xml:space="preserve">XIX. En su caso, reintegrar a la Comisión Estatal Electoral el remanente del financiamiento público que les haya sido otorgado para gastos de campaña, dentro del plazo de diez días posteriores a la fecha de la jornada electoral. El trámite a seguir </w:t>
            </w:r>
            <w:r>
              <w:rPr>
                <w:rFonts w:ascii="Century Gothic" w:eastAsiaTheme="minorEastAsia" w:hAnsi="Century Gothic" w:cs="Century Gothic"/>
                <w:sz w:val="20"/>
                <w:szCs w:val="20"/>
              </w:rPr>
              <w:t>p</w:t>
            </w:r>
            <w:r w:rsidRPr="00BD40B1">
              <w:rPr>
                <w:rFonts w:ascii="Century Gothic" w:eastAsiaTheme="minorEastAsia" w:hAnsi="Century Gothic" w:cs="Century Gothic"/>
                <w:sz w:val="20"/>
                <w:szCs w:val="20"/>
              </w:rPr>
              <w:t xml:space="preserve">ara tales efectos será notificado a los candidatos independientes o sus representantes mediante oficio, en la misma fecha en que dicho financiamiento sea puesto a su disposición; </w:t>
            </w:r>
          </w:p>
          <w:p w14:paraId="68E7DF7F" w14:textId="77777777" w:rsidR="00E37584" w:rsidRDefault="00E37584" w:rsidP="00BD40B1">
            <w:pPr>
              <w:jc w:val="both"/>
              <w:rPr>
                <w:rFonts w:ascii="Century Gothic" w:eastAsiaTheme="minorEastAsia" w:hAnsi="Century Gothic" w:cs="Century Gothic"/>
                <w:sz w:val="20"/>
                <w:szCs w:val="20"/>
              </w:rPr>
            </w:pPr>
          </w:p>
          <w:p w14:paraId="2275FC35" w14:textId="77777777" w:rsidR="00E37584" w:rsidRDefault="00E37584" w:rsidP="00ED1B40">
            <w:pPr>
              <w:jc w:val="both"/>
            </w:pPr>
            <w:r w:rsidRPr="00BD40B1">
              <w:rPr>
                <w:rFonts w:ascii="Century Gothic" w:eastAsiaTheme="minorEastAsia" w:hAnsi="Century Gothic" w:cs="Century Gothic"/>
                <w:sz w:val="20"/>
                <w:szCs w:val="20"/>
              </w:rPr>
              <w:t xml:space="preserve">[…] </w:t>
            </w:r>
          </w:p>
        </w:tc>
      </w:tr>
    </w:tbl>
    <w:p w14:paraId="0DD52358" w14:textId="77777777" w:rsidR="004F35DF" w:rsidRDefault="004F35DF">
      <w:pPr>
        <w:spacing w:after="0"/>
        <w:ind w:left="-24"/>
      </w:pPr>
    </w:p>
    <w:tbl>
      <w:tblPr>
        <w:tblStyle w:val="TableGrid"/>
        <w:tblW w:w="18156" w:type="dxa"/>
        <w:tblInd w:w="-17" w:type="dxa"/>
        <w:tblCellMar>
          <w:top w:w="61" w:type="dxa"/>
          <w:left w:w="108" w:type="dxa"/>
          <w:right w:w="57" w:type="dxa"/>
        </w:tblCellMar>
        <w:tblLook w:val="04A0" w:firstRow="1" w:lastRow="0" w:firstColumn="1" w:lastColumn="0" w:noHBand="0" w:noVBand="1"/>
      </w:tblPr>
      <w:tblGrid>
        <w:gridCol w:w="1464"/>
        <w:gridCol w:w="2774"/>
        <w:gridCol w:w="13918"/>
      </w:tblGrid>
      <w:tr w:rsidR="00E37584" w14:paraId="74CAFAFA" w14:textId="77777777" w:rsidTr="00264CA9">
        <w:trPr>
          <w:trHeight w:val="406"/>
        </w:trPr>
        <w:tc>
          <w:tcPr>
            <w:tcW w:w="1464" w:type="dxa"/>
            <w:tcBorders>
              <w:top w:val="single" w:sz="4" w:space="0" w:color="BFBFBF"/>
              <w:left w:val="single" w:sz="4" w:space="0" w:color="BFBFBF"/>
              <w:bottom w:val="single" w:sz="4" w:space="0" w:color="BFBFBF"/>
              <w:right w:val="single" w:sz="4" w:space="0" w:color="BFBFBF"/>
            </w:tcBorders>
            <w:shd w:val="clear" w:color="auto" w:fill="76923C"/>
          </w:tcPr>
          <w:p w14:paraId="44B9A130" w14:textId="77777777" w:rsidR="00E37584" w:rsidRDefault="00E37584">
            <w:pPr>
              <w:ind w:left="197"/>
              <w:jc w:val="center"/>
            </w:pPr>
            <w:r>
              <w:rPr>
                <w:rFonts w:ascii="Century Gothic" w:eastAsia="Century Gothic" w:hAnsi="Century Gothic" w:cs="Century Gothic"/>
                <w:b/>
                <w:color w:val="FFFFFF"/>
                <w:sz w:val="20"/>
              </w:rPr>
              <w:t xml:space="preserve"> </w:t>
            </w:r>
          </w:p>
        </w:tc>
        <w:tc>
          <w:tcPr>
            <w:tcW w:w="2774" w:type="dxa"/>
            <w:tcBorders>
              <w:top w:val="single" w:sz="4" w:space="0" w:color="BFBFBF"/>
              <w:left w:val="single" w:sz="4" w:space="0" w:color="BFBFBF"/>
              <w:bottom w:val="single" w:sz="4" w:space="0" w:color="BFBFBF"/>
              <w:right w:val="single" w:sz="4" w:space="0" w:color="BFBFBF"/>
            </w:tcBorders>
            <w:shd w:val="clear" w:color="auto" w:fill="76923C"/>
          </w:tcPr>
          <w:p w14:paraId="20698D73" w14:textId="77777777" w:rsidR="00E37584" w:rsidRDefault="00E37584">
            <w:pPr>
              <w:ind w:right="54"/>
              <w:jc w:val="center"/>
            </w:pPr>
            <w:r>
              <w:rPr>
                <w:rFonts w:ascii="Century Gothic" w:eastAsia="Century Gothic" w:hAnsi="Century Gothic" w:cs="Century Gothic"/>
                <w:b/>
                <w:color w:val="FFFFFF"/>
                <w:sz w:val="20"/>
              </w:rPr>
              <w:t xml:space="preserve">ESTADO </w:t>
            </w:r>
          </w:p>
        </w:tc>
        <w:tc>
          <w:tcPr>
            <w:tcW w:w="13918" w:type="dxa"/>
            <w:tcBorders>
              <w:top w:val="single" w:sz="4" w:space="0" w:color="BFBFBF"/>
              <w:left w:val="single" w:sz="4" w:space="0" w:color="BFBFBF"/>
              <w:bottom w:val="single" w:sz="4" w:space="0" w:color="BFBFBF"/>
              <w:right w:val="single" w:sz="4" w:space="0" w:color="BFBFBF"/>
            </w:tcBorders>
            <w:shd w:val="clear" w:color="auto" w:fill="76923C"/>
          </w:tcPr>
          <w:p w14:paraId="7B408213" w14:textId="2586FACB" w:rsidR="00E37584" w:rsidRDefault="00E37584">
            <w:pPr>
              <w:ind w:right="52"/>
              <w:jc w:val="center"/>
            </w:pPr>
            <w:r>
              <w:rPr>
                <w:rFonts w:ascii="Century Gothic" w:eastAsia="Century Gothic" w:hAnsi="Century Gothic" w:cs="Century Gothic"/>
                <w:b/>
                <w:color w:val="FFFFFF"/>
                <w:sz w:val="20"/>
              </w:rPr>
              <w:t xml:space="preserve"> </w:t>
            </w:r>
          </w:p>
        </w:tc>
      </w:tr>
      <w:tr w:rsidR="00D049C6" w14:paraId="125E1AA2" w14:textId="77777777" w:rsidTr="00E77FBA">
        <w:trPr>
          <w:trHeight w:val="479"/>
        </w:trPr>
        <w:tc>
          <w:tcPr>
            <w:tcW w:w="1464" w:type="dxa"/>
            <w:tcBorders>
              <w:top w:val="single" w:sz="4" w:space="0" w:color="BFBFBF"/>
              <w:left w:val="single" w:sz="4" w:space="0" w:color="BFBFBF"/>
              <w:bottom w:val="single" w:sz="4" w:space="0" w:color="BFBFBF"/>
              <w:right w:val="single" w:sz="4" w:space="0" w:color="BFBFBF"/>
            </w:tcBorders>
            <w:shd w:val="clear" w:color="auto" w:fill="F2F2F2"/>
          </w:tcPr>
          <w:p w14:paraId="2A0B2E33" w14:textId="77777777" w:rsidR="00D049C6" w:rsidRPr="00D049C6" w:rsidRDefault="00FE0BC3" w:rsidP="00FE0BC3">
            <w:pPr>
              <w:rPr>
                <w:b/>
              </w:rPr>
            </w:pPr>
            <w:r>
              <w:rPr>
                <w:b/>
              </w:rPr>
              <w:t xml:space="preserve">          </w:t>
            </w:r>
            <w:r w:rsidR="00D049C6" w:rsidRPr="00D049C6">
              <w:rPr>
                <w:b/>
              </w:rPr>
              <w:t>3.</w:t>
            </w:r>
          </w:p>
        </w:tc>
        <w:tc>
          <w:tcPr>
            <w:tcW w:w="2774" w:type="dxa"/>
            <w:tcBorders>
              <w:top w:val="single" w:sz="4" w:space="0" w:color="BFBFBF"/>
              <w:left w:val="single" w:sz="4" w:space="0" w:color="BFBFBF"/>
              <w:bottom w:val="single" w:sz="4" w:space="0" w:color="BFBFBF"/>
              <w:right w:val="single" w:sz="4" w:space="0" w:color="BFBFBF"/>
            </w:tcBorders>
            <w:shd w:val="clear" w:color="auto" w:fill="F2F2F2"/>
          </w:tcPr>
          <w:p w14:paraId="09F82B3B" w14:textId="77777777" w:rsidR="00D049C6" w:rsidRPr="00D049C6" w:rsidRDefault="00344AAE" w:rsidP="00344AAE">
            <w:pPr>
              <w:jc w:val="center"/>
              <w:rPr>
                <w:b/>
              </w:rPr>
            </w:pPr>
            <w:r>
              <w:rPr>
                <w:b/>
              </w:rPr>
              <w:t>NUEVO LEÓN</w:t>
            </w:r>
          </w:p>
        </w:tc>
        <w:tc>
          <w:tcPr>
            <w:tcW w:w="13918" w:type="dxa"/>
            <w:tcBorders>
              <w:top w:val="single" w:sz="4" w:space="0" w:color="BFBFBF"/>
              <w:left w:val="single" w:sz="4" w:space="0" w:color="BFBFBF"/>
              <w:bottom w:val="single" w:sz="4" w:space="0" w:color="BFBFBF"/>
              <w:right w:val="single" w:sz="4" w:space="0" w:color="BFBFBF"/>
            </w:tcBorders>
            <w:shd w:val="clear" w:color="auto" w:fill="F2F2F2"/>
          </w:tcPr>
          <w:p w14:paraId="4491D274" w14:textId="382186FA" w:rsidR="00BD40B1" w:rsidRPr="00251E5C" w:rsidRDefault="00BD40B1" w:rsidP="00BD40B1">
            <w:pPr>
              <w:pStyle w:val="Default"/>
              <w:rPr>
                <w:b/>
                <w:bCs/>
                <w:color w:val="auto"/>
                <w:sz w:val="20"/>
                <w:szCs w:val="20"/>
              </w:rPr>
            </w:pPr>
            <w:r w:rsidRPr="00251E5C">
              <w:rPr>
                <w:b/>
                <w:bCs/>
                <w:color w:val="auto"/>
                <w:sz w:val="20"/>
                <w:szCs w:val="20"/>
              </w:rPr>
              <w:t>•</w:t>
            </w:r>
            <w:r w:rsidR="00251E5C">
              <w:rPr>
                <w:b/>
                <w:bCs/>
                <w:color w:val="auto"/>
                <w:sz w:val="20"/>
                <w:szCs w:val="20"/>
              </w:rPr>
              <w:t xml:space="preserve"> </w:t>
            </w:r>
            <w:hyperlink r:id="rId9" w:history="1">
              <w:r w:rsidRPr="00251E5C">
                <w:rPr>
                  <w:rStyle w:val="Hipervnculo"/>
                  <w:b/>
                  <w:bCs/>
                  <w:color w:val="auto"/>
                  <w:sz w:val="20"/>
                  <w:szCs w:val="20"/>
                </w:rPr>
                <w:t>Reglamento para la fiscalización de los recursos de las asociaciones políticas estatales.</w:t>
              </w:r>
            </w:hyperlink>
            <w:r w:rsidRPr="00251E5C">
              <w:rPr>
                <w:b/>
                <w:bCs/>
                <w:color w:val="auto"/>
                <w:sz w:val="20"/>
                <w:szCs w:val="20"/>
              </w:rPr>
              <w:t xml:space="preserve"> </w:t>
            </w:r>
          </w:p>
          <w:p w14:paraId="2D1F2EC0" w14:textId="77777777" w:rsidR="00251E5C" w:rsidRPr="00251E5C" w:rsidRDefault="00251E5C" w:rsidP="00BD40B1">
            <w:pPr>
              <w:pStyle w:val="Default"/>
              <w:rPr>
                <w:color w:val="auto"/>
                <w:sz w:val="20"/>
                <w:szCs w:val="20"/>
              </w:rPr>
            </w:pPr>
          </w:p>
          <w:p w14:paraId="0E441861" w14:textId="5CFA4261" w:rsidR="006E13FE" w:rsidRPr="00251E5C" w:rsidRDefault="00BD40B1" w:rsidP="00BD40B1">
            <w:pPr>
              <w:rPr>
                <w:rFonts w:ascii="Century Gothic" w:eastAsiaTheme="minorEastAsia" w:hAnsi="Century Gothic" w:cs="Century Gothic"/>
                <w:b/>
                <w:bCs/>
                <w:color w:val="auto"/>
                <w:sz w:val="20"/>
                <w:szCs w:val="20"/>
              </w:rPr>
            </w:pPr>
            <w:r w:rsidRPr="00251E5C">
              <w:rPr>
                <w:rFonts w:ascii="Century Gothic" w:eastAsiaTheme="minorEastAsia" w:hAnsi="Century Gothic" w:cs="Century Gothic"/>
                <w:b/>
                <w:bCs/>
                <w:color w:val="auto"/>
                <w:sz w:val="20"/>
                <w:szCs w:val="20"/>
              </w:rPr>
              <w:t xml:space="preserve">• </w:t>
            </w:r>
            <w:hyperlink r:id="rId10" w:history="1">
              <w:r w:rsidRPr="00251E5C">
                <w:rPr>
                  <w:rStyle w:val="Hipervnculo"/>
                  <w:rFonts w:ascii="Century Gothic" w:eastAsiaTheme="minorEastAsia" w:hAnsi="Century Gothic" w:cs="Century Gothic"/>
                  <w:b/>
                  <w:bCs/>
                  <w:color w:val="auto"/>
                  <w:sz w:val="20"/>
                  <w:szCs w:val="20"/>
                </w:rPr>
                <w:t xml:space="preserve">Reglamento para </w:t>
              </w:r>
              <w:r w:rsidR="00251E5C" w:rsidRPr="00251E5C">
                <w:rPr>
                  <w:rStyle w:val="Hipervnculo"/>
                  <w:rFonts w:ascii="Century Gothic" w:eastAsiaTheme="minorEastAsia" w:hAnsi="Century Gothic" w:cs="Century Gothic"/>
                  <w:b/>
                  <w:bCs/>
                  <w:color w:val="auto"/>
                  <w:sz w:val="20"/>
                  <w:szCs w:val="20"/>
                </w:rPr>
                <w:t>la Liquidación de Partidos Políticos Locales</w:t>
              </w:r>
            </w:hyperlink>
            <w:r w:rsidR="00251E5C" w:rsidRPr="00251E5C">
              <w:rPr>
                <w:rFonts w:ascii="Century Gothic" w:eastAsiaTheme="minorEastAsia" w:hAnsi="Century Gothic" w:cs="Century Gothic"/>
                <w:b/>
                <w:bCs/>
                <w:color w:val="auto"/>
                <w:sz w:val="20"/>
                <w:szCs w:val="20"/>
              </w:rPr>
              <w:t xml:space="preserve"> </w:t>
            </w:r>
          </w:p>
          <w:p w14:paraId="62B344AA" w14:textId="77777777" w:rsidR="00BD40B1" w:rsidRPr="00D049C6" w:rsidRDefault="00BD40B1" w:rsidP="00251E5C">
            <w:pPr>
              <w:rPr>
                <w:b/>
              </w:rPr>
            </w:pPr>
          </w:p>
        </w:tc>
      </w:tr>
    </w:tbl>
    <w:p w14:paraId="270C966D" w14:textId="77777777" w:rsidR="004F35DF" w:rsidRDefault="00FA18E9">
      <w:pPr>
        <w:spacing w:after="0"/>
        <w:ind w:left="-24"/>
      </w:pPr>
      <w:r>
        <w:rPr>
          <w:rFonts w:ascii="Century Gothic" w:eastAsia="Century Gothic" w:hAnsi="Century Gothic" w:cs="Century Gothic"/>
          <w:b/>
          <w:sz w:val="20"/>
        </w:rPr>
        <w:t xml:space="preserve"> </w:t>
      </w:r>
    </w:p>
    <w:sectPr w:rsidR="004F35DF">
      <w:headerReference w:type="even" r:id="rId11"/>
      <w:headerReference w:type="default" r:id="rId12"/>
      <w:headerReference w:type="first" r:id="rId13"/>
      <w:pgSz w:w="20160" w:h="12240" w:orient="landscape"/>
      <w:pgMar w:top="1440" w:right="1440" w:bottom="646"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5444" w14:textId="77777777" w:rsidR="00DB74BE" w:rsidRDefault="00DB74BE">
      <w:pPr>
        <w:spacing w:after="0" w:line="240" w:lineRule="auto"/>
      </w:pPr>
      <w:r>
        <w:separator/>
      </w:r>
    </w:p>
  </w:endnote>
  <w:endnote w:type="continuationSeparator" w:id="0">
    <w:p w14:paraId="3863391F" w14:textId="77777777" w:rsidR="00DB74BE" w:rsidRDefault="00DB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A44C" w14:textId="77777777" w:rsidR="00DB74BE" w:rsidRDefault="00DB74BE">
      <w:pPr>
        <w:spacing w:after="0" w:line="240" w:lineRule="auto"/>
      </w:pPr>
      <w:r>
        <w:separator/>
      </w:r>
    </w:p>
  </w:footnote>
  <w:footnote w:type="continuationSeparator" w:id="0">
    <w:p w14:paraId="6D34F326" w14:textId="77777777" w:rsidR="00DB74BE" w:rsidRDefault="00DB7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8344" w14:textId="77777777" w:rsidR="004F35DF" w:rsidRDefault="00FA18E9">
    <w:pPr>
      <w:spacing w:after="95"/>
      <w:ind w:right="80"/>
      <w:jc w:val="right"/>
    </w:pPr>
    <w:r>
      <w:rPr>
        <w:rFonts w:ascii="Malgun Gothic" w:eastAsia="Malgun Gothic" w:hAnsi="Malgun Gothic" w:cs="Malgun Gothic"/>
        <w:b/>
        <w:sz w:val="10"/>
      </w:rPr>
      <w:t xml:space="preserve"> </w:t>
    </w:r>
  </w:p>
  <w:p w14:paraId="4DF1982D" w14:textId="77777777" w:rsidR="004F35DF" w:rsidRDefault="00FA18E9">
    <w:pPr>
      <w:spacing w:after="0"/>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4867D355" w14:textId="77777777" w:rsidR="004F35DF" w:rsidRDefault="00FA18E9">
    <w:r>
      <w:rPr>
        <w:noProof/>
      </w:rPr>
      <mc:AlternateContent>
        <mc:Choice Requires="wpg">
          <w:drawing>
            <wp:anchor distT="0" distB="0" distL="114300" distR="114300" simplePos="0" relativeHeight="251658240" behindDoc="1" locked="0" layoutInCell="1" allowOverlap="1" wp14:anchorId="368135CC" wp14:editId="15F99FFB">
              <wp:simplePos x="0" y="0"/>
              <wp:positionH relativeFrom="page">
                <wp:posOffset>987552</wp:posOffset>
              </wp:positionH>
              <wp:positionV relativeFrom="page">
                <wp:posOffset>449580</wp:posOffset>
              </wp:positionV>
              <wp:extent cx="1162812" cy="1178052"/>
              <wp:effectExtent l="0" t="0" r="0" b="0"/>
              <wp:wrapNone/>
              <wp:docPr id="5341" name="Group 5341"/>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42" name="Picture 5342"/>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5341" style="width:91.56pt;height:92.76pt;position:absolute;z-index:-2147483648;mso-position-horizontal-relative:page;mso-position-horizontal:absolute;margin-left:77.76pt;mso-position-vertical-relative:page;margin-top:35.4pt;" coordsize="11628,11780">
              <v:shape id="Picture 5342" style="position:absolute;width:11628;height:11780;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D1F8" w14:textId="77777777" w:rsidR="004F35DF" w:rsidRDefault="00FA18E9">
    <w:pPr>
      <w:spacing w:after="95"/>
      <w:ind w:right="80"/>
      <w:jc w:val="right"/>
    </w:pPr>
    <w:r>
      <w:rPr>
        <w:rFonts w:ascii="Malgun Gothic" w:eastAsia="Malgun Gothic" w:hAnsi="Malgun Gothic" w:cs="Malgun Gothic"/>
        <w:b/>
        <w:sz w:val="10"/>
      </w:rPr>
      <w:t xml:space="preserve"> </w:t>
    </w:r>
  </w:p>
  <w:p w14:paraId="3CEEF50E" w14:textId="77777777" w:rsidR="00E77FBA" w:rsidRDefault="00E77FBA">
    <w:pPr>
      <w:spacing w:after="0"/>
      <w:ind w:right="115"/>
      <w:jc w:val="right"/>
      <w:rPr>
        <w:rFonts w:ascii="Arial" w:eastAsia="Arial" w:hAnsi="Arial" w:cs="Arial"/>
        <w:b/>
        <w:i/>
        <w:sz w:val="18"/>
      </w:rPr>
    </w:pPr>
    <w:r>
      <w:rPr>
        <w:rFonts w:ascii="Arial" w:eastAsia="Arial" w:hAnsi="Arial" w:cs="Arial"/>
        <w:b/>
        <w:i/>
      </w:rPr>
      <w:t>D</w:t>
    </w:r>
    <w:r w:rsidRPr="00E77FBA">
      <w:rPr>
        <w:rFonts w:ascii="Arial" w:eastAsia="Arial" w:hAnsi="Arial" w:cs="Arial"/>
        <w:b/>
        <w:i/>
        <w:sz w:val="18"/>
        <w:szCs w:val="18"/>
      </w:rPr>
      <w:t>IRECCIÓN</w:t>
    </w:r>
    <w:r>
      <w:rPr>
        <w:rFonts w:ascii="Arial" w:eastAsia="Arial" w:hAnsi="Arial" w:cs="Arial"/>
        <w:b/>
        <w:i/>
      </w:rPr>
      <w:t xml:space="preserve"> G</w:t>
    </w:r>
    <w:r w:rsidRPr="00E77FBA">
      <w:rPr>
        <w:rFonts w:ascii="Arial" w:eastAsia="Arial" w:hAnsi="Arial" w:cs="Arial"/>
        <w:b/>
        <w:i/>
        <w:sz w:val="18"/>
        <w:szCs w:val="18"/>
      </w:rPr>
      <w:t>ENERAL</w:t>
    </w:r>
    <w:r>
      <w:rPr>
        <w:rFonts w:ascii="Arial" w:eastAsia="Arial" w:hAnsi="Arial" w:cs="Arial"/>
        <w:b/>
        <w:i/>
      </w:rPr>
      <w:t xml:space="preserve"> </w:t>
    </w:r>
    <w:r w:rsidR="00FA18E9">
      <w:rPr>
        <w:rFonts w:ascii="Arial" w:eastAsia="Arial" w:hAnsi="Arial" w:cs="Arial"/>
        <w:b/>
        <w:i/>
        <w:sz w:val="18"/>
      </w:rPr>
      <w:t xml:space="preserve">DE </w:t>
    </w:r>
    <w:r w:rsidR="00FA18E9">
      <w:rPr>
        <w:rFonts w:ascii="Arial" w:eastAsia="Arial" w:hAnsi="Arial" w:cs="Arial"/>
        <w:b/>
        <w:i/>
      </w:rPr>
      <w:t>J</w:t>
    </w:r>
    <w:r w:rsidR="00FA18E9">
      <w:rPr>
        <w:rFonts w:ascii="Arial" w:eastAsia="Arial" w:hAnsi="Arial" w:cs="Arial"/>
        <w:b/>
        <w:i/>
        <w:sz w:val="18"/>
      </w:rPr>
      <w:t>URISPRUDENCIA</w:t>
    </w:r>
    <w:r w:rsidR="00FA18E9">
      <w:rPr>
        <w:rFonts w:ascii="Arial" w:eastAsia="Arial" w:hAnsi="Arial" w:cs="Arial"/>
        <w:b/>
        <w:i/>
      </w:rPr>
      <w:t>,</w:t>
    </w:r>
    <w:r w:rsidR="00FA18E9">
      <w:rPr>
        <w:rFonts w:ascii="Arial" w:eastAsia="Arial" w:hAnsi="Arial" w:cs="Arial"/>
        <w:b/>
        <w:i/>
        <w:sz w:val="18"/>
      </w:rPr>
      <w:t xml:space="preserve"> SEGUIMIENTO Y CONSULTA</w:t>
    </w:r>
  </w:p>
  <w:p w14:paraId="363BEB62" w14:textId="77777777" w:rsidR="00E77FBA" w:rsidRDefault="00E77FBA">
    <w:pPr>
      <w:spacing w:after="0"/>
      <w:ind w:right="115"/>
      <w:jc w:val="right"/>
      <w:rPr>
        <w:rFonts w:ascii="Arial" w:eastAsia="Arial" w:hAnsi="Arial" w:cs="Arial"/>
        <w:b/>
        <w:i/>
        <w:sz w:val="18"/>
      </w:rPr>
    </w:pPr>
  </w:p>
  <w:p w14:paraId="33C1EB84" w14:textId="77777777" w:rsidR="004F35DF" w:rsidRDefault="00E77FBA">
    <w:pPr>
      <w:spacing w:after="0"/>
      <w:ind w:right="115"/>
      <w:jc w:val="right"/>
      <w:rPr>
        <w:rFonts w:ascii="Arial" w:eastAsia="Arial" w:hAnsi="Arial" w:cs="Arial"/>
        <w:b/>
        <w:i/>
      </w:rPr>
    </w:pPr>
    <w:r w:rsidRPr="00E77FBA">
      <w:rPr>
        <w:rFonts w:ascii="Arial" w:eastAsia="Arial" w:hAnsi="Arial" w:cs="Arial"/>
        <w:b/>
        <w:i/>
      </w:rPr>
      <w:t>D</w:t>
    </w:r>
    <w:r>
      <w:rPr>
        <w:rFonts w:ascii="Arial" w:eastAsia="Arial" w:hAnsi="Arial" w:cs="Arial"/>
        <w:b/>
        <w:i/>
        <w:sz w:val="18"/>
      </w:rPr>
      <w:t xml:space="preserve">IRECCIÓN DE </w:t>
    </w:r>
    <w:r w:rsidRPr="00E77FBA">
      <w:rPr>
        <w:rFonts w:ascii="Arial" w:eastAsia="Arial" w:hAnsi="Arial" w:cs="Arial"/>
        <w:b/>
        <w:i/>
      </w:rPr>
      <w:t>C</w:t>
    </w:r>
    <w:r>
      <w:rPr>
        <w:rFonts w:ascii="Arial" w:eastAsia="Arial" w:hAnsi="Arial" w:cs="Arial"/>
        <w:b/>
        <w:i/>
        <w:sz w:val="18"/>
      </w:rPr>
      <w:t xml:space="preserve">ONSULTA Y </w:t>
    </w:r>
    <w:r w:rsidRPr="00E77FBA">
      <w:rPr>
        <w:rFonts w:ascii="Arial" w:eastAsia="Arial" w:hAnsi="Arial" w:cs="Arial"/>
        <w:b/>
        <w:i/>
      </w:rPr>
      <w:t>D</w:t>
    </w:r>
    <w:r>
      <w:rPr>
        <w:rFonts w:ascii="Arial" w:eastAsia="Arial" w:hAnsi="Arial" w:cs="Arial"/>
        <w:b/>
        <w:i/>
        <w:sz w:val="18"/>
      </w:rPr>
      <w:t xml:space="preserve">IFUSIÓN </w:t>
    </w:r>
    <w:r w:rsidR="00FA18E9">
      <w:rPr>
        <w:rFonts w:ascii="Arial" w:eastAsia="Arial" w:hAnsi="Arial" w:cs="Arial"/>
        <w:b/>
        <w:i/>
      </w:rPr>
      <w:t xml:space="preserve"> </w:t>
    </w:r>
  </w:p>
  <w:p w14:paraId="3174E36C" w14:textId="77777777" w:rsidR="00501DEE" w:rsidRDefault="00501DEE">
    <w:pPr>
      <w:spacing w:after="0"/>
      <w:ind w:right="115"/>
      <w:jc w:val="right"/>
      <w:rPr>
        <w:rFonts w:ascii="Arial" w:eastAsia="Arial" w:hAnsi="Arial" w:cs="Arial"/>
        <w:b/>
        <w:i/>
      </w:rPr>
    </w:pPr>
  </w:p>
  <w:p w14:paraId="6C45701C" w14:textId="77777777" w:rsidR="00501DEE" w:rsidRDefault="00501DEE">
    <w:pPr>
      <w:spacing w:after="0"/>
      <w:ind w:right="115"/>
      <w:jc w:val="right"/>
      <w:rPr>
        <w:rFonts w:ascii="Arial" w:eastAsia="Arial" w:hAnsi="Arial" w:cs="Arial"/>
        <w:b/>
        <w:i/>
      </w:rPr>
    </w:pPr>
  </w:p>
  <w:p w14:paraId="3EEAE61F" w14:textId="77777777" w:rsidR="004F35DF" w:rsidRDefault="00FA18E9">
    <w:r>
      <w:rPr>
        <w:noProof/>
      </w:rPr>
      <mc:AlternateContent>
        <mc:Choice Requires="wpg">
          <w:drawing>
            <wp:anchor distT="0" distB="0" distL="114300" distR="114300" simplePos="0" relativeHeight="251659264" behindDoc="1" locked="0" layoutInCell="1" allowOverlap="1" wp14:anchorId="247B1250" wp14:editId="207A4E66">
              <wp:simplePos x="0" y="0"/>
              <wp:positionH relativeFrom="page">
                <wp:posOffset>987552</wp:posOffset>
              </wp:positionH>
              <wp:positionV relativeFrom="page">
                <wp:posOffset>449580</wp:posOffset>
              </wp:positionV>
              <wp:extent cx="1162812" cy="1178052"/>
              <wp:effectExtent l="0" t="0" r="0" b="0"/>
              <wp:wrapNone/>
              <wp:docPr id="5322" name="Group 5322"/>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23" name="Picture 5323"/>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5322" style="width:91.56pt;height:92.76pt;position:absolute;z-index:-2147483648;mso-position-horizontal-relative:page;mso-position-horizontal:absolute;margin-left:77.76pt;mso-position-vertical-relative:page;margin-top:35.4pt;" coordsize="11628,11780">
              <v:shape id="Picture 5323" style="position:absolute;width:11628;height:11780;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B8A6" w14:textId="77777777" w:rsidR="004F35DF" w:rsidRDefault="00FA18E9">
    <w:pPr>
      <w:spacing w:after="95"/>
      <w:ind w:right="80"/>
      <w:jc w:val="right"/>
    </w:pPr>
    <w:r>
      <w:rPr>
        <w:rFonts w:ascii="Malgun Gothic" w:eastAsia="Malgun Gothic" w:hAnsi="Malgun Gothic" w:cs="Malgun Gothic"/>
        <w:b/>
        <w:sz w:val="10"/>
      </w:rPr>
      <w:t xml:space="preserve"> </w:t>
    </w:r>
  </w:p>
  <w:p w14:paraId="39ECBB81" w14:textId="77777777" w:rsidR="004F35DF" w:rsidRDefault="00FA18E9">
    <w:pPr>
      <w:spacing w:after="0"/>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49E21FCD" w14:textId="77777777" w:rsidR="004F35DF" w:rsidRDefault="00FA18E9">
    <w:r>
      <w:rPr>
        <w:noProof/>
      </w:rPr>
      <mc:AlternateContent>
        <mc:Choice Requires="wpg">
          <w:drawing>
            <wp:anchor distT="0" distB="0" distL="114300" distR="114300" simplePos="0" relativeHeight="251660288" behindDoc="1" locked="0" layoutInCell="1" allowOverlap="1" wp14:anchorId="0F1E4F89" wp14:editId="18DE0241">
              <wp:simplePos x="0" y="0"/>
              <wp:positionH relativeFrom="page">
                <wp:posOffset>987552</wp:posOffset>
              </wp:positionH>
              <wp:positionV relativeFrom="page">
                <wp:posOffset>449580</wp:posOffset>
              </wp:positionV>
              <wp:extent cx="1162812" cy="1178052"/>
              <wp:effectExtent l="0" t="0" r="0" b="0"/>
              <wp:wrapNone/>
              <wp:docPr id="5303" name="Group 5303"/>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04" name="Picture 5304"/>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5303" style="width:91.56pt;height:92.76pt;position:absolute;z-index:-2147483648;mso-position-horizontal-relative:page;mso-position-horizontal:absolute;margin-left:77.76pt;mso-position-vertical-relative:page;margin-top:35.4pt;" coordsize="11628,11780">
              <v:shape id="Picture 5304" style="position:absolute;width:11628;height:11780;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85B"/>
    <w:multiLevelType w:val="hybridMultilevel"/>
    <w:tmpl w:val="15BC2004"/>
    <w:lvl w:ilvl="0" w:tplc="8508EE76">
      <w:start w:val="3"/>
      <w:numFmt w:val="upperRoman"/>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B362B00">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2F09B26">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5D87364">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9A83EA">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1225AD6">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3A8EDA">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0646FEE">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09A1FBA">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856658"/>
    <w:multiLevelType w:val="hybridMultilevel"/>
    <w:tmpl w:val="2D22F3CA"/>
    <w:lvl w:ilvl="0" w:tplc="17E637EC">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B04A1DE">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49A8004">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1F67ED2">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4527F7C">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B1013B2">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8EA7E60">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41875EA">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8C8BD4A">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8D1298"/>
    <w:multiLevelType w:val="hybridMultilevel"/>
    <w:tmpl w:val="2F9CFD2A"/>
    <w:lvl w:ilvl="0" w:tplc="CBB6B01E">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A6F656">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5BC650A">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0B6EF66">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C881838">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10286EE">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8C8E80A">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CCB84C">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EC25470">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098988115">
    <w:abstractNumId w:val="1"/>
  </w:num>
  <w:num w:numId="2" w16cid:durableId="1475219631">
    <w:abstractNumId w:val="0"/>
  </w:num>
  <w:num w:numId="3" w16cid:durableId="470483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DF"/>
    <w:rsid w:val="00000EA4"/>
    <w:rsid w:val="00052C0F"/>
    <w:rsid w:val="00063301"/>
    <w:rsid w:val="00103009"/>
    <w:rsid w:val="0010728E"/>
    <w:rsid w:val="00126251"/>
    <w:rsid w:val="00155697"/>
    <w:rsid w:val="001F4197"/>
    <w:rsid w:val="002025F2"/>
    <w:rsid w:val="00251E5C"/>
    <w:rsid w:val="00296B76"/>
    <w:rsid w:val="002D649F"/>
    <w:rsid w:val="00344AAE"/>
    <w:rsid w:val="003E4AF6"/>
    <w:rsid w:val="004004CC"/>
    <w:rsid w:val="004100F5"/>
    <w:rsid w:val="004479D3"/>
    <w:rsid w:val="004778F7"/>
    <w:rsid w:val="004A6A73"/>
    <w:rsid w:val="004A728E"/>
    <w:rsid w:val="004F35DF"/>
    <w:rsid w:val="00501DEE"/>
    <w:rsid w:val="00511E81"/>
    <w:rsid w:val="00530597"/>
    <w:rsid w:val="005B664E"/>
    <w:rsid w:val="00631638"/>
    <w:rsid w:val="00654522"/>
    <w:rsid w:val="00685905"/>
    <w:rsid w:val="006B3317"/>
    <w:rsid w:val="006E13FE"/>
    <w:rsid w:val="0075406E"/>
    <w:rsid w:val="007833E6"/>
    <w:rsid w:val="007D1938"/>
    <w:rsid w:val="007D629B"/>
    <w:rsid w:val="008702BA"/>
    <w:rsid w:val="00896685"/>
    <w:rsid w:val="008B47FB"/>
    <w:rsid w:val="00926D01"/>
    <w:rsid w:val="00954131"/>
    <w:rsid w:val="009626E6"/>
    <w:rsid w:val="009C5309"/>
    <w:rsid w:val="009D3F24"/>
    <w:rsid w:val="00A06832"/>
    <w:rsid w:val="00A37F48"/>
    <w:rsid w:val="00AB2A4E"/>
    <w:rsid w:val="00AD3DDC"/>
    <w:rsid w:val="00B1020A"/>
    <w:rsid w:val="00B87487"/>
    <w:rsid w:val="00BB6671"/>
    <w:rsid w:val="00BD40B1"/>
    <w:rsid w:val="00BE09F8"/>
    <w:rsid w:val="00BE182D"/>
    <w:rsid w:val="00C41034"/>
    <w:rsid w:val="00C45D5E"/>
    <w:rsid w:val="00C70BE5"/>
    <w:rsid w:val="00CD1722"/>
    <w:rsid w:val="00D049C6"/>
    <w:rsid w:val="00DB74BE"/>
    <w:rsid w:val="00E37584"/>
    <w:rsid w:val="00E52EE0"/>
    <w:rsid w:val="00E77FBA"/>
    <w:rsid w:val="00E878D4"/>
    <w:rsid w:val="00ED1B40"/>
    <w:rsid w:val="00F07BBB"/>
    <w:rsid w:val="00F20F0A"/>
    <w:rsid w:val="00F869E4"/>
    <w:rsid w:val="00FA18E9"/>
    <w:rsid w:val="00FE0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9026"/>
  <w15:docId w15:val="{FE05B40C-7C4B-4514-8C01-0A239BE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C45D5E"/>
    <w:rPr>
      <w:color w:val="0563C1" w:themeColor="hyperlink"/>
      <w:u w:val="single"/>
    </w:rPr>
  </w:style>
  <w:style w:type="character" w:styleId="Hipervnculovisitado">
    <w:name w:val="FollowedHyperlink"/>
    <w:basedOn w:val="Fuentedeprrafopredeter"/>
    <w:uiPriority w:val="99"/>
    <w:semiHidden/>
    <w:unhideWhenUsed/>
    <w:rsid w:val="00C45D5E"/>
    <w:rPr>
      <w:color w:val="954F72" w:themeColor="followedHyperlink"/>
      <w:u w:val="single"/>
    </w:rPr>
  </w:style>
  <w:style w:type="paragraph" w:styleId="Prrafodelista">
    <w:name w:val="List Paragraph"/>
    <w:basedOn w:val="Normal"/>
    <w:uiPriority w:val="34"/>
    <w:qFormat/>
    <w:rsid w:val="00896685"/>
    <w:pPr>
      <w:ind w:left="720"/>
      <w:contextualSpacing/>
    </w:pPr>
  </w:style>
  <w:style w:type="paragraph" w:styleId="Piedepgina">
    <w:name w:val="footer"/>
    <w:basedOn w:val="Normal"/>
    <w:link w:val="PiedepginaCar"/>
    <w:uiPriority w:val="99"/>
    <w:unhideWhenUsed/>
    <w:rsid w:val="00501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DEE"/>
    <w:rPr>
      <w:rFonts w:ascii="Calibri" w:eastAsia="Calibri" w:hAnsi="Calibri" w:cs="Calibri"/>
      <w:color w:val="000000"/>
    </w:rPr>
  </w:style>
  <w:style w:type="character" w:styleId="Mencinsinresolver">
    <w:name w:val="Unresolved Mention"/>
    <w:basedOn w:val="Fuentedeprrafopredeter"/>
    <w:uiPriority w:val="99"/>
    <w:semiHidden/>
    <w:unhideWhenUsed/>
    <w:rsid w:val="00BE09F8"/>
    <w:rPr>
      <w:color w:val="605E5C"/>
      <w:shd w:val="clear" w:color="auto" w:fill="E1DFDD"/>
    </w:rPr>
  </w:style>
  <w:style w:type="paragraph" w:customStyle="1" w:styleId="Default">
    <w:name w:val="Default"/>
    <w:rsid w:val="004004C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58059">
      <w:bodyDiv w:val="1"/>
      <w:marLeft w:val="0"/>
      <w:marRight w:val="0"/>
      <w:marTop w:val="0"/>
      <w:marBottom w:val="0"/>
      <w:divBdr>
        <w:top w:val="none" w:sz="0" w:space="0" w:color="auto"/>
        <w:left w:val="none" w:sz="0" w:space="0" w:color="auto"/>
        <w:bottom w:val="none" w:sz="0" w:space="0" w:color="auto"/>
        <w:right w:val="none" w:sz="0" w:space="0" w:color="auto"/>
      </w:divBdr>
    </w:div>
    <w:div w:id="825247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ovmsilap.scjn.pjf.gob.mx/Buscador/Paginas/AbrirDocArticulo.aspx?q=u+uol4XmeVVQSBV20oBZU9sPb8YD/RP2qQeA2xD8V/gRixjWIVG04AAtbCVg6ofC9tv+PVyG8ztkYq/5PuAMp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bovmsilap.scjn.pjf.gob.mx/Buscador/Paginas/AbrirDocArticulo.aspx?q=f1G76H8Whi01YsK4VdoyO4Dlc3XCrmpJegBIMWCPl+Flh1/kH1FLzkYHw4Y2IdZz0dQB9z4qTG1U3701ANAqWw=="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rtalanterior.ieepcnl.mx/legislacion/documentos/reglamentos/2021/Reglamento%20de%20Liquidaci%C3%B3n%20a%20Partidos%20Pol%C3%ADticos%20Locales.pdf" TargetMode="External"/><Relationship Id="rId4" Type="http://schemas.openxmlformats.org/officeDocument/2006/relationships/webSettings" Target="webSettings.xml"/><Relationship Id="rId9" Type="http://schemas.openxmlformats.org/officeDocument/2006/relationships/hyperlink" Target="https://www.ceenl.mx/legislacion/documentos/reglamentos/2019/REGLAMENTO%20PARA%20LA%20FISCALIZACION%20DE%20LOS%20RECURSOS%20DE%20LAS%20ASOCIACIONES%20POLITICAS%20ESTATALE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13</Pages>
  <Words>4416</Words>
  <Characters>24290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Isay Martínez Flores</dc:creator>
  <cp:keywords/>
  <cp:lastModifiedBy>Herman Hernández Sánchez</cp:lastModifiedBy>
  <cp:revision>440</cp:revision>
  <dcterms:created xsi:type="dcterms:W3CDTF">2018-08-09T17:31:00Z</dcterms:created>
  <dcterms:modified xsi:type="dcterms:W3CDTF">2023-06-13T20:16:00Z</dcterms:modified>
</cp:coreProperties>
</file>