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8C10B" w14:textId="77777777" w:rsidR="0016189A" w:rsidRDefault="0016189A">
      <w:pPr>
        <w:pStyle w:val="Textoindependiente"/>
        <w:rPr>
          <w:rFonts w:ascii="Times New Roman"/>
          <w:b w:val="0"/>
          <w:i w:val="0"/>
          <w:sz w:val="20"/>
        </w:rPr>
      </w:pPr>
    </w:p>
    <w:tbl>
      <w:tblPr>
        <w:tblStyle w:val="TableNormal"/>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270"/>
        <w:gridCol w:w="2405"/>
        <w:gridCol w:w="3834"/>
        <w:gridCol w:w="9501"/>
      </w:tblGrid>
      <w:tr w:rsidR="0016189A" w14:paraId="77ED1EE0" w14:textId="77777777">
        <w:trPr>
          <w:trHeight w:val="479"/>
        </w:trPr>
        <w:tc>
          <w:tcPr>
            <w:tcW w:w="1270" w:type="dxa"/>
            <w:shd w:val="clear" w:color="auto" w:fill="76923B"/>
          </w:tcPr>
          <w:p w14:paraId="081FCA9D" w14:textId="77777777" w:rsidR="0016189A" w:rsidRDefault="0016189A">
            <w:pPr>
              <w:pStyle w:val="TableParagraph"/>
              <w:ind w:left="0"/>
              <w:rPr>
                <w:rFonts w:ascii="Times New Roman"/>
                <w:sz w:val="18"/>
              </w:rPr>
            </w:pPr>
          </w:p>
        </w:tc>
        <w:tc>
          <w:tcPr>
            <w:tcW w:w="2405" w:type="dxa"/>
            <w:shd w:val="clear" w:color="auto" w:fill="76923B"/>
          </w:tcPr>
          <w:p w14:paraId="46AC8F79" w14:textId="77777777" w:rsidR="0016189A" w:rsidRDefault="00EC31E9">
            <w:pPr>
              <w:pStyle w:val="TableParagraph"/>
              <w:spacing w:before="110"/>
              <w:ind w:left="806" w:right="800"/>
              <w:jc w:val="center"/>
              <w:rPr>
                <w:b/>
                <w:sz w:val="20"/>
              </w:rPr>
            </w:pPr>
            <w:r>
              <w:rPr>
                <w:b/>
                <w:color w:val="FFFFFF"/>
                <w:sz w:val="20"/>
              </w:rPr>
              <w:t>ESTADO</w:t>
            </w:r>
          </w:p>
        </w:tc>
        <w:tc>
          <w:tcPr>
            <w:tcW w:w="3834" w:type="dxa"/>
            <w:shd w:val="clear" w:color="auto" w:fill="76923B"/>
          </w:tcPr>
          <w:p w14:paraId="6508F5C3" w14:textId="77777777" w:rsidR="0016189A" w:rsidRDefault="00EC31E9">
            <w:pPr>
              <w:pStyle w:val="TableParagraph"/>
              <w:spacing w:before="110"/>
              <w:ind w:left="1736" w:right="1731"/>
              <w:jc w:val="center"/>
              <w:rPr>
                <w:b/>
                <w:sz w:val="20"/>
              </w:rPr>
            </w:pPr>
            <w:r>
              <w:rPr>
                <w:b/>
                <w:color w:val="FFFFFF"/>
                <w:sz w:val="20"/>
              </w:rPr>
              <w:t>LEY</w:t>
            </w:r>
          </w:p>
        </w:tc>
        <w:tc>
          <w:tcPr>
            <w:tcW w:w="9501" w:type="dxa"/>
            <w:shd w:val="clear" w:color="auto" w:fill="76923B"/>
          </w:tcPr>
          <w:p w14:paraId="23C92DC2" w14:textId="77777777" w:rsidR="0016189A" w:rsidRDefault="00EC31E9" w:rsidP="00CB18C1">
            <w:pPr>
              <w:pStyle w:val="TableParagraph"/>
              <w:spacing w:before="110"/>
              <w:ind w:left="3365" w:right="3365"/>
              <w:jc w:val="both"/>
              <w:rPr>
                <w:b/>
                <w:sz w:val="20"/>
              </w:rPr>
            </w:pPr>
            <w:r>
              <w:rPr>
                <w:b/>
                <w:color w:val="FFFFFF"/>
                <w:sz w:val="20"/>
              </w:rPr>
              <w:t>ARTÍCULO (TRANSCRIPCIÓN)</w:t>
            </w:r>
          </w:p>
        </w:tc>
      </w:tr>
      <w:tr w:rsidR="00C6584A" w14:paraId="5F5025B4" w14:textId="77777777" w:rsidTr="00357ECA">
        <w:trPr>
          <w:trHeight w:val="5494"/>
        </w:trPr>
        <w:tc>
          <w:tcPr>
            <w:tcW w:w="1270" w:type="dxa"/>
            <w:shd w:val="clear" w:color="auto" w:fill="FFFFFF" w:themeFill="background1"/>
          </w:tcPr>
          <w:p w14:paraId="5EC66871" w14:textId="77777777" w:rsidR="00C6584A" w:rsidRPr="00357ECA" w:rsidRDefault="00C6584A">
            <w:pPr>
              <w:pStyle w:val="TableParagraph"/>
              <w:spacing w:before="111"/>
              <w:ind w:left="468"/>
              <w:rPr>
                <w:b/>
                <w:sz w:val="20"/>
              </w:rPr>
            </w:pPr>
            <w:r w:rsidRPr="00357ECA">
              <w:rPr>
                <w:b/>
                <w:sz w:val="20"/>
              </w:rPr>
              <w:t>1.</w:t>
            </w:r>
          </w:p>
        </w:tc>
        <w:tc>
          <w:tcPr>
            <w:tcW w:w="2405" w:type="dxa"/>
            <w:shd w:val="clear" w:color="auto" w:fill="FFFFFF" w:themeFill="background1"/>
          </w:tcPr>
          <w:p w14:paraId="7CA194A2" w14:textId="77777777" w:rsidR="00C6584A" w:rsidRPr="00357ECA" w:rsidRDefault="00C6584A">
            <w:pPr>
              <w:pStyle w:val="TableParagraph"/>
              <w:spacing w:before="111"/>
              <w:ind w:left="357"/>
              <w:rPr>
                <w:b/>
                <w:sz w:val="20"/>
              </w:rPr>
            </w:pPr>
            <w:r w:rsidRPr="00357ECA">
              <w:rPr>
                <w:b/>
                <w:sz w:val="20"/>
              </w:rPr>
              <w:t>AGUASCALIENTES</w:t>
            </w:r>
          </w:p>
        </w:tc>
        <w:tc>
          <w:tcPr>
            <w:tcW w:w="3834" w:type="dxa"/>
            <w:shd w:val="clear" w:color="auto" w:fill="FFFFFF" w:themeFill="background1"/>
          </w:tcPr>
          <w:p w14:paraId="5DD00608" w14:textId="77777777" w:rsidR="008F6D8D" w:rsidRPr="00357ECA" w:rsidRDefault="00520E3B">
            <w:pPr>
              <w:pStyle w:val="TableParagraph"/>
              <w:spacing w:before="115" w:line="235" w:lineRule="auto"/>
              <w:ind w:left="107" w:right="100"/>
              <w:rPr>
                <w:b/>
                <w:sz w:val="20"/>
              </w:rPr>
            </w:pPr>
            <w:hyperlink r:id="rId7" w:history="1">
              <w:r w:rsidR="008F6D8D" w:rsidRPr="00357ECA">
                <w:rPr>
                  <w:rStyle w:val="Hipervnculo"/>
                  <w:b/>
                  <w:sz w:val="20"/>
                </w:rPr>
                <w:t>Constitución Política del Estado de Aguascalientes</w:t>
              </w:r>
            </w:hyperlink>
          </w:p>
        </w:tc>
        <w:tc>
          <w:tcPr>
            <w:tcW w:w="9501" w:type="dxa"/>
            <w:shd w:val="clear" w:color="auto" w:fill="FFFFFF" w:themeFill="background1"/>
          </w:tcPr>
          <w:p w14:paraId="1084526D" w14:textId="77777777" w:rsidR="00C6584A" w:rsidRPr="00357ECA" w:rsidRDefault="00781810" w:rsidP="00CB18C1">
            <w:pPr>
              <w:pStyle w:val="TableParagraph"/>
              <w:spacing w:before="3"/>
              <w:ind w:right="7804"/>
              <w:jc w:val="both"/>
              <w:rPr>
                <w:sz w:val="20"/>
              </w:rPr>
            </w:pPr>
            <w:r w:rsidRPr="00357ECA">
              <w:rPr>
                <w:b/>
                <w:sz w:val="20"/>
              </w:rPr>
              <w:t xml:space="preserve">Artículo </w:t>
            </w:r>
            <w:r w:rsidR="00C6584A" w:rsidRPr="00357ECA">
              <w:rPr>
                <w:b/>
                <w:sz w:val="20"/>
              </w:rPr>
              <w:t xml:space="preserve">17.- </w:t>
            </w:r>
            <w:r w:rsidR="00C6584A" w:rsidRPr="00357ECA">
              <w:rPr>
                <w:sz w:val="20"/>
              </w:rPr>
              <w:t>[…] […]</w:t>
            </w:r>
          </w:p>
          <w:p w14:paraId="3F5ADA31" w14:textId="77777777" w:rsidR="00C6584A" w:rsidRPr="00357ECA" w:rsidRDefault="00C6584A" w:rsidP="00CB18C1">
            <w:pPr>
              <w:pStyle w:val="TableParagraph"/>
              <w:spacing w:before="71"/>
              <w:jc w:val="both"/>
              <w:rPr>
                <w:sz w:val="20"/>
              </w:rPr>
            </w:pPr>
            <w:r w:rsidRPr="00357ECA">
              <w:rPr>
                <w:sz w:val="20"/>
              </w:rPr>
              <w:t>B. El Sistema Estatal Electoral se regirá por los principios rectores de certeza, imparcialidad, independencia, legalidad, máxima publicidad, definitividad y objetividad.</w:t>
            </w:r>
          </w:p>
          <w:p w14:paraId="1B71654A" w14:textId="77777777" w:rsidR="00C6584A" w:rsidRPr="00357ECA" w:rsidRDefault="00C6584A" w:rsidP="00CB18C1">
            <w:pPr>
              <w:pStyle w:val="TableParagraph"/>
              <w:spacing w:before="122"/>
              <w:ind w:right="101"/>
              <w:jc w:val="both"/>
              <w:rPr>
                <w:sz w:val="20"/>
              </w:rPr>
            </w:pPr>
            <w:r w:rsidRPr="00357ECA">
              <w:rPr>
                <w:sz w:val="20"/>
              </w:rPr>
              <w:t>La organización de las elecciones en el Estado, así como del fomento del modelo de vida democrático, de participación y representación es una función pública que se ejerce a través de un organismo público local electoral denominado Instituto Estatal Electoral.</w:t>
            </w:r>
          </w:p>
          <w:p w14:paraId="68479967" w14:textId="77777777" w:rsidR="00C6584A" w:rsidRPr="00357ECA" w:rsidRDefault="00C6584A" w:rsidP="00CB18C1">
            <w:pPr>
              <w:pStyle w:val="TableParagraph"/>
              <w:spacing w:before="122"/>
              <w:ind w:right="100"/>
              <w:jc w:val="both"/>
              <w:rPr>
                <w:sz w:val="20"/>
              </w:rPr>
            </w:pPr>
            <w:r w:rsidRPr="00357ECA">
              <w:rPr>
                <w:sz w:val="20"/>
              </w:rPr>
              <w:t>El Instituto Estatal Electoral podrá asumir las atribuciones que en su caso le delegue el Instituto Nacional Electoral, así como celebrar convenios a fin de que éste se haga cargo de la organización de los procesos electorales locales y de otros aspectos previstos en la ley.</w:t>
            </w:r>
          </w:p>
          <w:p w14:paraId="1DD4F63D" w14:textId="77777777" w:rsidR="00C6584A" w:rsidRPr="00357ECA" w:rsidRDefault="00C6584A" w:rsidP="00CB18C1">
            <w:pPr>
              <w:pStyle w:val="TableParagraph"/>
              <w:spacing w:line="244" w:lineRule="exact"/>
              <w:jc w:val="both"/>
              <w:rPr>
                <w:sz w:val="20"/>
              </w:rPr>
            </w:pPr>
            <w:r w:rsidRPr="00357ECA">
              <w:rPr>
                <w:sz w:val="20"/>
              </w:rPr>
              <w:t>[…]</w:t>
            </w:r>
          </w:p>
          <w:p w14:paraId="0DF73244" w14:textId="77777777" w:rsidR="00C6584A" w:rsidRPr="00357ECA" w:rsidRDefault="00C6584A" w:rsidP="00CB18C1">
            <w:pPr>
              <w:pStyle w:val="TableParagraph"/>
              <w:spacing w:before="123"/>
              <w:ind w:right="100"/>
              <w:jc w:val="both"/>
              <w:rPr>
                <w:sz w:val="20"/>
              </w:rPr>
            </w:pPr>
            <w:r w:rsidRPr="00357ECA">
              <w:rPr>
                <w:sz w:val="20"/>
              </w:rPr>
              <w:t>La Ley de la materia determinará la organización del Instituto Estatal Electoral, sus facultades y estructura</w:t>
            </w:r>
            <w:r w:rsidRPr="00357ECA">
              <w:rPr>
                <w:spacing w:val="-11"/>
                <w:sz w:val="20"/>
              </w:rPr>
              <w:t xml:space="preserve"> </w:t>
            </w:r>
            <w:r w:rsidRPr="00357ECA">
              <w:rPr>
                <w:sz w:val="20"/>
              </w:rPr>
              <w:t>orgánica,</w:t>
            </w:r>
            <w:r w:rsidRPr="00357ECA">
              <w:rPr>
                <w:spacing w:val="-13"/>
                <w:sz w:val="20"/>
              </w:rPr>
              <w:t xml:space="preserve"> </w:t>
            </w:r>
            <w:r w:rsidRPr="00357ECA">
              <w:rPr>
                <w:sz w:val="20"/>
              </w:rPr>
              <w:t>debiendo</w:t>
            </w:r>
            <w:r w:rsidRPr="00357ECA">
              <w:rPr>
                <w:spacing w:val="-11"/>
                <w:sz w:val="20"/>
              </w:rPr>
              <w:t xml:space="preserve"> </w:t>
            </w:r>
            <w:r w:rsidRPr="00357ECA">
              <w:rPr>
                <w:sz w:val="20"/>
              </w:rPr>
              <w:t>contar</w:t>
            </w:r>
            <w:r w:rsidRPr="00357ECA">
              <w:rPr>
                <w:spacing w:val="-11"/>
                <w:sz w:val="20"/>
              </w:rPr>
              <w:t xml:space="preserve"> </w:t>
            </w:r>
            <w:r w:rsidRPr="00357ECA">
              <w:rPr>
                <w:sz w:val="20"/>
              </w:rPr>
              <w:t>con</w:t>
            </w:r>
            <w:r w:rsidRPr="00357ECA">
              <w:rPr>
                <w:spacing w:val="-11"/>
                <w:sz w:val="20"/>
              </w:rPr>
              <w:t xml:space="preserve"> </w:t>
            </w:r>
            <w:r w:rsidRPr="00357ECA">
              <w:rPr>
                <w:sz w:val="20"/>
              </w:rPr>
              <w:t>un</w:t>
            </w:r>
            <w:r w:rsidRPr="00357ECA">
              <w:rPr>
                <w:spacing w:val="-10"/>
                <w:sz w:val="20"/>
              </w:rPr>
              <w:t xml:space="preserve"> </w:t>
            </w:r>
            <w:r w:rsidRPr="00357ECA">
              <w:rPr>
                <w:sz w:val="20"/>
              </w:rPr>
              <w:t>órgano</w:t>
            </w:r>
            <w:r w:rsidRPr="00357ECA">
              <w:rPr>
                <w:spacing w:val="-12"/>
                <w:sz w:val="20"/>
              </w:rPr>
              <w:t xml:space="preserve"> </w:t>
            </w:r>
            <w:r w:rsidRPr="00357ECA">
              <w:rPr>
                <w:sz w:val="20"/>
              </w:rPr>
              <w:t>auxiliar</w:t>
            </w:r>
            <w:r w:rsidRPr="00357ECA">
              <w:rPr>
                <w:spacing w:val="-11"/>
                <w:sz w:val="20"/>
              </w:rPr>
              <w:t xml:space="preserve"> </w:t>
            </w:r>
            <w:r w:rsidRPr="00357ECA">
              <w:rPr>
                <w:sz w:val="20"/>
              </w:rPr>
              <w:t>para</w:t>
            </w:r>
            <w:r w:rsidRPr="00357ECA">
              <w:rPr>
                <w:spacing w:val="-11"/>
                <w:sz w:val="20"/>
              </w:rPr>
              <w:t xml:space="preserve"> </w:t>
            </w:r>
            <w:r w:rsidRPr="00357ECA">
              <w:rPr>
                <w:sz w:val="20"/>
              </w:rPr>
              <w:t>la</w:t>
            </w:r>
            <w:r w:rsidRPr="00357ECA">
              <w:rPr>
                <w:spacing w:val="-10"/>
                <w:sz w:val="20"/>
              </w:rPr>
              <w:t xml:space="preserve"> </w:t>
            </w:r>
            <w:r w:rsidRPr="00357ECA">
              <w:rPr>
                <w:sz w:val="20"/>
              </w:rPr>
              <w:t>fiscalización</w:t>
            </w:r>
            <w:r w:rsidRPr="00357ECA">
              <w:rPr>
                <w:spacing w:val="-10"/>
                <w:sz w:val="20"/>
              </w:rPr>
              <w:t xml:space="preserve"> </w:t>
            </w:r>
            <w:r w:rsidRPr="00357ECA">
              <w:rPr>
                <w:sz w:val="20"/>
              </w:rPr>
              <w:t>de</w:t>
            </w:r>
            <w:r w:rsidRPr="00357ECA">
              <w:rPr>
                <w:spacing w:val="-11"/>
                <w:sz w:val="20"/>
              </w:rPr>
              <w:t xml:space="preserve"> </w:t>
            </w:r>
            <w:r w:rsidRPr="00357ECA">
              <w:rPr>
                <w:sz w:val="20"/>
              </w:rPr>
              <w:t>los</w:t>
            </w:r>
            <w:r w:rsidRPr="00357ECA">
              <w:rPr>
                <w:spacing w:val="-11"/>
                <w:sz w:val="20"/>
              </w:rPr>
              <w:t xml:space="preserve"> </w:t>
            </w:r>
            <w:r w:rsidRPr="00357ECA">
              <w:rPr>
                <w:sz w:val="20"/>
              </w:rPr>
              <w:t>recursos y programas del citado Instituto, dotado con autonomía técnica y de gestión. El titular de este órgano auxiliar será electo por el Congreso del Estado mediante el voto de la mayoría de los diputados presentes. La fiscalización de los recursos de los Partidos Políticos podrá realizarse por dicho órgano en términos de lo previsto en la Constitución Política de los Estados Unidos Mexicanos, las leyes, acuerdos y convenios que, en su caso, celebre el Instituto Nacional Electoral con el Instituto Estatal</w:t>
            </w:r>
            <w:r w:rsidRPr="00357ECA">
              <w:rPr>
                <w:spacing w:val="-4"/>
                <w:sz w:val="20"/>
              </w:rPr>
              <w:t xml:space="preserve"> </w:t>
            </w:r>
            <w:r w:rsidRPr="00357ECA">
              <w:rPr>
                <w:sz w:val="20"/>
              </w:rPr>
              <w:t>Electoral.</w:t>
            </w:r>
          </w:p>
        </w:tc>
      </w:tr>
      <w:tr w:rsidR="0016189A" w14:paraId="3014F403" w14:textId="77777777">
        <w:trPr>
          <w:trHeight w:val="1473"/>
        </w:trPr>
        <w:tc>
          <w:tcPr>
            <w:tcW w:w="1270" w:type="dxa"/>
          </w:tcPr>
          <w:p w14:paraId="20C363C7" w14:textId="77777777" w:rsidR="0016189A" w:rsidRDefault="00EC31E9">
            <w:pPr>
              <w:pStyle w:val="TableParagraph"/>
              <w:spacing w:before="110"/>
              <w:ind w:left="468"/>
              <w:rPr>
                <w:b/>
                <w:sz w:val="20"/>
              </w:rPr>
            </w:pPr>
            <w:r>
              <w:rPr>
                <w:b/>
                <w:sz w:val="20"/>
              </w:rPr>
              <w:t>2.</w:t>
            </w:r>
          </w:p>
        </w:tc>
        <w:tc>
          <w:tcPr>
            <w:tcW w:w="2405" w:type="dxa"/>
          </w:tcPr>
          <w:p w14:paraId="02D786AA" w14:textId="77777777" w:rsidR="0016189A" w:rsidRDefault="00EC31E9">
            <w:pPr>
              <w:pStyle w:val="TableParagraph"/>
              <w:spacing w:before="110"/>
              <w:ind w:left="107"/>
              <w:rPr>
                <w:b/>
                <w:sz w:val="20"/>
              </w:rPr>
            </w:pPr>
            <w:r>
              <w:rPr>
                <w:b/>
                <w:sz w:val="20"/>
              </w:rPr>
              <w:t>AGUASCALIENTES</w:t>
            </w:r>
          </w:p>
        </w:tc>
        <w:tc>
          <w:tcPr>
            <w:tcW w:w="3834" w:type="dxa"/>
          </w:tcPr>
          <w:p w14:paraId="2155D22B" w14:textId="77777777" w:rsidR="0016189A" w:rsidRDefault="00520E3B">
            <w:pPr>
              <w:pStyle w:val="TableParagraph"/>
              <w:tabs>
                <w:tab w:val="left" w:pos="1040"/>
                <w:tab w:val="left" w:pos="2088"/>
                <w:tab w:val="left" w:pos="2608"/>
                <w:tab w:val="left" w:pos="3462"/>
              </w:tabs>
              <w:spacing w:before="114" w:line="235" w:lineRule="auto"/>
              <w:ind w:left="107" w:right="100"/>
              <w:rPr>
                <w:b/>
                <w:sz w:val="20"/>
              </w:rPr>
            </w:pPr>
            <w:hyperlink r:id="rId8" w:history="1">
              <w:r w:rsidR="00EC31E9" w:rsidRPr="008F6D8D">
                <w:rPr>
                  <w:rStyle w:val="Hipervnculo"/>
                  <w:b/>
                  <w:sz w:val="20"/>
                </w:rPr>
                <w:t>Código</w:t>
              </w:r>
              <w:r w:rsidR="00EC31E9" w:rsidRPr="008F6D8D">
                <w:rPr>
                  <w:rStyle w:val="Hipervnculo"/>
                  <w:b/>
                  <w:sz w:val="20"/>
                </w:rPr>
                <w:tab/>
                <w:t>Electoral</w:t>
              </w:r>
              <w:r w:rsidR="00EC31E9" w:rsidRPr="008F6D8D">
                <w:rPr>
                  <w:rStyle w:val="Hipervnculo"/>
                  <w:b/>
                  <w:sz w:val="20"/>
                </w:rPr>
                <w:tab/>
                <w:t>del</w:t>
              </w:r>
              <w:r w:rsidR="00EC31E9" w:rsidRPr="008F6D8D">
                <w:rPr>
                  <w:rStyle w:val="Hipervnculo"/>
                  <w:b/>
                  <w:sz w:val="20"/>
                </w:rPr>
                <w:tab/>
                <w:t>Estado</w:t>
              </w:r>
              <w:r w:rsidR="00EC31E9" w:rsidRPr="008F6D8D">
                <w:rPr>
                  <w:rStyle w:val="Hipervnculo"/>
                  <w:b/>
                  <w:sz w:val="20"/>
                </w:rPr>
                <w:tab/>
              </w:r>
              <w:r w:rsidR="00EC31E9" w:rsidRPr="008F6D8D">
                <w:rPr>
                  <w:rStyle w:val="Hipervnculo"/>
                  <w:b/>
                  <w:spacing w:val="-9"/>
                  <w:sz w:val="20"/>
                </w:rPr>
                <w:t xml:space="preserve">de </w:t>
              </w:r>
              <w:r w:rsidR="00EC31E9" w:rsidRPr="008F6D8D">
                <w:rPr>
                  <w:rStyle w:val="Hipervnculo"/>
                  <w:b/>
                  <w:sz w:val="20"/>
                </w:rPr>
                <w:t>Aguascalientes</w:t>
              </w:r>
            </w:hyperlink>
          </w:p>
        </w:tc>
        <w:tc>
          <w:tcPr>
            <w:tcW w:w="9501" w:type="dxa"/>
          </w:tcPr>
          <w:p w14:paraId="746C8E1E" w14:textId="77777777" w:rsidR="0016189A" w:rsidRDefault="00781810" w:rsidP="00CB18C1">
            <w:pPr>
              <w:pStyle w:val="TableParagraph"/>
              <w:spacing w:before="2"/>
              <w:jc w:val="both"/>
              <w:rPr>
                <w:sz w:val="20"/>
              </w:rPr>
            </w:pPr>
            <w:r>
              <w:rPr>
                <w:b/>
                <w:sz w:val="20"/>
              </w:rPr>
              <w:t xml:space="preserve">Artículo </w:t>
            </w:r>
            <w:r w:rsidR="00EC31E9">
              <w:rPr>
                <w:b/>
                <w:sz w:val="20"/>
              </w:rPr>
              <w:t xml:space="preserve">25.- </w:t>
            </w:r>
            <w:r w:rsidR="00EC31E9">
              <w:rPr>
                <w:sz w:val="20"/>
              </w:rPr>
              <w:t>Son obligaciones de los partidos políticos en el Estado, además de las establecidas en el artículo 25 de la LGPP, las siguientes:</w:t>
            </w:r>
          </w:p>
          <w:p w14:paraId="03950538" w14:textId="77777777" w:rsidR="0016189A" w:rsidRDefault="00EC31E9" w:rsidP="00CB18C1">
            <w:pPr>
              <w:pStyle w:val="TableParagraph"/>
              <w:spacing w:before="2"/>
              <w:jc w:val="both"/>
              <w:rPr>
                <w:sz w:val="20"/>
              </w:rPr>
            </w:pPr>
            <w:r>
              <w:rPr>
                <w:sz w:val="20"/>
              </w:rPr>
              <w:t>[…]</w:t>
            </w:r>
          </w:p>
          <w:p w14:paraId="06F5F39D" w14:textId="77777777" w:rsidR="0016189A" w:rsidRDefault="0016189A" w:rsidP="00CB18C1">
            <w:pPr>
              <w:pStyle w:val="TableParagraph"/>
              <w:spacing w:before="9"/>
              <w:ind w:left="0"/>
              <w:jc w:val="both"/>
              <w:rPr>
                <w:rFonts w:ascii="Times New Roman"/>
                <w:sz w:val="21"/>
              </w:rPr>
            </w:pPr>
          </w:p>
          <w:p w14:paraId="248F7F57" w14:textId="77777777" w:rsidR="0016189A" w:rsidRDefault="00EC31E9" w:rsidP="00CB18C1">
            <w:pPr>
              <w:pStyle w:val="TableParagraph"/>
              <w:spacing w:line="244" w:lineRule="exact"/>
              <w:jc w:val="both"/>
              <w:rPr>
                <w:sz w:val="20"/>
              </w:rPr>
            </w:pPr>
            <w:r>
              <w:rPr>
                <w:sz w:val="20"/>
              </w:rPr>
              <w:t>III.</w:t>
            </w:r>
            <w:r>
              <w:rPr>
                <w:spacing w:val="-6"/>
                <w:sz w:val="20"/>
              </w:rPr>
              <w:t xml:space="preserve"> </w:t>
            </w:r>
            <w:r>
              <w:rPr>
                <w:sz w:val="20"/>
              </w:rPr>
              <w:t>Cuando</w:t>
            </w:r>
            <w:r>
              <w:rPr>
                <w:spacing w:val="-3"/>
                <w:sz w:val="20"/>
              </w:rPr>
              <w:t xml:space="preserve"> </w:t>
            </w:r>
            <w:r>
              <w:rPr>
                <w:sz w:val="20"/>
              </w:rPr>
              <w:t>se</w:t>
            </w:r>
            <w:r>
              <w:rPr>
                <w:spacing w:val="-2"/>
                <w:sz w:val="20"/>
              </w:rPr>
              <w:t xml:space="preserve"> </w:t>
            </w:r>
            <w:r>
              <w:rPr>
                <w:sz w:val="20"/>
              </w:rPr>
              <w:t>deleguen por</w:t>
            </w:r>
            <w:r>
              <w:rPr>
                <w:spacing w:val="-4"/>
                <w:sz w:val="20"/>
              </w:rPr>
              <w:t xml:space="preserve"> </w:t>
            </w:r>
            <w:r>
              <w:rPr>
                <w:sz w:val="20"/>
              </w:rPr>
              <w:t>el</w:t>
            </w:r>
            <w:r>
              <w:rPr>
                <w:spacing w:val="-2"/>
                <w:sz w:val="20"/>
              </w:rPr>
              <w:t xml:space="preserve"> </w:t>
            </w:r>
            <w:r>
              <w:rPr>
                <w:sz w:val="20"/>
              </w:rPr>
              <w:t>INE</w:t>
            </w:r>
            <w:r>
              <w:rPr>
                <w:spacing w:val="-2"/>
                <w:sz w:val="20"/>
              </w:rPr>
              <w:t xml:space="preserve"> </w:t>
            </w:r>
            <w:r>
              <w:rPr>
                <w:sz w:val="20"/>
              </w:rPr>
              <w:t>las</w:t>
            </w:r>
            <w:r>
              <w:rPr>
                <w:spacing w:val="-4"/>
                <w:sz w:val="20"/>
              </w:rPr>
              <w:t xml:space="preserve"> </w:t>
            </w:r>
            <w:r>
              <w:rPr>
                <w:sz w:val="20"/>
              </w:rPr>
              <w:t>facultades</w:t>
            </w:r>
            <w:r>
              <w:rPr>
                <w:spacing w:val="-1"/>
                <w:sz w:val="20"/>
              </w:rPr>
              <w:t xml:space="preserve"> </w:t>
            </w:r>
            <w:r>
              <w:rPr>
                <w:sz w:val="20"/>
              </w:rPr>
              <w:t>de</w:t>
            </w:r>
            <w:r>
              <w:rPr>
                <w:spacing w:val="-4"/>
                <w:sz w:val="20"/>
              </w:rPr>
              <w:t xml:space="preserve"> </w:t>
            </w:r>
            <w:r>
              <w:rPr>
                <w:sz w:val="20"/>
              </w:rPr>
              <w:t>fiscalización</w:t>
            </w:r>
            <w:r>
              <w:rPr>
                <w:spacing w:val="-2"/>
                <w:sz w:val="20"/>
              </w:rPr>
              <w:t xml:space="preserve"> </w:t>
            </w:r>
            <w:r>
              <w:rPr>
                <w:sz w:val="20"/>
              </w:rPr>
              <w:t>previstas</w:t>
            </w:r>
            <w:r>
              <w:rPr>
                <w:spacing w:val="-4"/>
                <w:sz w:val="20"/>
              </w:rPr>
              <w:t xml:space="preserve"> </w:t>
            </w:r>
            <w:r>
              <w:rPr>
                <w:sz w:val="20"/>
              </w:rPr>
              <w:t>en</w:t>
            </w:r>
            <w:r>
              <w:rPr>
                <w:spacing w:val="-3"/>
                <w:sz w:val="20"/>
              </w:rPr>
              <w:t xml:space="preserve"> </w:t>
            </w:r>
            <w:r>
              <w:rPr>
                <w:spacing w:val="3"/>
                <w:sz w:val="20"/>
              </w:rPr>
              <w:t>el</w:t>
            </w:r>
            <w:r>
              <w:rPr>
                <w:spacing w:val="-2"/>
                <w:sz w:val="20"/>
              </w:rPr>
              <w:t xml:space="preserve"> </w:t>
            </w:r>
            <w:r>
              <w:rPr>
                <w:sz w:val="20"/>
              </w:rPr>
              <w:t>artículo</w:t>
            </w:r>
            <w:r>
              <w:rPr>
                <w:spacing w:val="-4"/>
                <w:sz w:val="20"/>
              </w:rPr>
              <w:t xml:space="preserve"> </w:t>
            </w:r>
            <w:r>
              <w:rPr>
                <w:sz w:val="20"/>
              </w:rPr>
              <w:t>41</w:t>
            </w:r>
            <w:r>
              <w:rPr>
                <w:spacing w:val="-3"/>
                <w:sz w:val="20"/>
              </w:rPr>
              <w:t xml:space="preserve"> </w:t>
            </w:r>
            <w:r>
              <w:rPr>
                <w:sz w:val="20"/>
              </w:rPr>
              <w:t>de</w:t>
            </w:r>
            <w:r>
              <w:rPr>
                <w:spacing w:val="-3"/>
                <w:sz w:val="20"/>
              </w:rPr>
              <w:t xml:space="preserve"> </w:t>
            </w:r>
            <w:r>
              <w:rPr>
                <w:sz w:val="20"/>
              </w:rPr>
              <w:t>la CPEUM</w:t>
            </w:r>
            <w:r>
              <w:rPr>
                <w:spacing w:val="-14"/>
                <w:sz w:val="20"/>
              </w:rPr>
              <w:t xml:space="preserve"> </w:t>
            </w:r>
            <w:r>
              <w:rPr>
                <w:sz w:val="20"/>
              </w:rPr>
              <w:t>y</w:t>
            </w:r>
            <w:r>
              <w:rPr>
                <w:spacing w:val="-16"/>
                <w:sz w:val="20"/>
              </w:rPr>
              <w:t xml:space="preserve"> </w:t>
            </w:r>
            <w:r>
              <w:rPr>
                <w:sz w:val="20"/>
              </w:rPr>
              <w:t>en</w:t>
            </w:r>
            <w:r>
              <w:rPr>
                <w:spacing w:val="-16"/>
                <w:sz w:val="20"/>
              </w:rPr>
              <w:t xml:space="preserve"> </w:t>
            </w:r>
            <w:r>
              <w:rPr>
                <w:sz w:val="20"/>
              </w:rPr>
              <w:t>la</w:t>
            </w:r>
            <w:r>
              <w:rPr>
                <w:spacing w:val="-16"/>
                <w:sz w:val="20"/>
              </w:rPr>
              <w:t xml:space="preserve"> </w:t>
            </w:r>
            <w:r>
              <w:rPr>
                <w:sz w:val="20"/>
              </w:rPr>
              <w:t>LGPP,</w:t>
            </w:r>
            <w:r>
              <w:rPr>
                <w:spacing w:val="-19"/>
                <w:sz w:val="20"/>
              </w:rPr>
              <w:t xml:space="preserve"> </w:t>
            </w:r>
            <w:r>
              <w:rPr>
                <w:sz w:val="20"/>
              </w:rPr>
              <w:t>permitir</w:t>
            </w:r>
            <w:r>
              <w:rPr>
                <w:spacing w:val="-17"/>
                <w:sz w:val="20"/>
              </w:rPr>
              <w:t xml:space="preserve"> </w:t>
            </w:r>
            <w:r>
              <w:rPr>
                <w:sz w:val="20"/>
              </w:rPr>
              <w:t>la</w:t>
            </w:r>
            <w:r>
              <w:rPr>
                <w:spacing w:val="-16"/>
                <w:sz w:val="20"/>
              </w:rPr>
              <w:t xml:space="preserve"> </w:t>
            </w:r>
            <w:r>
              <w:rPr>
                <w:sz w:val="20"/>
              </w:rPr>
              <w:t>práctica</w:t>
            </w:r>
            <w:r>
              <w:rPr>
                <w:spacing w:val="-16"/>
                <w:sz w:val="20"/>
              </w:rPr>
              <w:t xml:space="preserve"> </w:t>
            </w:r>
            <w:r>
              <w:rPr>
                <w:sz w:val="20"/>
              </w:rPr>
              <w:t>de</w:t>
            </w:r>
            <w:r>
              <w:rPr>
                <w:spacing w:val="-17"/>
                <w:sz w:val="20"/>
              </w:rPr>
              <w:t xml:space="preserve"> </w:t>
            </w:r>
            <w:r>
              <w:rPr>
                <w:sz w:val="20"/>
              </w:rPr>
              <w:t>auditorías</w:t>
            </w:r>
            <w:r>
              <w:rPr>
                <w:spacing w:val="-15"/>
                <w:sz w:val="20"/>
              </w:rPr>
              <w:t xml:space="preserve"> </w:t>
            </w:r>
            <w:r>
              <w:rPr>
                <w:sz w:val="20"/>
              </w:rPr>
              <w:t>y</w:t>
            </w:r>
            <w:r>
              <w:rPr>
                <w:spacing w:val="-18"/>
                <w:sz w:val="20"/>
              </w:rPr>
              <w:t xml:space="preserve"> </w:t>
            </w:r>
            <w:r>
              <w:rPr>
                <w:sz w:val="20"/>
              </w:rPr>
              <w:t>verificaciones</w:t>
            </w:r>
            <w:r>
              <w:rPr>
                <w:spacing w:val="-17"/>
                <w:sz w:val="20"/>
              </w:rPr>
              <w:t xml:space="preserve"> </w:t>
            </w:r>
            <w:r>
              <w:rPr>
                <w:sz w:val="20"/>
              </w:rPr>
              <w:t>por</w:t>
            </w:r>
            <w:r>
              <w:rPr>
                <w:spacing w:val="-15"/>
                <w:sz w:val="20"/>
              </w:rPr>
              <w:t xml:space="preserve"> </w:t>
            </w:r>
            <w:r>
              <w:rPr>
                <w:sz w:val="20"/>
              </w:rPr>
              <w:t>los</w:t>
            </w:r>
            <w:r>
              <w:rPr>
                <w:spacing w:val="-15"/>
                <w:sz w:val="20"/>
              </w:rPr>
              <w:t xml:space="preserve"> </w:t>
            </w:r>
            <w:r>
              <w:rPr>
                <w:sz w:val="20"/>
              </w:rPr>
              <w:t>órganos</w:t>
            </w:r>
            <w:r>
              <w:rPr>
                <w:spacing w:val="-18"/>
                <w:sz w:val="20"/>
              </w:rPr>
              <w:t xml:space="preserve"> </w:t>
            </w:r>
            <w:r>
              <w:rPr>
                <w:sz w:val="20"/>
              </w:rPr>
              <w:t>del</w:t>
            </w:r>
            <w:r>
              <w:rPr>
                <w:spacing w:val="-13"/>
                <w:sz w:val="20"/>
              </w:rPr>
              <w:t xml:space="preserve"> </w:t>
            </w:r>
            <w:r>
              <w:rPr>
                <w:sz w:val="20"/>
              </w:rPr>
              <w:t>Instituto</w:t>
            </w:r>
          </w:p>
        </w:tc>
      </w:tr>
    </w:tbl>
    <w:p w14:paraId="2EE1F4E7" w14:textId="77777777" w:rsidR="0016189A" w:rsidRDefault="0016189A">
      <w:pPr>
        <w:spacing w:line="244" w:lineRule="exact"/>
        <w:rPr>
          <w:sz w:val="20"/>
        </w:rPr>
        <w:sectPr w:rsidR="0016189A">
          <w:headerReference w:type="even" r:id="rId9"/>
          <w:headerReference w:type="default" r:id="rId10"/>
          <w:footerReference w:type="even" r:id="rId11"/>
          <w:footerReference w:type="default" r:id="rId12"/>
          <w:headerReference w:type="first" r:id="rId13"/>
          <w:footerReference w:type="first" r:id="rId14"/>
          <w:type w:val="continuous"/>
          <w:pgSz w:w="20160" w:h="12240" w:orient="landscape"/>
          <w:pgMar w:top="1120" w:right="1460" w:bottom="280" w:left="1460" w:header="885" w:footer="720" w:gutter="0"/>
          <w:cols w:space="720"/>
        </w:sectPr>
      </w:pPr>
    </w:p>
    <w:p w14:paraId="2D7D0548" w14:textId="4D108292" w:rsidR="0016189A" w:rsidRDefault="0016189A">
      <w:pPr>
        <w:pStyle w:val="Textoindependiente"/>
        <w:rPr>
          <w:rFonts w:ascii="Times New Roman"/>
          <w:b w:val="0"/>
          <w:i w:val="0"/>
          <w:sz w:val="20"/>
        </w:rPr>
      </w:pPr>
    </w:p>
    <w:p w14:paraId="0B112FDB" w14:textId="77777777" w:rsidR="0016189A" w:rsidRDefault="0016189A">
      <w:pPr>
        <w:pStyle w:val="Textoindependiente"/>
        <w:spacing w:before="10"/>
        <w:rPr>
          <w:rFonts w:ascii="Times New Roman"/>
          <w:b w:val="0"/>
          <w:i w:val="0"/>
          <w:sz w:val="27"/>
        </w:rPr>
      </w:pPr>
    </w:p>
    <w:tbl>
      <w:tblPr>
        <w:tblStyle w:val="TableNormal"/>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270"/>
        <w:gridCol w:w="2405"/>
        <w:gridCol w:w="3834"/>
        <w:gridCol w:w="9501"/>
      </w:tblGrid>
      <w:tr w:rsidR="0016189A" w14:paraId="4F20D135" w14:textId="77777777">
        <w:trPr>
          <w:trHeight w:val="479"/>
        </w:trPr>
        <w:tc>
          <w:tcPr>
            <w:tcW w:w="1270" w:type="dxa"/>
            <w:shd w:val="clear" w:color="auto" w:fill="76923B"/>
          </w:tcPr>
          <w:p w14:paraId="2D65AD64" w14:textId="77777777" w:rsidR="0016189A" w:rsidRDefault="0016189A">
            <w:pPr>
              <w:pStyle w:val="TableParagraph"/>
              <w:ind w:left="0"/>
              <w:rPr>
                <w:rFonts w:ascii="Times New Roman"/>
                <w:sz w:val="18"/>
              </w:rPr>
            </w:pPr>
          </w:p>
        </w:tc>
        <w:tc>
          <w:tcPr>
            <w:tcW w:w="2405" w:type="dxa"/>
            <w:shd w:val="clear" w:color="auto" w:fill="76923B"/>
          </w:tcPr>
          <w:p w14:paraId="30B99E16" w14:textId="77777777" w:rsidR="0016189A" w:rsidRDefault="00EC31E9">
            <w:pPr>
              <w:pStyle w:val="TableParagraph"/>
              <w:spacing w:before="110"/>
              <w:ind w:left="806" w:right="800"/>
              <w:jc w:val="center"/>
              <w:rPr>
                <w:b/>
                <w:sz w:val="20"/>
              </w:rPr>
            </w:pPr>
            <w:r>
              <w:rPr>
                <w:b/>
                <w:color w:val="FFFFFF"/>
                <w:sz w:val="20"/>
              </w:rPr>
              <w:t>ESTADO</w:t>
            </w:r>
          </w:p>
        </w:tc>
        <w:tc>
          <w:tcPr>
            <w:tcW w:w="3834" w:type="dxa"/>
            <w:shd w:val="clear" w:color="auto" w:fill="76923B"/>
          </w:tcPr>
          <w:p w14:paraId="5BF273C7" w14:textId="77777777" w:rsidR="0016189A" w:rsidRDefault="00EC31E9">
            <w:pPr>
              <w:pStyle w:val="TableParagraph"/>
              <w:spacing w:before="110"/>
              <w:ind w:left="1736" w:right="1731"/>
              <w:jc w:val="center"/>
              <w:rPr>
                <w:b/>
                <w:sz w:val="20"/>
              </w:rPr>
            </w:pPr>
            <w:r>
              <w:rPr>
                <w:b/>
                <w:color w:val="FFFFFF"/>
                <w:sz w:val="20"/>
              </w:rPr>
              <w:t>LEY</w:t>
            </w:r>
          </w:p>
        </w:tc>
        <w:tc>
          <w:tcPr>
            <w:tcW w:w="9501" w:type="dxa"/>
            <w:shd w:val="clear" w:color="auto" w:fill="76923B"/>
          </w:tcPr>
          <w:p w14:paraId="7F508590" w14:textId="77777777" w:rsidR="0016189A" w:rsidRDefault="00EC31E9" w:rsidP="00CB18C1">
            <w:pPr>
              <w:pStyle w:val="TableParagraph"/>
              <w:spacing w:before="110"/>
              <w:ind w:left="3365" w:right="3365"/>
              <w:jc w:val="both"/>
              <w:rPr>
                <w:b/>
                <w:sz w:val="20"/>
              </w:rPr>
            </w:pPr>
            <w:r>
              <w:rPr>
                <w:b/>
                <w:color w:val="FFFFFF"/>
                <w:sz w:val="20"/>
              </w:rPr>
              <w:t>ARTÍCULO (TRANSCRIPCIÓN)</w:t>
            </w:r>
          </w:p>
        </w:tc>
      </w:tr>
      <w:tr w:rsidR="00C6584A" w14:paraId="6FD4F152" w14:textId="77777777" w:rsidTr="00CB18C1">
        <w:trPr>
          <w:trHeight w:val="6313"/>
        </w:trPr>
        <w:tc>
          <w:tcPr>
            <w:tcW w:w="1270" w:type="dxa"/>
          </w:tcPr>
          <w:p w14:paraId="3906CDAC" w14:textId="77777777" w:rsidR="00C6584A" w:rsidRDefault="00C6584A">
            <w:pPr>
              <w:pStyle w:val="TableParagraph"/>
              <w:ind w:left="0"/>
              <w:rPr>
                <w:rFonts w:ascii="Times New Roman"/>
                <w:sz w:val="18"/>
              </w:rPr>
            </w:pPr>
          </w:p>
        </w:tc>
        <w:tc>
          <w:tcPr>
            <w:tcW w:w="2405" w:type="dxa"/>
          </w:tcPr>
          <w:p w14:paraId="550D1D25" w14:textId="77777777" w:rsidR="00C6584A" w:rsidRDefault="00C6584A">
            <w:pPr>
              <w:pStyle w:val="TableParagraph"/>
              <w:ind w:left="0"/>
              <w:rPr>
                <w:rFonts w:ascii="Times New Roman"/>
                <w:sz w:val="18"/>
              </w:rPr>
            </w:pPr>
          </w:p>
        </w:tc>
        <w:tc>
          <w:tcPr>
            <w:tcW w:w="3834" w:type="dxa"/>
          </w:tcPr>
          <w:p w14:paraId="7323F03A" w14:textId="77777777" w:rsidR="00C6584A" w:rsidRDefault="00C6584A">
            <w:pPr>
              <w:pStyle w:val="TableParagraph"/>
              <w:ind w:left="0"/>
              <w:rPr>
                <w:rFonts w:ascii="Times New Roman"/>
                <w:sz w:val="18"/>
              </w:rPr>
            </w:pPr>
          </w:p>
        </w:tc>
        <w:tc>
          <w:tcPr>
            <w:tcW w:w="9501" w:type="dxa"/>
          </w:tcPr>
          <w:p w14:paraId="44C3CE77" w14:textId="77777777" w:rsidR="00C6584A" w:rsidRDefault="00C6584A" w:rsidP="00CB18C1">
            <w:pPr>
              <w:pStyle w:val="TableParagraph"/>
              <w:spacing w:before="2" w:line="220" w:lineRule="exact"/>
              <w:jc w:val="both"/>
              <w:rPr>
                <w:sz w:val="20"/>
              </w:rPr>
            </w:pPr>
            <w:r>
              <w:rPr>
                <w:sz w:val="20"/>
              </w:rPr>
              <w:t>facultados para ello, así como entregar la documentación que dichos órganos les requieran</w:t>
            </w:r>
          </w:p>
          <w:p w14:paraId="26D48C90" w14:textId="77777777" w:rsidR="00C6584A" w:rsidRDefault="00C6584A" w:rsidP="00CB18C1">
            <w:pPr>
              <w:pStyle w:val="TableParagraph"/>
              <w:spacing w:line="215" w:lineRule="exact"/>
              <w:jc w:val="both"/>
              <w:rPr>
                <w:sz w:val="20"/>
              </w:rPr>
            </w:pPr>
            <w:r>
              <w:rPr>
                <w:sz w:val="20"/>
              </w:rPr>
              <w:t>respecto a sus ingresos y egresos;</w:t>
            </w:r>
          </w:p>
          <w:p w14:paraId="43214847" w14:textId="77777777" w:rsidR="00CB18C1" w:rsidRDefault="00C6584A" w:rsidP="00CB18C1">
            <w:pPr>
              <w:pStyle w:val="TableParagraph"/>
              <w:spacing w:line="240" w:lineRule="exact"/>
              <w:jc w:val="both"/>
              <w:rPr>
                <w:sz w:val="20"/>
              </w:rPr>
            </w:pPr>
            <w:r>
              <w:rPr>
                <w:sz w:val="20"/>
              </w:rPr>
              <w:t>[…]</w:t>
            </w:r>
          </w:p>
          <w:p w14:paraId="6EDEAF12" w14:textId="77777777" w:rsidR="00C6584A" w:rsidRDefault="00C6584A" w:rsidP="00CB18C1">
            <w:pPr>
              <w:pStyle w:val="TableParagraph"/>
              <w:spacing w:line="240" w:lineRule="exact"/>
              <w:jc w:val="both"/>
              <w:rPr>
                <w:sz w:val="20"/>
              </w:rPr>
            </w:pPr>
            <w:r>
              <w:rPr>
                <w:sz w:val="20"/>
              </w:rPr>
              <w:t>V. La pérdida de registro y acreditación de la calidad de partido político, no exime a sus</w:t>
            </w:r>
            <w:r w:rsidR="00CB18C1">
              <w:rPr>
                <w:sz w:val="20"/>
              </w:rPr>
              <w:t xml:space="preserve"> </w:t>
            </w:r>
            <w:r>
              <w:rPr>
                <w:sz w:val="20"/>
              </w:rPr>
              <w:t>dirigentes y responsables del órgano de administración, finanzas o su equivalente, de las</w:t>
            </w:r>
            <w:r w:rsidR="00CB18C1">
              <w:rPr>
                <w:sz w:val="20"/>
              </w:rPr>
              <w:t xml:space="preserve"> </w:t>
            </w:r>
            <w:r>
              <w:rPr>
                <w:sz w:val="20"/>
              </w:rPr>
              <w:t>obligaciones que se deriven del presente Código y de las responsabilidades relativas al uso de</w:t>
            </w:r>
            <w:r w:rsidR="00CB18C1">
              <w:rPr>
                <w:sz w:val="20"/>
              </w:rPr>
              <w:t xml:space="preserve"> </w:t>
            </w:r>
            <w:r>
              <w:rPr>
                <w:sz w:val="20"/>
              </w:rPr>
              <w:t>los recursos del financiamiento público otorgado al partido político;</w:t>
            </w:r>
          </w:p>
          <w:p w14:paraId="6FEF393A" w14:textId="77777777" w:rsidR="00C6584A" w:rsidRDefault="00C6584A" w:rsidP="00CB18C1">
            <w:pPr>
              <w:pStyle w:val="TableParagraph"/>
              <w:spacing w:before="118" w:line="220" w:lineRule="exact"/>
              <w:jc w:val="both"/>
              <w:rPr>
                <w:sz w:val="20"/>
              </w:rPr>
            </w:pPr>
            <w:r>
              <w:rPr>
                <w:sz w:val="20"/>
              </w:rPr>
              <w:t>VI. Presentar un informe anual al Consejo que contenga una relación de sus activos y recursos,</w:t>
            </w:r>
          </w:p>
          <w:p w14:paraId="4773514B" w14:textId="77777777" w:rsidR="00C6584A" w:rsidRDefault="00C6584A" w:rsidP="00CB18C1">
            <w:pPr>
              <w:pStyle w:val="TableParagraph"/>
              <w:spacing w:line="240" w:lineRule="exact"/>
              <w:jc w:val="both"/>
              <w:rPr>
                <w:sz w:val="20"/>
              </w:rPr>
            </w:pPr>
            <w:r>
              <w:rPr>
                <w:w w:val="99"/>
                <w:sz w:val="20"/>
              </w:rPr>
              <w:t>y</w:t>
            </w:r>
          </w:p>
          <w:p w14:paraId="2E028164" w14:textId="77777777" w:rsidR="00C6584A" w:rsidRDefault="00C6584A" w:rsidP="00CB18C1">
            <w:pPr>
              <w:pStyle w:val="TableParagraph"/>
              <w:spacing w:before="117" w:line="221" w:lineRule="exact"/>
              <w:jc w:val="both"/>
              <w:rPr>
                <w:sz w:val="20"/>
              </w:rPr>
            </w:pPr>
            <w:r>
              <w:rPr>
                <w:sz w:val="20"/>
              </w:rPr>
              <w:t>VII. Las demás que establezca este Código.</w:t>
            </w:r>
          </w:p>
          <w:p w14:paraId="312A9652" w14:textId="77777777" w:rsidR="00C6584A" w:rsidRDefault="00C6584A" w:rsidP="00CB18C1">
            <w:pPr>
              <w:pStyle w:val="TableParagraph"/>
              <w:spacing w:line="240" w:lineRule="exact"/>
              <w:jc w:val="both"/>
              <w:rPr>
                <w:sz w:val="20"/>
              </w:rPr>
            </w:pPr>
            <w:r>
              <w:rPr>
                <w:sz w:val="20"/>
              </w:rPr>
              <w:t>[…]</w:t>
            </w:r>
          </w:p>
          <w:p w14:paraId="49D59C15" w14:textId="77777777" w:rsidR="00C6584A" w:rsidRDefault="00302F31" w:rsidP="00CB18C1">
            <w:pPr>
              <w:pStyle w:val="TableParagraph"/>
              <w:spacing w:before="118" w:line="220" w:lineRule="exact"/>
              <w:jc w:val="both"/>
              <w:rPr>
                <w:sz w:val="20"/>
              </w:rPr>
            </w:pPr>
            <w:r>
              <w:rPr>
                <w:b/>
                <w:sz w:val="20"/>
              </w:rPr>
              <w:t xml:space="preserve">Artículo </w:t>
            </w:r>
            <w:r w:rsidR="00C6584A">
              <w:rPr>
                <w:b/>
                <w:sz w:val="20"/>
              </w:rPr>
              <w:t xml:space="preserve">35.- </w:t>
            </w:r>
            <w:r w:rsidR="00C6584A">
              <w:rPr>
                <w:sz w:val="20"/>
              </w:rPr>
              <w:t>[…]</w:t>
            </w:r>
          </w:p>
          <w:p w14:paraId="22D1B8BB" w14:textId="77777777" w:rsidR="00C6584A" w:rsidRDefault="00C6584A" w:rsidP="00CB18C1">
            <w:pPr>
              <w:pStyle w:val="TableParagraph"/>
              <w:spacing w:line="240" w:lineRule="exact"/>
              <w:jc w:val="both"/>
              <w:rPr>
                <w:sz w:val="20"/>
              </w:rPr>
            </w:pPr>
            <w:r>
              <w:rPr>
                <w:sz w:val="20"/>
              </w:rPr>
              <w:t>[…]</w:t>
            </w:r>
          </w:p>
          <w:p w14:paraId="62A8B560" w14:textId="77777777" w:rsidR="00C6584A" w:rsidRDefault="00C6584A" w:rsidP="00CB18C1">
            <w:pPr>
              <w:pStyle w:val="TableParagraph"/>
              <w:spacing w:before="117" w:line="220" w:lineRule="exact"/>
              <w:jc w:val="both"/>
              <w:rPr>
                <w:sz w:val="20"/>
              </w:rPr>
            </w:pPr>
            <w:r>
              <w:rPr>
                <w:sz w:val="20"/>
              </w:rPr>
              <w:t>Cuando la función de fiscalización sea delegada al Instituto, a través de la Contraloría Interna,</w:t>
            </w:r>
          </w:p>
          <w:p w14:paraId="7D42FCBD" w14:textId="77777777" w:rsidR="00C6584A" w:rsidRDefault="00C6584A" w:rsidP="00CB18C1">
            <w:pPr>
              <w:pStyle w:val="TableParagraph"/>
              <w:spacing w:line="216" w:lineRule="exact"/>
              <w:jc w:val="both"/>
              <w:rPr>
                <w:sz w:val="20"/>
              </w:rPr>
            </w:pPr>
            <w:r>
              <w:rPr>
                <w:sz w:val="20"/>
              </w:rPr>
              <w:t>vigilará que los recursos de los partidos políticos se destinen al financiamiento de las actividades</w:t>
            </w:r>
          </w:p>
          <w:p w14:paraId="0DE6C8D6" w14:textId="77777777" w:rsidR="00C6584A" w:rsidRDefault="00C6584A" w:rsidP="00CB18C1">
            <w:pPr>
              <w:pStyle w:val="TableParagraph"/>
              <w:spacing w:line="216" w:lineRule="exact"/>
              <w:jc w:val="both"/>
              <w:rPr>
                <w:sz w:val="20"/>
              </w:rPr>
            </w:pPr>
            <w:r>
              <w:rPr>
                <w:sz w:val="20"/>
              </w:rPr>
              <w:t>señaladas en el presente artículo, de existir violaciones dará cuenta al órgano técnico del INE,</w:t>
            </w:r>
          </w:p>
          <w:p w14:paraId="69B37C0D" w14:textId="77777777" w:rsidR="00C6584A" w:rsidRDefault="00C6584A" w:rsidP="00CB18C1">
            <w:pPr>
              <w:pStyle w:val="TableParagraph"/>
              <w:spacing w:line="215" w:lineRule="exact"/>
              <w:jc w:val="both"/>
              <w:rPr>
                <w:sz w:val="20"/>
              </w:rPr>
            </w:pPr>
            <w:r>
              <w:rPr>
                <w:sz w:val="20"/>
              </w:rPr>
              <w:t>para los efectos legales a que haya lugar.</w:t>
            </w:r>
          </w:p>
          <w:p w14:paraId="25AAF569" w14:textId="77777777" w:rsidR="00C6584A" w:rsidRDefault="00C6584A" w:rsidP="00CB18C1">
            <w:pPr>
              <w:pStyle w:val="TableParagraph"/>
              <w:spacing w:line="240" w:lineRule="exact"/>
              <w:jc w:val="both"/>
              <w:rPr>
                <w:sz w:val="20"/>
              </w:rPr>
            </w:pPr>
            <w:r>
              <w:rPr>
                <w:sz w:val="20"/>
              </w:rPr>
              <w:t>[…]</w:t>
            </w:r>
          </w:p>
          <w:p w14:paraId="2A958C32" w14:textId="77777777" w:rsidR="00C6584A" w:rsidRDefault="00302F31" w:rsidP="00CB18C1">
            <w:pPr>
              <w:pStyle w:val="TableParagraph"/>
              <w:spacing w:before="117" w:line="220" w:lineRule="exact"/>
              <w:jc w:val="both"/>
              <w:rPr>
                <w:sz w:val="20"/>
              </w:rPr>
            </w:pPr>
            <w:r>
              <w:rPr>
                <w:b/>
                <w:sz w:val="20"/>
              </w:rPr>
              <w:t xml:space="preserve">Artículo </w:t>
            </w:r>
            <w:r w:rsidR="00C6584A">
              <w:rPr>
                <w:b/>
                <w:sz w:val="20"/>
              </w:rPr>
              <w:t xml:space="preserve">45.- </w:t>
            </w:r>
            <w:r w:rsidR="00C6584A">
              <w:rPr>
                <w:sz w:val="20"/>
              </w:rPr>
              <w:t>El Instituto podrá fiscalizar los ingresos y egresos de los partidos políticos, sus</w:t>
            </w:r>
            <w:r w:rsidR="00CB18C1">
              <w:rPr>
                <w:sz w:val="20"/>
              </w:rPr>
              <w:t xml:space="preserve"> </w:t>
            </w:r>
            <w:r w:rsidR="00C6584A">
              <w:rPr>
                <w:sz w:val="20"/>
              </w:rPr>
              <w:t>coaliciones y de los candidatos a cargos de elección popular, cuando tal atribución le sea</w:t>
            </w:r>
            <w:r w:rsidR="00CB18C1">
              <w:rPr>
                <w:sz w:val="20"/>
              </w:rPr>
              <w:t xml:space="preserve"> </w:t>
            </w:r>
            <w:r w:rsidR="00C6584A">
              <w:rPr>
                <w:sz w:val="20"/>
              </w:rPr>
              <w:t>delegada por el INE.</w:t>
            </w:r>
          </w:p>
          <w:p w14:paraId="463025D7" w14:textId="77777777" w:rsidR="00C6584A" w:rsidRDefault="00C6584A" w:rsidP="00CB18C1">
            <w:pPr>
              <w:pStyle w:val="TableParagraph"/>
              <w:spacing w:before="117" w:line="220" w:lineRule="exact"/>
              <w:jc w:val="both"/>
              <w:rPr>
                <w:sz w:val="20"/>
              </w:rPr>
            </w:pPr>
            <w:r>
              <w:rPr>
                <w:sz w:val="20"/>
              </w:rPr>
              <w:t>El órgano auxiliar para la fiscalización previsto en el artículo 17, Apartado B, párrafo noveno de</w:t>
            </w:r>
          </w:p>
          <w:p w14:paraId="4028947A" w14:textId="77777777" w:rsidR="00C6584A" w:rsidRDefault="00C6584A" w:rsidP="00CB18C1">
            <w:pPr>
              <w:pStyle w:val="TableParagraph"/>
              <w:spacing w:line="240" w:lineRule="exact"/>
              <w:jc w:val="both"/>
              <w:rPr>
                <w:sz w:val="20"/>
              </w:rPr>
            </w:pPr>
            <w:r>
              <w:rPr>
                <w:sz w:val="20"/>
              </w:rPr>
              <w:t>la Constitución, se denominará Contraloría Interna.</w:t>
            </w:r>
          </w:p>
        </w:tc>
      </w:tr>
    </w:tbl>
    <w:p w14:paraId="573AD14C" w14:textId="77777777" w:rsidR="0016189A" w:rsidRDefault="0016189A">
      <w:pPr>
        <w:spacing w:line="240" w:lineRule="exact"/>
        <w:rPr>
          <w:sz w:val="20"/>
        </w:rPr>
        <w:sectPr w:rsidR="0016189A">
          <w:pgSz w:w="20160" w:h="12240" w:orient="landscape"/>
          <w:pgMar w:top="1120" w:right="1460" w:bottom="280" w:left="1460" w:header="885" w:footer="0" w:gutter="0"/>
          <w:cols w:space="720"/>
        </w:sectPr>
      </w:pPr>
    </w:p>
    <w:p w14:paraId="09899C65" w14:textId="77777777" w:rsidR="0016189A" w:rsidRDefault="0016189A">
      <w:pPr>
        <w:pStyle w:val="Textoindependiente"/>
        <w:spacing w:before="10"/>
        <w:rPr>
          <w:rFonts w:ascii="Times New Roman"/>
          <w:b w:val="0"/>
          <w:i w:val="0"/>
          <w:sz w:val="27"/>
        </w:rPr>
      </w:pPr>
    </w:p>
    <w:tbl>
      <w:tblPr>
        <w:tblStyle w:val="TableNormal"/>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270"/>
        <w:gridCol w:w="2405"/>
        <w:gridCol w:w="3834"/>
        <w:gridCol w:w="9501"/>
      </w:tblGrid>
      <w:tr w:rsidR="0016189A" w14:paraId="5208B423" w14:textId="77777777">
        <w:trPr>
          <w:trHeight w:val="479"/>
        </w:trPr>
        <w:tc>
          <w:tcPr>
            <w:tcW w:w="1270" w:type="dxa"/>
            <w:shd w:val="clear" w:color="auto" w:fill="76923B"/>
          </w:tcPr>
          <w:p w14:paraId="7F417E31" w14:textId="77777777" w:rsidR="0016189A" w:rsidRDefault="0016189A">
            <w:pPr>
              <w:pStyle w:val="TableParagraph"/>
              <w:ind w:left="0"/>
              <w:rPr>
                <w:rFonts w:ascii="Times New Roman"/>
                <w:sz w:val="18"/>
              </w:rPr>
            </w:pPr>
          </w:p>
        </w:tc>
        <w:tc>
          <w:tcPr>
            <w:tcW w:w="2405" w:type="dxa"/>
            <w:shd w:val="clear" w:color="auto" w:fill="76923B"/>
          </w:tcPr>
          <w:p w14:paraId="0E932427" w14:textId="77777777" w:rsidR="0016189A" w:rsidRDefault="00EC31E9">
            <w:pPr>
              <w:pStyle w:val="TableParagraph"/>
              <w:spacing w:before="110"/>
              <w:ind w:left="806" w:right="800"/>
              <w:jc w:val="center"/>
              <w:rPr>
                <w:b/>
                <w:sz w:val="20"/>
              </w:rPr>
            </w:pPr>
            <w:r>
              <w:rPr>
                <w:b/>
                <w:color w:val="FFFFFF"/>
                <w:sz w:val="20"/>
              </w:rPr>
              <w:t>ESTADO</w:t>
            </w:r>
          </w:p>
        </w:tc>
        <w:tc>
          <w:tcPr>
            <w:tcW w:w="3834" w:type="dxa"/>
            <w:shd w:val="clear" w:color="auto" w:fill="76923B"/>
          </w:tcPr>
          <w:p w14:paraId="3DDE9381" w14:textId="77777777" w:rsidR="0016189A" w:rsidRDefault="00EC31E9">
            <w:pPr>
              <w:pStyle w:val="TableParagraph"/>
              <w:spacing w:before="110"/>
              <w:ind w:left="1736" w:right="1731"/>
              <w:jc w:val="center"/>
              <w:rPr>
                <w:b/>
                <w:sz w:val="20"/>
              </w:rPr>
            </w:pPr>
            <w:r>
              <w:rPr>
                <w:b/>
                <w:color w:val="FFFFFF"/>
                <w:sz w:val="20"/>
              </w:rPr>
              <w:t>LEY</w:t>
            </w:r>
          </w:p>
        </w:tc>
        <w:tc>
          <w:tcPr>
            <w:tcW w:w="9501" w:type="dxa"/>
            <w:shd w:val="clear" w:color="auto" w:fill="76923B"/>
          </w:tcPr>
          <w:p w14:paraId="1ECDA391" w14:textId="77777777" w:rsidR="0016189A" w:rsidRDefault="00EC31E9">
            <w:pPr>
              <w:pStyle w:val="TableParagraph"/>
              <w:spacing w:before="110"/>
              <w:ind w:left="3365" w:right="3365"/>
              <w:jc w:val="center"/>
              <w:rPr>
                <w:b/>
                <w:sz w:val="20"/>
              </w:rPr>
            </w:pPr>
            <w:r>
              <w:rPr>
                <w:b/>
                <w:color w:val="FFFFFF"/>
                <w:sz w:val="20"/>
              </w:rPr>
              <w:t>ARTÍCULO (TRANSCRIPCIÓN)</w:t>
            </w:r>
          </w:p>
        </w:tc>
      </w:tr>
      <w:tr w:rsidR="0016189A" w14:paraId="006B27CD" w14:textId="77777777">
        <w:trPr>
          <w:trHeight w:val="7849"/>
        </w:trPr>
        <w:tc>
          <w:tcPr>
            <w:tcW w:w="1270" w:type="dxa"/>
          </w:tcPr>
          <w:p w14:paraId="32F380FA" w14:textId="77777777" w:rsidR="0016189A" w:rsidRDefault="0016189A">
            <w:pPr>
              <w:pStyle w:val="TableParagraph"/>
              <w:ind w:left="0"/>
              <w:rPr>
                <w:rFonts w:ascii="Times New Roman"/>
                <w:sz w:val="18"/>
              </w:rPr>
            </w:pPr>
          </w:p>
        </w:tc>
        <w:tc>
          <w:tcPr>
            <w:tcW w:w="2405" w:type="dxa"/>
          </w:tcPr>
          <w:p w14:paraId="42A7BDA1" w14:textId="77777777" w:rsidR="0016189A" w:rsidRDefault="0016189A">
            <w:pPr>
              <w:pStyle w:val="TableParagraph"/>
              <w:ind w:left="0"/>
              <w:rPr>
                <w:rFonts w:ascii="Times New Roman"/>
                <w:sz w:val="18"/>
              </w:rPr>
            </w:pPr>
          </w:p>
        </w:tc>
        <w:tc>
          <w:tcPr>
            <w:tcW w:w="3834" w:type="dxa"/>
          </w:tcPr>
          <w:p w14:paraId="382295EA" w14:textId="77777777" w:rsidR="0016189A" w:rsidRDefault="0016189A">
            <w:pPr>
              <w:pStyle w:val="TableParagraph"/>
              <w:ind w:left="0"/>
              <w:rPr>
                <w:rFonts w:ascii="Times New Roman"/>
                <w:sz w:val="18"/>
              </w:rPr>
            </w:pPr>
          </w:p>
        </w:tc>
        <w:tc>
          <w:tcPr>
            <w:tcW w:w="9501" w:type="dxa"/>
          </w:tcPr>
          <w:p w14:paraId="21DE1657" w14:textId="77777777" w:rsidR="0016189A" w:rsidRDefault="00EC31E9">
            <w:pPr>
              <w:pStyle w:val="TableParagraph"/>
              <w:spacing w:before="2"/>
              <w:ind w:right="104"/>
              <w:jc w:val="both"/>
              <w:rPr>
                <w:sz w:val="20"/>
              </w:rPr>
            </w:pPr>
            <w:r>
              <w:rPr>
                <w:sz w:val="20"/>
              </w:rPr>
              <w:t xml:space="preserve">En caso de que sea delegada al Instituto la función de fiscalización a que se refiere el párrafo primero de este </w:t>
            </w:r>
            <w:proofErr w:type="gramStart"/>
            <w:r>
              <w:rPr>
                <w:sz w:val="20"/>
              </w:rPr>
              <w:t>artículo,</w:t>
            </w:r>
            <w:proofErr w:type="gramEnd"/>
            <w:r>
              <w:rPr>
                <w:sz w:val="20"/>
              </w:rPr>
              <w:t xml:space="preserve"> se realizará por conducto de la Contraloría Interna en términos de la CPEUM, la LGIPE, la LGPP, los lineamientos, acuerdos generales, normas técnicas y demás disposiciones que emita el Consejo General.</w:t>
            </w:r>
          </w:p>
          <w:p w14:paraId="600BC366" w14:textId="77777777" w:rsidR="0016189A" w:rsidRDefault="0016189A">
            <w:pPr>
              <w:pStyle w:val="TableParagraph"/>
              <w:spacing w:before="5"/>
              <w:ind w:left="0"/>
              <w:rPr>
                <w:rFonts w:ascii="Times New Roman"/>
                <w:sz w:val="21"/>
              </w:rPr>
            </w:pPr>
          </w:p>
          <w:p w14:paraId="3E53F7F2" w14:textId="77777777" w:rsidR="0016189A" w:rsidRDefault="00EC31E9">
            <w:pPr>
              <w:pStyle w:val="TableParagraph"/>
              <w:ind w:right="34"/>
              <w:rPr>
                <w:sz w:val="20"/>
              </w:rPr>
            </w:pPr>
            <w:r>
              <w:rPr>
                <w:sz w:val="20"/>
              </w:rPr>
              <w:t>El Consejo establecerá en las disposiciones reglamentarias del Instituto, procedimientos acordes a la legislación federal en materia de fiscalización.</w:t>
            </w:r>
          </w:p>
          <w:p w14:paraId="365BDB3A" w14:textId="77777777" w:rsidR="0016189A" w:rsidRDefault="00EC31E9">
            <w:pPr>
              <w:pStyle w:val="TableParagraph"/>
              <w:spacing w:line="244" w:lineRule="exact"/>
              <w:rPr>
                <w:sz w:val="20"/>
              </w:rPr>
            </w:pPr>
            <w:r>
              <w:rPr>
                <w:sz w:val="20"/>
              </w:rPr>
              <w:t>[…]</w:t>
            </w:r>
          </w:p>
          <w:p w14:paraId="7CF61184" w14:textId="77777777" w:rsidR="0016189A" w:rsidRDefault="0016189A">
            <w:pPr>
              <w:pStyle w:val="TableParagraph"/>
              <w:spacing w:before="5"/>
              <w:ind w:left="0"/>
              <w:rPr>
                <w:rFonts w:ascii="Times New Roman"/>
                <w:sz w:val="21"/>
              </w:rPr>
            </w:pPr>
          </w:p>
          <w:p w14:paraId="070ADFCE" w14:textId="77777777" w:rsidR="0016189A" w:rsidRDefault="00781810">
            <w:pPr>
              <w:pStyle w:val="TableParagraph"/>
              <w:ind w:right="108"/>
              <w:jc w:val="both"/>
              <w:rPr>
                <w:sz w:val="20"/>
              </w:rPr>
            </w:pPr>
            <w:r>
              <w:rPr>
                <w:b/>
                <w:sz w:val="20"/>
              </w:rPr>
              <w:t xml:space="preserve">Artículo </w:t>
            </w:r>
            <w:r w:rsidR="00EC31E9">
              <w:rPr>
                <w:b/>
                <w:sz w:val="20"/>
              </w:rPr>
              <w:t xml:space="preserve">46.- </w:t>
            </w:r>
            <w:r w:rsidR="00EC31E9">
              <w:rPr>
                <w:sz w:val="20"/>
              </w:rPr>
              <w:t>Los partidos políticos y los candidatos independientes fiscalizados, podrán impugnar ante el Tribunal, el dictamen y resolución que en su caso emita el Consejo, para tal efecto deberá:</w:t>
            </w:r>
          </w:p>
          <w:p w14:paraId="47389636" w14:textId="77777777" w:rsidR="0016189A" w:rsidRDefault="0016189A">
            <w:pPr>
              <w:pStyle w:val="TableParagraph"/>
              <w:spacing w:before="3"/>
              <w:ind w:left="0"/>
              <w:rPr>
                <w:rFonts w:ascii="Times New Roman"/>
                <w:sz w:val="21"/>
              </w:rPr>
            </w:pPr>
          </w:p>
          <w:p w14:paraId="60E76E2E" w14:textId="77777777" w:rsidR="0016189A" w:rsidRDefault="00EC31E9">
            <w:pPr>
              <w:pStyle w:val="TableParagraph"/>
              <w:numPr>
                <w:ilvl w:val="0"/>
                <w:numId w:val="2"/>
              </w:numPr>
              <w:tabs>
                <w:tab w:val="left" w:pos="265"/>
              </w:tabs>
              <w:ind w:left="106" w:right="102" w:firstLine="0"/>
              <w:jc w:val="both"/>
              <w:rPr>
                <w:sz w:val="20"/>
              </w:rPr>
            </w:pPr>
            <w:r>
              <w:rPr>
                <w:sz w:val="20"/>
              </w:rPr>
              <w:t>Remitir al Tribunal, cuando se hubiere interpuesto el recurso, junto con éste, el dictamen de la Contraloría Interna y el informe</w:t>
            </w:r>
            <w:r>
              <w:rPr>
                <w:spacing w:val="-4"/>
                <w:sz w:val="20"/>
              </w:rPr>
              <w:t xml:space="preserve"> </w:t>
            </w:r>
            <w:r>
              <w:rPr>
                <w:sz w:val="20"/>
              </w:rPr>
              <w:t>respectivo;</w:t>
            </w:r>
          </w:p>
          <w:p w14:paraId="297ACF60" w14:textId="77777777" w:rsidR="0016189A" w:rsidRDefault="0016189A">
            <w:pPr>
              <w:pStyle w:val="TableParagraph"/>
              <w:spacing w:before="4"/>
              <w:ind w:left="0"/>
              <w:rPr>
                <w:rFonts w:ascii="Times New Roman"/>
                <w:sz w:val="21"/>
              </w:rPr>
            </w:pPr>
          </w:p>
          <w:p w14:paraId="67726898" w14:textId="77777777" w:rsidR="0016189A" w:rsidRDefault="00EC31E9">
            <w:pPr>
              <w:pStyle w:val="TableParagraph"/>
              <w:numPr>
                <w:ilvl w:val="0"/>
                <w:numId w:val="2"/>
              </w:numPr>
              <w:tabs>
                <w:tab w:val="left" w:pos="357"/>
              </w:tabs>
              <w:spacing w:before="1"/>
              <w:ind w:left="106" w:right="101" w:firstLine="0"/>
              <w:jc w:val="both"/>
              <w:rPr>
                <w:sz w:val="20"/>
              </w:rPr>
            </w:pPr>
            <w:r>
              <w:rPr>
                <w:sz w:val="20"/>
              </w:rPr>
              <w:t>Remitir, una vez cumplido el plazo para la interposición del recurso, o presentado éste, habiendo sido resuelto por los órganos jurisdiccionales, al Periódico Oficial del Estado el dictamen y, en su caso, la resolución recaída al recurso para su publicación,</w:t>
            </w:r>
            <w:r>
              <w:rPr>
                <w:spacing w:val="-20"/>
                <w:sz w:val="20"/>
              </w:rPr>
              <w:t xml:space="preserve"> </w:t>
            </w:r>
            <w:r>
              <w:rPr>
                <w:sz w:val="20"/>
              </w:rPr>
              <w:t>y</w:t>
            </w:r>
          </w:p>
          <w:p w14:paraId="2B237D71" w14:textId="77777777" w:rsidR="0016189A" w:rsidRDefault="0016189A">
            <w:pPr>
              <w:pStyle w:val="TableParagraph"/>
              <w:spacing w:before="4"/>
              <w:ind w:left="0"/>
              <w:rPr>
                <w:rFonts w:ascii="Times New Roman"/>
                <w:sz w:val="21"/>
              </w:rPr>
            </w:pPr>
          </w:p>
          <w:p w14:paraId="0B9012F3" w14:textId="77777777" w:rsidR="0016189A" w:rsidRDefault="00EC31E9">
            <w:pPr>
              <w:pStyle w:val="TableParagraph"/>
              <w:numPr>
                <w:ilvl w:val="0"/>
                <w:numId w:val="2"/>
              </w:numPr>
              <w:tabs>
                <w:tab w:val="left" w:pos="388"/>
              </w:tabs>
              <w:ind w:left="106" w:right="110" w:firstLine="0"/>
              <w:jc w:val="both"/>
              <w:rPr>
                <w:sz w:val="20"/>
              </w:rPr>
            </w:pPr>
            <w:r>
              <w:rPr>
                <w:sz w:val="20"/>
              </w:rPr>
              <w:t>Publicar en la página de internet del Instituto el dictamen y, en su caso, las resoluciones emitidas por los órganos</w:t>
            </w:r>
            <w:r>
              <w:rPr>
                <w:spacing w:val="-5"/>
                <w:sz w:val="20"/>
              </w:rPr>
              <w:t xml:space="preserve"> </w:t>
            </w:r>
            <w:r>
              <w:rPr>
                <w:sz w:val="20"/>
              </w:rPr>
              <w:t>jurisdiccionales.</w:t>
            </w:r>
          </w:p>
          <w:p w14:paraId="31339EEA" w14:textId="77777777" w:rsidR="0016189A" w:rsidRDefault="0016189A">
            <w:pPr>
              <w:pStyle w:val="TableParagraph"/>
              <w:spacing w:before="2"/>
              <w:ind w:left="0"/>
              <w:rPr>
                <w:rFonts w:ascii="Times New Roman"/>
                <w:sz w:val="21"/>
              </w:rPr>
            </w:pPr>
          </w:p>
          <w:p w14:paraId="2464380C" w14:textId="77777777" w:rsidR="0016189A" w:rsidRDefault="00781810">
            <w:pPr>
              <w:pStyle w:val="TableParagraph"/>
              <w:spacing w:before="1"/>
              <w:ind w:right="106"/>
              <w:jc w:val="both"/>
              <w:rPr>
                <w:sz w:val="20"/>
              </w:rPr>
            </w:pPr>
            <w:r>
              <w:rPr>
                <w:b/>
                <w:sz w:val="20"/>
              </w:rPr>
              <w:t xml:space="preserve">Artículo </w:t>
            </w:r>
            <w:r w:rsidR="00EC31E9">
              <w:rPr>
                <w:b/>
                <w:sz w:val="20"/>
              </w:rPr>
              <w:t xml:space="preserve">47.- </w:t>
            </w:r>
            <w:r w:rsidR="00EC31E9">
              <w:rPr>
                <w:sz w:val="20"/>
              </w:rPr>
              <w:t>El personal de la Contraloría Interna está obligado a guardar reserva sobre el curso de las revisiones y auditorías en las que tenga participación o sobre las que disponga de información. El Contralor conocerá de las violaciones a esta norma y en su caso impondrá las sanciones que correspondan conforme a este Código.</w:t>
            </w:r>
          </w:p>
          <w:p w14:paraId="33C6F150" w14:textId="77777777" w:rsidR="0016189A" w:rsidRDefault="0016189A" w:rsidP="00781810">
            <w:pPr>
              <w:pStyle w:val="TableParagraph"/>
              <w:spacing w:before="4"/>
              <w:ind w:left="0" w:firstLine="720"/>
              <w:rPr>
                <w:rFonts w:ascii="Times New Roman"/>
                <w:sz w:val="21"/>
              </w:rPr>
            </w:pPr>
          </w:p>
          <w:p w14:paraId="72245271" w14:textId="77777777" w:rsidR="0016189A" w:rsidRDefault="00781810">
            <w:pPr>
              <w:pStyle w:val="TableParagraph"/>
              <w:ind w:right="101"/>
              <w:jc w:val="both"/>
              <w:rPr>
                <w:sz w:val="20"/>
              </w:rPr>
            </w:pPr>
            <w:r>
              <w:rPr>
                <w:b/>
                <w:sz w:val="20"/>
              </w:rPr>
              <w:t xml:space="preserve">Artículo </w:t>
            </w:r>
            <w:r w:rsidR="00EC31E9">
              <w:rPr>
                <w:b/>
                <w:sz w:val="20"/>
              </w:rPr>
              <w:t xml:space="preserve">48.- </w:t>
            </w:r>
            <w:r w:rsidR="00EC31E9">
              <w:rPr>
                <w:sz w:val="20"/>
              </w:rPr>
              <w:t>Cuando sea delegada al Instituto la facultad de fiscalización de los ingresos y egresos de los partidos políticos, sus coaliciones y de los candidatos a cargos de elección popular, el Consejo recibirá del Contralor informes periódicos respecto del avance en las</w:t>
            </w:r>
          </w:p>
          <w:p w14:paraId="767BA4B8" w14:textId="77777777" w:rsidR="0016189A" w:rsidRDefault="00EC31E9">
            <w:pPr>
              <w:pStyle w:val="TableParagraph"/>
              <w:spacing w:before="1" w:line="222" w:lineRule="exact"/>
              <w:jc w:val="both"/>
              <w:rPr>
                <w:sz w:val="20"/>
              </w:rPr>
            </w:pPr>
            <w:r>
              <w:rPr>
                <w:sz w:val="20"/>
              </w:rPr>
              <w:t>revisiones y auditorías que se realicen.</w:t>
            </w:r>
          </w:p>
        </w:tc>
      </w:tr>
    </w:tbl>
    <w:p w14:paraId="29E287D1" w14:textId="77777777" w:rsidR="0016189A" w:rsidRDefault="0016189A">
      <w:pPr>
        <w:spacing w:line="222" w:lineRule="exact"/>
        <w:jc w:val="both"/>
        <w:rPr>
          <w:sz w:val="20"/>
        </w:rPr>
        <w:sectPr w:rsidR="0016189A">
          <w:pgSz w:w="20160" w:h="12240" w:orient="landscape"/>
          <w:pgMar w:top="1120" w:right="1460" w:bottom="280" w:left="1460" w:header="885" w:footer="0" w:gutter="0"/>
          <w:cols w:space="720"/>
        </w:sectPr>
      </w:pPr>
    </w:p>
    <w:p w14:paraId="72811412" w14:textId="4DDF72D7" w:rsidR="0016189A" w:rsidRDefault="0016189A">
      <w:pPr>
        <w:pStyle w:val="Textoindependiente"/>
        <w:rPr>
          <w:rFonts w:ascii="Times New Roman"/>
          <w:b w:val="0"/>
          <w:i w:val="0"/>
          <w:sz w:val="20"/>
        </w:rPr>
      </w:pPr>
    </w:p>
    <w:tbl>
      <w:tblPr>
        <w:tblStyle w:val="TableNormal"/>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270"/>
        <w:gridCol w:w="2405"/>
        <w:gridCol w:w="3834"/>
        <w:gridCol w:w="9501"/>
      </w:tblGrid>
      <w:tr w:rsidR="0016189A" w14:paraId="6618BEFA" w14:textId="77777777">
        <w:trPr>
          <w:trHeight w:val="479"/>
        </w:trPr>
        <w:tc>
          <w:tcPr>
            <w:tcW w:w="1270" w:type="dxa"/>
            <w:shd w:val="clear" w:color="auto" w:fill="76923B"/>
          </w:tcPr>
          <w:p w14:paraId="5E5A404E" w14:textId="77777777" w:rsidR="0016189A" w:rsidRDefault="0016189A">
            <w:pPr>
              <w:pStyle w:val="TableParagraph"/>
              <w:ind w:left="0"/>
              <w:rPr>
                <w:rFonts w:ascii="Times New Roman"/>
                <w:sz w:val="18"/>
              </w:rPr>
            </w:pPr>
          </w:p>
        </w:tc>
        <w:tc>
          <w:tcPr>
            <w:tcW w:w="2405" w:type="dxa"/>
            <w:shd w:val="clear" w:color="auto" w:fill="76923B"/>
          </w:tcPr>
          <w:p w14:paraId="4761C767" w14:textId="77777777" w:rsidR="0016189A" w:rsidRDefault="00EC31E9">
            <w:pPr>
              <w:pStyle w:val="TableParagraph"/>
              <w:spacing w:before="110"/>
              <w:ind w:left="806" w:right="800"/>
              <w:jc w:val="center"/>
              <w:rPr>
                <w:b/>
                <w:sz w:val="20"/>
              </w:rPr>
            </w:pPr>
            <w:r>
              <w:rPr>
                <w:b/>
                <w:color w:val="FFFFFF"/>
                <w:sz w:val="20"/>
              </w:rPr>
              <w:t>ESTADO</w:t>
            </w:r>
          </w:p>
        </w:tc>
        <w:tc>
          <w:tcPr>
            <w:tcW w:w="3834" w:type="dxa"/>
            <w:shd w:val="clear" w:color="auto" w:fill="76923B"/>
          </w:tcPr>
          <w:p w14:paraId="0D2B96CF" w14:textId="77777777" w:rsidR="0016189A" w:rsidRDefault="00EC31E9">
            <w:pPr>
              <w:pStyle w:val="TableParagraph"/>
              <w:spacing w:before="110"/>
              <w:ind w:left="1736" w:right="1731"/>
              <w:jc w:val="center"/>
              <w:rPr>
                <w:b/>
                <w:sz w:val="20"/>
              </w:rPr>
            </w:pPr>
            <w:r>
              <w:rPr>
                <w:b/>
                <w:color w:val="FFFFFF"/>
                <w:sz w:val="20"/>
              </w:rPr>
              <w:t>LEY</w:t>
            </w:r>
          </w:p>
        </w:tc>
        <w:tc>
          <w:tcPr>
            <w:tcW w:w="9501" w:type="dxa"/>
            <w:shd w:val="clear" w:color="auto" w:fill="76923B"/>
          </w:tcPr>
          <w:p w14:paraId="5C453540" w14:textId="77777777" w:rsidR="0016189A" w:rsidRDefault="00EC31E9">
            <w:pPr>
              <w:pStyle w:val="TableParagraph"/>
              <w:spacing w:before="110"/>
              <w:ind w:left="3365" w:right="3365"/>
              <w:jc w:val="center"/>
              <w:rPr>
                <w:b/>
                <w:sz w:val="20"/>
              </w:rPr>
            </w:pPr>
            <w:r>
              <w:rPr>
                <w:b/>
                <w:color w:val="FFFFFF"/>
                <w:sz w:val="20"/>
              </w:rPr>
              <w:t>ARTÍCULO (TRANSCRIPCIÓN)</w:t>
            </w:r>
          </w:p>
        </w:tc>
      </w:tr>
      <w:tr w:rsidR="0016189A" w14:paraId="5D8A8CDE" w14:textId="77777777">
        <w:trPr>
          <w:trHeight w:val="7849"/>
        </w:trPr>
        <w:tc>
          <w:tcPr>
            <w:tcW w:w="1270" w:type="dxa"/>
          </w:tcPr>
          <w:p w14:paraId="5E6357C8" w14:textId="77777777" w:rsidR="0016189A" w:rsidRDefault="0016189A">
            <w:pPr>
              <w:pStyle w:val="TableParagraph"/>
              <w:ind w:left="0"/>
              <w:rPr>
                <w:rFonts w:ascii="Times New Roman"/>
                <w:sz w:val="18"/>
              </w:rPr>
            </w:pPr>
          </w:p>
        </w:tc>
        <w:tc>
          <w:tcPr>
            <w:tcW w:w="2405" w:type="dxa"/>
          </w:tcPr>
          <w:p w14:paraId="242B8121" w14:textId="77777777" w:rsidR="0016189A" w:rsidRDefault="0016189A">
            <w:pPr>
              <w:pStyle w:val="TableParagraph"/>
              <w:ind w:left="0"/>
              <w:rPr>
                <w:rFonts w:ascii="Times New Roman"/>
                <w:sz w:val="18"/>
              </w:rPr>
            </w:pPr>
          </w:p>
        </w:tc>
        <w:tc>
          <w:tcPr>
            <w:tcW w:w="3834" w:type="dxa"/>
          </w:tcPr>
          <w:p w14:paraId="340590ED" w14:textId="77777777" w:rsidR="0016189A" w:rsidRDefault="0016189A">
            <w:pPr>
              <w:pStyle w:val="TableParagraph"/>
              <w:ind w:left="0"/>
              <w:rPr>
                <w:rFonts w:ascii="Times New Roman"/>
                <w:sz w:val="18"/>
              </w:rPr>
            </w:pPr>
          </w:p>
        </w:tc>
        <w:tc>
          <w:tcPr>
            <w:tcW w:w="9501" w:type="dxa"/>
          </w:tcPr>
          <w:p w14:paraId="5495A7F1" w14:textId="77777777" w:rsidR="0016189A" w:rsidRDefault="00EC31E9">
            <w:pPr>
              <w:pStyle w:val="TableParagraph"/>
              <w:spacing w:before="2"/>
              <w:rPr>
                <w:sz w:val="20"/>
              </w:rPr>
            </w:pPr>
            <w:r>
              <w:rPr>
                <w:sz w:val="20"/>
              </w:rPr>
              <w:t>[…]</w:t>
            </w:r>
          </w:p>
          <w:p w14:paraId="0C58AC35" w14:textId="77777777" w:rsidR="0016189A" w:rsidRDefault="0016189A">
            <w:pPr>
              <w:pStyle w:val="TableParagraph"/>
              <w:spacing w:before="4"/>
              <w:ind w:left="0"/>
              <w:rPr>
                <w:rFonts w:ascii="Times New Roman"/>
                <w:sz w:val="21"/>
              </w:rPr>
            </w:pPr>
          </w:p>
          <w:p w14:paraId="40D3370F" w14:textId="77777777" w:rsidR="0016189A" w:rsidRDefault="00781810">
            <w:pPr>
              <w:pStyle w:val="TableParagraph"/>
              <w:rPr>
                <w:sz w:val="20"/>
              </w:rPr>
            </w:pPr>
            <w:r>
              <w:rPr>
                <w:b/>
                <w:sz w:val="20"/>
              </w:rPr>
              <w:t xml:space="preserve">Artículo </w:t>
            </w:r>
            <w:r w:rsidR="00EC31E9">
              <w:rPr>
                <w:b/>
                <w:sz w:val="20"/>
              </w:rPr>
              <w:t>60.</w:t>
            </w:r>
            <w:proofErr w:type="gramStart"/>
            <w:r w:rsidR="00EC31E9">
              <w:rPr>
                <w:b/>
                <w:sz w:val="20"/>
              </w:rPr>
              <w:t>-</w:t>
            </w:r>
            <w:r w:rsidR="00EC31E9">
              <w:rPr>
                <w:sz w:val="20"/>
              </w:rPr>
              <w:t>[</w:t>
            </w:r>
            <w:proofErr w:type="gramEnd"/>
            <w:r w:rsidR="00EC31E9">
              <w:rPr>
                <w:sz w:val="20"/>
              </w:rPr>
              <w:t>…]</w:t>
            </w:r>
          </w:p>
          <w:p w14:paraId="01F41112" w14:textId="77777777" w:rsidR="0016189A" w:rsidRDefault="00EC31E9">
            <w:pPr>
              <w:pStyle w:val="TableParagraph"/>
              <w:spacing w:before="2"/>
              <w:rPr>
                <w:sz w:val="20"/>
              </w:rPr>
            </w:pPr>
            <w:r>
              <w:rPr>
                <w:sz w:val="20"/>
              </w:rPr>
              <w:t>[…]</w:t>
            </w:r>
          </w:p>
          <w:p w14:paraId="0B3F921F" w14:textId="77777777" w:rsidR="0016189A" w:rsidRDefault="0016189A">
            <w:pPr>
              <w:pStyle w:val="TableParagraph"/>
              <w:spacing w:before="3"/>
              <w:ind w:left="0"/>
              <w:rPr>
                <w:rFonts w:ascii="Times New Roman"/>
                <w:sz w:val="21"/>
              </w:rPr>
            </w:pPr>
          </w:p>
          <w:p w14:paraId="20D553AE" w14:textId="77777777" w:rsidR="0016189A" w:rsidRDefault="00EC31E9">
            <w:pPr>
              <w:pStyle w:val="TableParagraph"/>
              <w:rPr>
                <w:sz w:val="20"/>
              </w:rPr>
            </w:pPr>
            <w:r>
              <w:rPr>
                <w:sz w:val="20"/>
              </w:rPr>
              <w:t>Las asociaciones políticas serán fiscalizadas por la Contraloría Interna en términos del presente Código y de las disposiciones que emita el Consejo.</w:t>
            </w:r>
          </w:p>
          <w:p w14:paraId="32F80F52" w14:textId="77777777" w:rsidR="0016189A" w:rsidRDefault="00EC31E9">
            <w:pPr>
              <w:pStyle w:val="TableParagraph"/>
              <w:spacing w:line="244" w:lineRule="exact"/>
              <w:rPr>
                <w:sz w:val="20"/>
              </w:rPr>
            </w:pPr>
            <w:r>
              <w:rPr>
                <w:sz w:val="20"/>
              </w:rPr>
              <w:t>[…]</w:t>
            </w:r>
          </w:p>
          <w:p w14:paraId="71709491" w14:textId="77777777" w:rsidR="0016189A" w:rsidRDefault="0016189A">
            <w:pPr>
              <w:pStyle w:val="TableParagraph"/>
              <w:spacing w:before="5"/>
              <w:ind w:left="0"/>
              <w:rPr>
                <w:rFonts w:ascii="Times New Roman"/>
                <w:sz w:val="21"/>
              </w:rPr>
            </w:pPr>
          </w:p>
          <w:p w14:paraId="070063B8" w14:textId="77777777" w:rsidR="0016189A" w:rsidRDefault="00781810">
            <w:pPr>
              <w:pStyle w:val="TableParagraph"/>
              <w:ind w:right="2293"/>
              <w:rPr>
                <w:sz w:val="20"/>
              </w:rPr>
            </w:pPr>
            <w:r>
              <w:rPr>
                <w:b/>
                <w:sz w:val="20"/>
              </w:rPr>
              <w:t xml:space="preserve">Artículo </w:t>
            </w:r>
            <w:r w:rsidR="00EC31E9">
              <w:rPr>
                <w:b/>
                <w:sz w:val="20"/>
              </w:rPr>
              <w:t xml:space="preserve">290.- </w:t>
            </w:r>
            <w:r w:rsidR="00EC31E9">
              <w:rPr>
                <w:sz w:val="20"/>
              </w:rPr>
              <w:t>La Contraloría Interna tendrá las facultades</w:t>
            </w:r>
            <w:r w:rsidR="00EC31E9">
              <w:rPr>
                <w:spacing w:val="-37"/>
                <w:sz w:val="20"/>
              </w:rPr>
              <w:t xml:space="preserve"> </w:t>
            </w:r>
            <w:r w:rsidR="00EC31E9">
              <w:rPr>
                <w:sz w:val="20"/>
              </w:rPr>
              <w:t>siguientes: […]</w:t>
            </w:r>
          </w:p>
          <w:p w14:paraId="34FE4E67" w14:textId="77777777" w:rsidR="0016189A" w:rsidRDefault="0016189A">
            <w:pPr>
              <w:pStyle w:val="TableParagraph"/>
              <w:spacing w:before="2"/>
              <w:ind w:left="0"/>
              <w:rPr>
                <w:rFonts w:ascii="Times New Roman"/>
                <w:sz w:val="21"/>
              </w:rPr>
            </w:pPr>
          </w:p>
          <w:p w14:paraId="1B12A6FA" w14:textId="77777777" w:rsidR="0016189A" w:rsidRDefault="00EC31E9">
            <w:pPr>
              <w:pStyle w:val="TableParagraph"/>
              <w:spacing w:before="1"/>
              <w:ind w:right="104"/>
              <w:jc w:val="both"/>
              <w:rPr>
                <w:sz w:val="20"/>
              </w:rPr>
            </w:pPr>
            <w:r>
              <w:rPr>
                <w:sz w:val="20"/>
              </w:rPr>
              <w:t xml:space="preserve">XXVII. </w:t>
            </w:r>
            <w:proofErr w:type="gramStart"/>
            <w:r>
              <w:rPr>
                <w:sz w:val="20"/>
              </w:rPr>
              <w:t>En caso que</w:t>
            </w:r>
            <w:proofErr w:type="gramEnd"/>
            <w:r>
              <w:rPr>
                <w:sz w:val="20"/>
              </w:rPr>
              <w:t xml:space="preserve"> el INE delegue al Instituto la función de los ingresos y egresos de los partidos políticos,</w:t>
            </w:r>
            <w:r>
              <w:rPr>
                <w:spacing w:val="-18"/>
                <w:sz w:val="20"/>
              </w:rPr>
              <w:t xml:space="preserve"> </w:t>
            </w:r>
            <w:r>
              <w:rPr>
                <w:sz w:val="20"/>
              </w:rPr>
              <w:t>sus</w:t>
            </w:r>
            <w:r>
              <w:rPr>
                <w:spacing w:val="-13"/>
                <w:sz w:val="20"/>
              </w:rPr>
              <w:t xml:space="preserve"> </w:t>
            </w:r>
            <w:r>
              <w:rPr>
                <w:sz w:val="20"/>
              </w:rPr>
              <w:t>coaliciones</w:t>
            </w:r>
            <w:r>
              <w:rPr>
                <w:spacing w:val="-11"/>
                <w:sz w:val="20"/>
              </w:rPr>
              <w:t xml:space="preserve"> </w:t>
            </w:r>
            <w:r>
              <w:rPr>
                <w:sz w:val="20"/>
              </w:rPr>
              <w:t>y</w:t>
            </w:r>
            <w:r>
              <w:rPr>
                <w:spacing w:val="-16"/>
                <w:sz w:val="20"/>
              </w:rPr>
              <w:t xml:space="preserve"> </w:t>
            </w:r>
            <w:r>
              <w:rPr>
                <w:sz w:val="20"/>
              </w:rPr>
              <w:t>de</w:t>
            </w:r>
            <w:r>
              <w:rPr>
                <w:spacing w:val="-13"/>
                <w:sz w:val="20"/>
              </w:rPr>
              <w:t xml:space="preserve"> </w:t>
            </w:r>
            <w:r>
              <w:rPr>
                <w:sz w:val="20"/>
              </w:rPr>
              <w:t>los</w:t>
            </w:r>
            <w:r>
              <w:rPr>
                <w:spacing w:val="-15"/>
                <w:sz w:val="20"/>
              </w:rPr>
              <w:t xml:space="preserve"> </w:t>
            </w:r>
            <w:r>
              <w:rPr>
                <w:sz w:val="20"/>
              </w:rPr>
              <w:t>candidatos</w:t>
            </w:r>
            <w:r>
              <w:rPr>
                <w:spacing w:val="-16"/>
                <w:sz w:val="20"/>
              </w:rPr>
              <w:t xml:space="preserve"> </w:t>
            </w:r>
            <w:r>
              <w:rPr>
                <w:sz w:val="20"/>
              </w:rPr>
              <w:t>a</w:t>
            </w:r>
            <w:r>
              <w:rPr>
                <w:spacing w:val="-12"/>
                <w:sz w:val="20"/>
              </w:rPr>
              <w:t xml:space="preserve"> </w:t>
            </w:r>
            <w:r>
              <w:rPr>
                <w:sz w:val="20"/>
              </w:rPr>
              <w:t>cargos</w:t>
            </w:r>
            <w:r>
              <w:rPr>
                <w:spacing w:val="-14"/>
                <w:sz w:val="20"/>
              </w:rPr>
              <w:t xml:space="preserve"> </w:t>
            </w:r>
            <w:r>
              <w:rPr>
                <w:sz w:val="20"/>
              </w:rPr>
              <w:t>de</w:t>
            </w:r>
            <w:r>
              <w:rPr>
                <w:spacing w:val="-14"/>
                <w:sz w:val="20"/>
              </w:rPr>
              <w:t xml:space="preserve"> </w:t>
            </w:r>
            <w:r>
              <w:rPr>
                <w:sz w:val="20"/>
              </w:rPr>
              <w:t>elección</w:t>
            </w:r>
            <w:r>
              <w:rPr>
                <w:spacing w:val="-12"/>
                <w:sz w:val="20"/>
              </w:rPr>
              <w:t xml:space="preserve"> </w:t>
            </w:r>
            <w:r>
              <w:rPr>
                <w:sz w:val="20"/>
              </w:rPr>
              <w:t>popular,</w:t>
            </w:r>
            <w:r>
              <w:rPr>
                <w:spacing w:val="-16"/>
                <w:sz w:val="20"/>
              </w:rPr>
              <w:t xml:space="preserve"> </w:t>
            </w:r>
            <w:r>
              <w:rPr>
                <w:sz w:val="20"/>
              </w:rPr>
              <w:t>la</w:t>
            </w:r>
            <w:r>
              <w:rPr>
                <w:spacing w:val="-14"/>
                <w:sz w:val="20"/>
              </w:rPr>
              <w:t xml:space="preserve"> </w:t>
            </w:r>
            <w:r>
              <w:rPr>
                <w:sz w:val="20"/>
              </w:rPr>
              <w:t>Contraloría</w:t>
            </w:r>
            <w:r>
              <w:rPr>
                <w:spacing w:val="-15"/>
                <w:sz w:val="20"/>
              </w:rPr>
              <w:t xml:space="preserve"> </w:t>
            </w:r>
            <w:r>
              <w:rPr>
                <w:sz w:val="20"/>
              </w:rPr>
              <w:t>Interna realizará tal función en términos de la CPEUM, la LGIPE, la LGPP, los lineamientos, acuerdos generales, normas técnicas y demás disposiciones que emita el Consejo General,</w:t>
            </w:r>
            <w:r>
              <w:rPr>
                <w:spacing w:val="-20"/>
                <w:sz w:val="20"/>
              </w:rPr>
              <w:t xml:space="preserve"> </w:t>
            </w:r>
            <w:r>
              <w:rPr>
                <w:sz w:val="20"/>
              </w:rPr>
              <w:t>y</w:t>
            </w:r>
          </w:p>
          <w:p w14:paraId="359C8B54" w14:textId="77777777" w:rsidR="0016189A" w:rsidRDefault="00EC31E9">
            <w:pPr>
              <w:pStyle w:val="TableParagraph"/>
              <w:spacing w:before="1"/>
              <w:rPr>
                <w:sz w:val="20"/>
              </w:rPr>
            </w:pPr>
            <w:r>
              <w:rPr>
                <w:sz w:val="20"/>
              </w:rPr>
              <w:t>[…]</w:t>
            </w:r>
          </w:p>
          <w:p w14:paraId="5199EC6F" w14:textId="77777777" w:rsidR="0016189A" w:rsidRDefault="0016189A">
            <w:pPr>
              <w:pStyle w:val="TableParagraph"/>
              <w:spacing w:before="2"/>
              <w:ind w:left="0"/>
              <w:rPr>
                <w:rFonts w:ascii="Times New Roman"/>
                <w:sz w:val="21"/>
              </w:rPr>
            </w:pPr>
          </w:p>
          <w:p w14:paraId="19102CC7" w14:textId="77777777" w:rsidR="0016189A" w:rsidRDefault="00781810">
            <w:pPr>
              <w:pStyle w:val="TableParagraph"/>
              <w:spacing w:before="1"/>
              <w:ind w:right="100"/>
              <w:jc w:val="both"/>
              <w:rPr>
                <w:sz w:val="20"/>
              </w:rPr>
            </w:pPr>
            <w:r>
              <w:rPr>
                <w:b/>
                <w:sz w:val="20"/>
              </w:rPr>
              <w:t xml:space="preserve">Artículo </w:t>
            </w:r>
            <w:r w:rsidR="00EC31E9">
              <w:rPr>
                <w:b/>
                <w:sz w:val="20"/>
              </w:rPr>
              <w:t xml:space="preserve">291.- </w:t>
            </w:r>
            <w:r w:rsidR="00EC31E9">
              <w:rPr>
                <w:sz w:val="20"/>
              </w:rPr>
              <w:t>Los servidores públicos adscritos a la Contraloría Interna y, en su caso, los profesionales</w:t>
            </w:r>
            <w:r w:rsidR="00EC31E9">
              <w:rPr>
                <w:spacing w:val="-17"/>
                <w:sz w:val="20"/>
              </w:rPr>
              <w:t xml:space="preserve"> </w:t>
            </w:r>
            <w:r w:rsidR="00EC31E9">
              <w:rPr>
                <w:sz w:val="20"/>
              </w:rPr>
              <w:t>contratados</w:t>
            </w:r>
            <w:r w:rsidR="00EC31E9">
              <w:rPr>
                <w:spacing w:val="-17"/>
                <w:sz w:val="20"/>
              </w:rPr>
              <w:t xml:space="preserve"> </w:t>
            </w:r>
            <w:r w:rsidR="00EC31E9">
              <w:rPr>
                <w:sz w:val="20"/>
              </w:rPr>
              <w:t>para</w:t>
            </w:r>
            <w:r w:rsidR="00EC31E9">
              <w:rPr>
                <w:spacing w:val="-16"/>
                <w:sz w:val="20"/>
              </w:rPr>
              <w:t xml:space="preserve"> </w:t>
            </w:r>
            <w:r w:rsidR="00EC31E9">
              <w:rPr>
                <w:sz w:val="20"/>
              </w:rPr>
              <w:t>la</w:t>
            </w:r>
            <w:r w:rsidR="00EC31E9">
              <w:rPr>
                <w:spacing w:val="-15"/>
                <w:sz w:val="20"/>
              </w:rPr>
              <w:t xml:space="preserve"> </w:t>
            </w:r>
            <w:r w:rsidR="00EC31E9">
              <w:rPr>
                <w:sz w:val="20"/>
              </w:rPr>
              <w:t>práctica</w:t>
            </w:r>
            <w:r w:rsidR="00EC31E9">
              <w:rPr>
                <w:spacing w:val="-16"/>
                <w:sz w:val="20"/>
              </w:rPr>
              <w:t xml:space="preserve"> </w:t>
            </w:r>
            <w:r w:rsidR="00EC31E9">
              <w:rPr>
                <w:sz w:val="20"/>
              </w:rPr>
              <w:t>de</w:t>
            </w:r>
            <w:r w:rsidR="00EC31E9">
              <w:rPr>
                <w:spacing w:val="-16"/>
                <w:sz w:val="20"/>
              </w:rPr>
              <w:t xml:space="preserve"> </w:t>
            </w:r>
            <w:proofErr w:type="gramStart"/>
            <w:r w:rsidR="00EC31E9">
              <w:rPr>
                <w:sz w:val="20"/>
              </w:rPr>
              <w:t>auditorías,</w:t>
            </w:r>
            <w:proofErr w:type="gramEnd"/>
            <w:r w:rsidR="00EC31E9">
              <w:rPr>
                <w:spacing w:val="-18"/>
                <w:sz w:val="20"/>
              </w:rPr>
              <w:t xml:space="preserve"> </w:t>
            </w:r>
            <w:r w:rsidR="00EC31E9">
              <w:rPr>
                <w:sz w:val="20"/>
              </w:rPr>
              <w:t>deberán</w:t>
            </w:r>
            <w:r w:rsidR="00EC31E9">
              <w:rPr>
                <w:spacing w:val="-16"/>
                <w:sz w:val="20"/>
              </w:rPr>
              <w:t xml:space="preserve"> </w:t>
            </w:r>
            <w:r w:rsidR="00EC31E9">
              <w:rPr>
                <w:sz w:val="20"/>
              </w:rPr>
              <w:t>guardar</w:t>
            </w:r>
            <w:r w:rsidR="00EC31E9">
              <w:rPr>
                <w:spacing w:val="-14"/>
                <w:sz w:val="20"/>
              </w:rPr>
              <w:t xml:space="preserve"> </w:t>
            </w:r>
            <w:r w:rsidR="00EC31E9">
              <w:rPr>
                <w:sz w:val="20"/>
              </w:rPr>
              <w:t>estricta</w:t>
            </w:r>
            <w:r w:rsidR="00EC31E9">
              <w:rPr>
                <w:spacing w:val="-17"/>
                <w:sz w:val="20"/>
              </w:rPr>
              <w:t xml:space="preserve"> </w:t>
            </w:r>
            <w:r w:rsidR="00EC31E9">
              <w:rPr>
                <w:sz w:val="20"/>
              </w:rPr>
              <w:t>reserva</w:t>
            </w:r>
            <w:r w:rsidR="00EC31E9">
              <w:rPr>
                <w:spacing w:val="-16"/>
                <w:sz w:val="20"/>
              </w:rPr>
              <w:t xml:space="preserve"> </w:t>
            </w:r>
            <w:r w:rsidR="00EC31E9">
              <w:rPr>
                <w:sz w:val="20"/>
              </w:rPr>
              <w:t>sobre la información y documentos que conozcan con motivo de desempeño de sus facultades así como de sus actuaciones y</w:t>
            </w:r>
            <w:r w:rsidR="00EC31E9">
              <w:rPr>
                <w:spacing w:val="-6"/>
                <w:sz w:val="20"/>
              </w:rPr>
              <w:t xml:space="preserve"> </w:t>
            </w:r>
            <w:r w:rsidR="00EC31E9">
              <w:rPr>
                <w:sz w:val="20"/>
              </w:rPr>
              <w:t>observaciones.</w:t>
            </w:r>
          </w:p>
          <w:p w14:paraId="1C928897" w14:textId="77777777" w:rsidR="0016189A" w:rsidRDefault="00EC31E9">
            <w:pPr>
              <w:pStyle w:val="TableParagraph"/>
              <w:rPr>
                <w:sz w:val="20"/>
              </w:rPr>
            </w:pPr>
            <w:r>
              <w:rPr>
                <w:sz w:val="20"/>
              </w:rPr>
              <w:t>[…]</w:t>
            </w:r>
          </w:p>
          <w:p w14:paraId="3C8EC878" w14:textId="77777777" w:rsidR="0016189A" w:rsidRDefault="0016189A">
            <w:pPr>
              <w:pStyle w:val="TableParagraph"/>
              <w:spacing w:before="4"/>
              <w:ind w:left="0"/>
              <w:rPr>
                <w:rFonts w:ascii="Times New Roman"/>
                <w:sz w:val="21"/>
              </w:rPr>
            </w:pPr>
          </w:p>
          <w:p w14:paraId="4CAD8599" w14:textId="77777777" w:rsidR="0016189A" w:rsidRDefault="00781810">
            <w:pPr>
              <w:pStyle w:val="TableParagraph"/>
              <w:ind w:right="101"/>
              <w:jc w:val="both"/>
              <w:rPr>
                <w:sz w:val="20"/>
              </w:rPr>
            </w:pPr>
            <w:r w:rsidRPr="00781810">
              <w:rPr>
                <w:b/>
                <w:sz w:val="20"/>
              </w:rPr>
              <w:t xml:space="preserve">Artículo </w:t>
            </w:r>
            <w:r w:rsidR="00EC31E9">
              <w:rPr>
                <w:b/>
                <w:sz w:val="20"/>
              </w:rPr>
              <w:t xml:space="preserve">293.- </w:t>
            </w:r>
            <w:r w:rsidR="00EC31E9">
              <w:rPr>
                <w:sz w:val="20"/>
              </w:rPr>
              <w:t>Si transcurrido el plazo establecido por la Contraloría Interna, el órgano o área fiscalizada, sin causa justificada, no presenta el informe o documentos que se le soliciten, la Contraloría Interna procederá a fincar las responsabilidades que correspondan conforme a derecho.</w:t>
            </w:r>
          </w:p>
          <w:p w14:paraId="37EB2EE6" w14:textId="77777777" w:rsidR="0016189A" w:rsidRDefault="0016189A">
            <w:pPr>
              <w:pStyle w:val="TableParagraph"/>
              <w:spacing w:before="4"/>
              <w:ind w:left="0"/>
              <w:rPr>
                <w:rFonts w:ascii="Times New Roman"/>
                <w:sz w:val="21"/>
              </w:rPr>
            </w:pPr>
          </w:p>
          <w:p w14:paraId="5473121C" w14:textId="77777777" w:rsidR="0016189A" w:rsidRDefault="00EC31E9">
            <w:pPr>
              <w:pStyle w:val="TableParagraph"/>
              <w:ind w:right="109"/>
              <w:jc w:val="both"/>
              <w:rPr>
                <w:sz w:val="20"/>
              </w:rPr>
            </w:pPr>
            <w:r>
              <w:rPr>
                <w:sz w:val="20"/>
              </w:rPr>
              <w:t>El fincamiento de responsabilidades y la imposición de sanciones no relevarán al infractor de cumplir con las obligaciones o regularizar las situaciones que motivaron las multas.</w:t>
            </w:r>
          </w:p>
        </w:tc>
      </w:tr>
    </w:tbl>
    <w:p w14:paraId="274B128B" w14:textId="77777777" w:rsidR="0016189A" w:rsidRDefault="0016189A">
      <w:pPr>
        <w:jc w:val="both"/>
        <w:rPr>
          <w:sz w:val="20"/>
        </w:rPr>
        <w:sectPr w:rsidR="0016189A">
          <w:pgSz w:w="20160" w:h="12240" w:orient="landscape"/>
          <w:pgMar w:top="1120" w:right="1460" w:bottom="280" w:left="1460" w:header="885" w:footer="0" w:gutter="0"/>
          <w:cols w:space="720"/>
        </w:sectPr>
      </w:pPr>
    </w:p>
    <w:p w14:paraId="188E00D9" w14:textId="77777777" w:rsidR="0016189A" w:rsidRDefault="0016189A">
      <w:pPr>
        <w:pStyle w:val="Textoindependiente"/>
        <w:spacing w:before="10"/>
        <w:rPr>
          <w:rFonts w:ascii="Times New Roman"/>
          <w:b w:val="0"/>
          <w:i w:val="0"/>
          <w:sz w:val="27"/>
        </w:rPr>
      </w:pPr>
    </w:p>
    <w:tbl>
      <w:tblPr>
        <w:tblStyle w:val="TableNormal"/>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270"/>
        <w:gridCol w:w="2405"/>
        <w:gridCol w:w="3834"/>
        <w:gridCol w:w="9501"/>
      </w:tblGrid>
      <w:tr w:rsidR="0016189A" w14:paraId="6D77DDC8" w14:textId="77777777">
        <w:trPr>
          <w:trHeight w:val="479"/>
        </w:trPr>
        <w:tc>
          <w:tcPr>
            <w:tcW w:w="1270" w:type="dxa"/>
            <w:shd w:val="clear" w:color="auto" w:fill="76923B"/>
          </w:tcPr>
          <w:p w14:paraId="1AC35409" w14:textId="77777777" w:rsidR="0016189A" w:rsidRDefault="0016189A">
            <w:pPr>
              <w:pStyle w:val="TableParagraph"/>
              <w:ind w:left="0"/>
              <w:rPr>
                <w:rFonts w:ascii="Times New Roman"/>
                <w:sz w:val="18"/>
              </w:rPr>
            </w:pPr>
          </w:p>
        </w:tc>
        <w:tc>
          <w:tcPr>
            <w:tcW w:w="2405" w:type="dxa"/>
            <w:shd w:val="clear" w:color="auto" w:fill="76923B"/>
          </w:tcPr>
          <w:p w14:paraId="527B9C05" w14:textId="77777777" w:rsidR="0016189A" w:rsidRDefault="00EC31E9">
            <w:pPr>
              <w:pStyle w:val="TableParagraph"/>
              <w:spacing w:before="110"/>
              <w:ind w:left="806" w:right="800"/>
              <w:jc w:val="center"/>
              <w:rPr>
                <w:b/>
                <w:sz w:val="20"/>
              </w:rPr>
            </w:pPr>
            <w:r>
              <w:rPr>
                <w:b/>
                <w:color w:val="FFFFFF"/>
                <w:sz w:val="20"/>
              </w:rPr>
              <w:t>ESTADO</w:t>
            </w:r>
          </w:p>
        </w:tc>
        <w:tc>
          <w:tcPr>
            <w:tcW w:w="3834" w:type="dxa"/>
            <w:shd w:val="clear" w:color="auto" w:fill="76923B"/>
          </w:tcPr>
          <w:p w14:paraId="6B1D5D98" w14:textId="77777777" w:rsidR="0016189A" w:rsidRDefault="00EC31E9">
            <w:pPr>
              <w:pStyle w:val="TableParagraph"/>
              <w:spacing w:before="110"/>
              <w:ind w:left="1736" w:right="1731"/>
              <w:jc w:val="center"/>
              <w:rPr>
                <w:b/>
                <w:sz w:val="20"/>
              </w:rPr>
            </w:pPr>
            <w:r>
              <w:rPr>
                <w:b/>
                <w:color w:val="FFFFFF"/>
                <w:sz w:val="20"/>
              </w:rPr>
              <w:t>LEY</w:t>
            </w:r>
          </w:p>
        </w:tc>
        <w:tc>
          <w:tcPr>
            <w:tcW w:w="9501" w:type="dxa"/>
            <w:shd w:val="clear" w:color="auto" w:fill="76923B"/>
          </w:tcPr>
          <w:p w14:paraId="609C766B" w14:textId="77777777" w:rsidR="0016189A" w:rsidRDefault="00EC31E9">
            <w:pPr>
              <w:pStyle w:val="TableParagraph"/>
              <w:spacing w:before="110"/>
              <w:ind w:left="3365" w:right="3365"/>
              <w:jc w:val="center"/>
              <w:rPr>
                <w:b/>
                <w:sz w:val="20"/>
              </w:rPr>
            </w:pPr>
            <w:r>
              <w:rPr>
                <w:b/>
                <w:color w:val="FFFFFF"/>
                <w:sz w:val="20"/>
              </w:rPr>
              <w:t>ARTÍCULO (TRANSCRIPCIÓN)</w:t>
            </w:r>
          </w:p>
        </w:tc>
      </w:tr>
      <w:tr w:rsidR="00781810" w14:paraId="492F4A00" w14:textId="77777777" w:rsidTr="002E31D9">
        <w:trPr>
          <w:trHeight w:val="7593"/>
        </w:trPr>
        <w:tc>
          <w:tcPr>
            <w:tcW w:w="1270" w:type="dxa"/>
          </w:tcPr>
          <w:p w14:paraId="2A84259D" w14:textId="77777777" w:rsidR="00781810" w:rsidRDefault="00781810">
            <w:pPr>
              <w:pStyle w:val="TableParagraph"/>
              <w:ind w:left="0"/>
              <w:rPr>
                <w:rFonts w:ascii="Times New Roman"/>
                <w:sz w:val="18"/>
              </w:rPr>
            </w:pPr>
          </w:p>
        </w:tc>
        <w:tc>
          <w:tcPr>
            <w:tcW w:w="2405" w:type="dxa"/>
          </w:tcPr>
          <w:p w14:paraId="2AA3B780" w14:textId="77777777" w:rsidR="00781810" w:rsidRDefault="00781810">
            <w:pPr>
              <w:pStyle w:val="TableParagraph"/>
              <w:ind w:left="0"/>
              <w:rPr>
                <w:rFonts w:ascii="Times New Roman"/>
                <w:sz w:val="18"/>
              </w:rPr>
            </w:pPr>
          </w:p>
        </w:tc>
        <w:tc>
          <w:tcPr>
            <w:tcW w:w="3834" w:type="dxa"/>
          </w:tcPr>
          <w:p w14:paraId="65C37D91" w14:textId="77777777" w:rsidR="00781810" w:rsidRDefault="00781810">
            <w:pPr>
              <w:pStyle w:val="TableParagraph"/>
              <w:ind w:left="0"/>
              <w:rPr>
                <w:rFonts w:ascii="Times New Roman"/>
                <w:sz w:val="18"/>
              </w:rPr>
            </w:pPr>
          </w:p>
        </w:tc>
        <w:tc>
          <w:tcPr>
            <w:tcW w:w="9501" w:type="dxa"/>
          </w:tcPr>
          <w:p w14:paraId="17B51C3D" w14:textId="77777777" w:rsidR="00781810" w:rsidRDefault="00781810">
            <w:pPr>
              <w:pStyle w:val="TableParagraph"/>
              <w:spacing w:before="2" w:line="220" w:lineRule="exact"/>
              <w:rPr>
                <w:sz w:val="20"/>
              </w:rPr>
            </w:pPr>
            <w:r>
              <w:rPr>
                <w:sz w:val="20"/>
              </w:rPr>
              <w:t>La Contraloría Interna, además de imponer la sanción respectiva, requerirá al infractor para que</w:t>
            </w:r>
          </w:p>
          <w:p w14:paraId="1A090D9B" w14:textId="77777777" w:rsidR="00781810" w:rsidRDefault="00781810">
            <w:pPr>
              <w:pStyle w:val="TableParagraph"/>
              <w:spacing w:line="215" w:lineRule="exact"/>
              <w:rPr>
                <w:sz w:val="20"/>
              </w:rPr>
            </w:pPr>
            <w:r>
              <w:rPr>
                <w:sz w:val="20"/>
              </w:rPr>
              <w:t>dentro del plazo determinado, que nunca será mayor a cuarenta y cinco días, cumpla con la</w:t>
            </w:r>
          </w:p>
          <w:p w14:paraId="685BA4AF" w14:textId="77777777" w:rsidR="00781810" w:rsidRDefault="00781810">
            <w:pPr>
              <w:pStyle w:val="TableParagraph"/>
              <w:spacing w:line="216" w:lineRule="exact"/>
              <w:rPr>
                <w:sz w:val="20"/>
              </w:rPr>
            </w:pPr>
            <w:r>
              <w:rPr>
                <w:sz w:val="20"/>
              </w:rPr>
              <w:t>obligación omitida motivo de la sanción; y si aquél incumple, será sancionado.</w:t>
            </w:r>
          </w:p>
          <w:p w14:paraId="1EC9C251" w14:textId="77777777" w:rsidR="00781810" w:rsidRDefault="00781810">
            <w:pPr>
              <w:pStyle w:val="TableParagraph"/>
              <w:spacing w:line="241" w:lineRule="exact"/>
              <w:rPr>
                <w:sz w:val="20"/>
              </w:rPr>
            </w:pPr>
            <w:r>
              <w:rPr>
                <w:sz w:val="20"/>
              </w:rPr>
              <w:t>[…]</w:t>
            </w:r>
          </w:p>
          <w:p w14:paraId="3D3050C1" w14:textId="77777777" w:rsidR="00781810" w:rsidRDefault="00781810">
            <w:pPr>
              <w:pStyle w:val="TableParagraph"/>
              <w:spacing w:before="117" w:line="220" w:lineRule="exact"/>
              <w:rPr>
                <w:sz w:val="20"/>
              </w:rPr>
            </w:pPr>
            <w:r>
              <w:rPr>
                <w:b/>
                <w:sz w:val="20"/>
              </w:rPr>
              <w:t xml:space="preserve">Artículo 367.- </w:t>
            </w:r>
            <w:r>
              <w:rPr>
                <w:sz w:val="20"/>
              </w:rPr>
              <w:t>Son obligaciones de los candidatos independientes:</w:t>
            </w:r>
          </w:p>
          <w:p w14:paraId="0196BFDA" w14:textId="77777777" w:rsidR="00781810" w:rsidRDefault="00781810">
            <w:pPr>
              <w:pStyle w:val="TableParagraph"/>
              <w:spacing w:line="240" w:lineRule="exact"/>
              <w:rPr>
                <w:sz w:val="20"/>
              </w:rPr>
            </w:pPr>
            <w:r>
              <w:rPr>
                <w:sz w:val="20"/>
              </w:rPr>
              <w:t>[…]</w:t>
            </w:r>
          </w:p>
          <w:p w14:paraId="0F4AC978" w14:textId="77777777" w:rsidR="00781810" w:rsidRDefault="00781810" w:rsidP="00CB18C1">
            <w:pPr>
              <w:pStyle w:val="TableParagraph"/>
              <w:spacing w:before="118" w:line="220" w:lineRule="exact"/>
              <w:rPr>
                <w:sz w:val="20"/>
              </w:rPr>
            </w:pPr>
            <w:r>
              <w:rPr>
                <w:sz w:val="20"/>
              </w:rPr>
              <w:t>II. Ser responsables, junto con el Tesorero, dentro de los procedimientos de fiscalización de los</w:t>
            </w:r>
            <w:r w:rsidR="00CB18C1">
              <w:rPr>
                <w:sz w:val="20"/>
              </w:rPr>
              <w:t xml:space="preserve"> </w:t>
            </w:r>
            <w:r>
              <w:rPr>
                <w:sz w:val="20"/>
              </w:rPr>
              <w:t xml:space="preserve">recursos utilizados en la campaña electoral, hasta la total conclusión de </w:t>
            </w:r>
            <w:proofErr w:type="gramStart"/>
            <w:r>
              <w:rPr>
                <w:sz w:val="20"/>
              </w:rPr>
              <w:t>los mismos</w:t>
            </w:r>
            <w:proofErr w:type="gramEnd"/>
            <w:r>
              <w:rPr>
                <w:sz w:val="20"/>
              </w:rPr>
              <w:t>;</w:t>
            </w:r>
          </w:p>
          <w:p w14:paraId="431FA7B5" w14:textId="77777777" w:rsidR="00CB18C1" w:rsidRDefault="00781810" w:rsidP="00CB18C1">
            <w:pPr>
              <w:pStyle w:val="TableParagraph"/>
              <w:spacing w:line="240" w:lineRule="exact"/>
              <w:rPr>
                <w:sz w:val="20"/>
              </w:rPr>
            </w:pPr>
            <w:r>
              <w:rPr>
                <w:sz w:val="20"/>
              </w:rPr>
              <w:t>[…]</w:t>
            </w:r>
            <w:r w:rsidR="00CB18C1">
              <w:rPr>
                <w:sz w:val="20"/>
              </w:rPr>
              <w:t xml:space="preserve"> </w:t>
            </w:r>
          </w:p>
          <w:p w14:paraId="3071A90D" w14:textId="77777777" w:rsidR="00781810" w:rsidRDefault="00781810" w:rsidP="00CB18C1">
            <w:pPr>
              <w:pStyle w:val="TableParagraph"/>
              <w:spacing w:line="240" w:lineRule="exact"/>
              <w:rPr>
                <w:sz w:val="20"/>
              </w:rPr>
            </w:pPr>
            <w:r>
              <w:rPr>
                <w:sz w:val="20"/>
              </w:rPr>
              <w:t>VII. Permitir la práctica de auditorías y verificaciones a que se refiere este Código, así como</w:t>
            </w:r>
            <w:r w:rsidR="00CB18C1">
              <w:rPr>
                <w:sz w:val="20"/>
              </w:rPr>
              <w:t xml:space="preserve"> </w:t>
            </w:r>
            <w:r>
              <w:rPr>
                <w:sz w:val="20"/>
              </w:rPr>
              <w:t>entregar la documentación que la Contraloría Interna le solicite respecto a sus ingresos y</w:t>
            </w:r>
          </w:p>
          <w:p w14:paraId="136F353C" w14:textId="77777777" w:rsidR="00781810" w:rsidRDefault="00781810">
            <w:pPr>
              <w:pStyle w:val="TableParagraph"/>
              <w:spacing w:line="216" w:lineRule="exact"/>
              <w:rPr>
                <w:sz w:val="20"/>
              </w:rPr>
            </w:pPr>
            <w:r>
              <w:rPr>
                <w:sz w:val="20"/>
              </w:rPr>
              <w:t>egresos, lo anterior en el caso que el INE delegue esta función al Instituto;</w:t>
            </w:r>
          </w:p>
          <w:p w14:paraId="2C5A0CA6" w14:textId="77777777" w:rsidR="00781810" w:rsidRDefault="00781810">
            <w:pPr>
              <w:pStyle w:val="TableParagraph"/>
              <w:spacing w:line="240" w:lineRule="exact"/>
              <w:rPr>
                <w:sz w:val="20"/>
              </w:rPr>
            </w:pPr>
            <w:r>
              <w:rPr>
                <w:sz w:val="20"/>
              </w:rPr>
              <w:t>[…]</w:t>
            </w:r>
          </w:p>
          <w:p w14:paraId="15A40B95" w14:textId="77777777" w:rsidR="00781810" w:rsidRDefault="00781810">
            <w:pPr>
              <w:pStyle w:val="TableParagraph"/>
              <w:spacing w:before="117"/>
              <w:rPr>
                <w:sz w:val="20"/>
              </w:rPr>
            </w:pPr>
            <w:r>
              <w:rPr>
                <w:b/>
                <w:sz w:val="20"/>
              </w:rPr>
              <w:t>Artículo 395.</w:t>
            </w:r>
            <w:proofErr w:type="gramStart"/>
            <w:r>
              <w:rPr>
                <w:b/>
                <w:sz w:val="20"/>
              </w:rPr>
              <w:t>-</w:t>
            </w:r>
            <w:r>
              <w:rPr>
                <w:sz w:val="20"/>
              </w:rPr>
              <w:t>[</w:t>
            </w:r>
            <w:proofErr w:type="gramEnd"/>
            <w:r>
              <w:rPr>
                <w:sz w:val="20"/>
              </w:rPr>
              <w:t>…]</w:t>
            </w:r>
          </w:p>
          <w:p w14:paraId="515D0D59" w14:textId="77777777" w:rsidR="00781810" w:rsidRDefault="00781810">
            <w:pPr>
              <w:pStyle w:val="TableParagraph"/>
              <w:spacing w:before="117" w:line="222" w:lineRule="exact"/>
              <w:rPr>
                <w:sz w:val="20"/>
              </w:rPr>
            </w:pPr>
            <w:r>
              <w:rPr>
                <w:sz w:val="20"/>
              </w:rPr>
              <w:t>Los comprobantes que amparen los egresos que realicen los candidatos independientes,</w:t>
            </w:r>
          </w:p>
          <w:p w14:paraId="79D5EE57" w14:textId="77777777" w:rsidR="00781810" w:rsidRDefault="00781810">
            <w:pPr>
              <w:pStyle w:val="TableParagraph"/>
              <w:spacing w:line="216" w:lineRule="exact"/>
              <w:rPr>
                <w:sz w:val="20"/>
              </w:rPr>
            </w:pPr>
            <w:r>
              <w:rPr>
                <w:sz w:val="20"/>
              </w:rPr>
              <w:t>deberán</w:t>
            </w:r>
            <w:r>
              <w:rPr>
                <w:spacing w:val="-13"/>
                <w:sz w:val="20"/>
              </w:rPr>
              <w:t xml:space="preserve"> </w:t>
            </w:r>
            <w:r>
              <w:rPr>
                <w:sz w:val="20"/>
              </w:rPr>
              <w:t>ser</w:t>
            </w:r>
            <w:r>
              <w:rPr>
                <w:spacing w:val="-13"/>
                <w:sz w:val="20"/>
              </w:rPr>
              <w:t xml:space="preserve"> </w:t>
            </w:r>
            <w:r>
              <w:rPr>
                <w:sz w:val="20"/>
              </w:rPr>
              <w:t>expedidos</w:t>
            </w:r>
            <w:r>
              <w:rPr>
                <w:spacing w:val="-11"/>
                <w:sz w:val="20"/>
              </w:rPr>
              <w:t xml:space="preserve"> </w:t>
            </w:r>
            <w:r>
              <w:rPr>
                <w:sz w:val="20"/>
              </w:rPr>
              <w:t>a</w:t>
            </w:r>
            <w:r>
              <w:rPr>
                <w:spacing w:val="-9"/>
                <w:sz w:val="20"/>
              </w:rPr>
              <w:t xml:space="preserve"> </w:t>
            </w:r>
            <w:r>
              <w:rPr>
                <w:sz w:val="20"/>
              </w:rPr>
              <w:t>su</w:t>
            </w:r>
            <w:r>
              <w:rPr>
                <w:spacing w:val="-12"/>
                <w:sz w:val="20"/>
              </w:rPr>
              <w:t xml:space="preserve"> </w:t>
            </w:r>
            <w:r>
              <w:rPr>
                <w:sz w:val="20"/>
              </w:rPr>
              <w:t>nombre</w:t>
            </w:r>
            <w:r>
              <w:rPr>
                <w:spacing w:val="-11"/>
                <w:sz w:val="20"/>
              </w:rPr>
              <w:t xml:space="preserve"> </w:t>
            </w:r>
            <w:r>
              <w:rPr>
                <w:sz w:val="20"/>
              </w:rPr>
              <w:t>y</w:t>
            </w:r>
            <w:r>
              <w:rPr>
                <w:spacing w:val="-11"/>
                <w:sz w:val="20"/>
              </w:rPr>
              <w:t xml:space="preserve"> </w:t>
            </w:r>
            <w:r>
              <w:rPr>
                <w:sz w:val="20"/>
              </w:rPr>
              <w:t>constar</w:t>
            </w:r>
            <w:r>
              <w:rPr>
                <w:spacing w:val="-12"/>
                <w:sz w:val="20"/>
              </w:rPr>
              <w:t xml:space="preserve"> </w:t>
            </w:r>
            <w:r>
              <w:rPr>
                <w:sz w:val="20"/>
              </w:rPr>
              <w:t>en</w:t>
            </w:r>
            <w:r>
              <w:rPr>
                <w:spacing w:val="-9"/>
                <w:sz w:val="20"/>
              </w:rPr>
              <w:t xml:space="preserve"> </w:t>
            </w:r>
            <w:r>
              <w:rPr>
                <w:sz w:val="20"/>
              </w:rPr>
              <w:t>original</w:t>
            </w:r>
            <w:r>
              <w:rPr>
                <w:spacing w:val="-11"/>
                <w:sz w:val="20"/>
              </w:rPr>
              <w:t xml:space="preserve"> </w:t>
            </w:r>
            <w:r>
              <w:rPr>
                <w:sz w:val="20"/>
              </w:rPr>
              <w:t>como</w:t>
            </w:r>
            <w:r>
              <w:rPr>
                <w:spacing w:val="-10"/>
                <w:sz w:val="20"/>
              </w:rPr>
              <w:t xml:space="preserve"> </w:t>
            </w:r>
            <w:r>
              <w:rPr>
                <w:sz w:val="20"/>
              </w:rPr>
              <w:t>soporte</w:t>
            </w:r>
            <w:r>
              <w:rPr>
                <w:spacing w:val="-13"/>
                <w:sz w:val="20"/>
              </w:rPr>
              <w:t xml:space="preserve"> </w:t>
            </w:r>
            <w:r>
              <w:rPr>
                <w:sz w:val="20"/>
              </w:rPr>
              <w:t>a</w:t>
            </w:r>
            <w:r>
              <w:rPr>
                <w:spacing w:val="-12"/>
                <w:sz w:val="20"/>
              </w:rPr>
              <w:t xml:space="preserve"> </w:t>
            </w:r>
            <w:r>
              <w:rPr>
                <w:sz w:val="20"/>
              </w:rPr>
              <w:t>los</w:t>
            </w:r>
            <w:r>
              <w:rPr>
                <w:spacing w:val="-13"/>
                <w:sz w:val="20"/>
              </w:rPr>
              <w:t xml:space="preserve"> </w:t>
            </w:r>
            <w:r>
              <w:rPr>
                <w:sz w:val="20"/>
              </w:rPr>
              <w:t>informes</w:t>
            </w:r>
            <w:r>
              <w:rPr>
                <w:spacing w:val="-10"/>
                <w:sz w:val="20"/>
              </w:rPr>
              <w:t xml:space="preserve"> </w:t>
            </w:r>
            <w:r>
              <w:rPr>
                <w:sz w:val="20"/>
              </w:rPr>
              <w:t>financieros</w:t>
            </w:r>
          </w:p>
          <w:p w14:paraId="1F2565BC" w14:textId="77777777" w:rsidR="00781810" w:rsidRDefault="00781810">
            <w:pPr>
              <w:pStyle w:val="TableParagraph"/>
              <w:spacing w:line="215" w:lineRule="exact"/>
              <w:rPr>
                <w:sz w:val="20"/>
              </w:rPr>
            </w:pPr>
            <w:r>
              <w:rPr>
                <w:sz w:val="20"/>
              </w:rPr>
              <w:t>de las campañas electorales, los cuales estarán a disposición de la unidad de Fiscalización del</w:t>
            </w:r>
          </w:p>
          <w:p w14:paraId="78BCA6F3" w14:textId="77777777" w:rsidR="00781810" w:rsidRDefault="00781810">
            <w:pPr>
              <w:pStyle w:val="TableParagraph"/>
              <w:spacing w:line="215" w:lineRule="exact"/>
              <w:rPr>
                <w:sz w:val="20"/>
              </w:rPr>
            </w:pPr>
            <w:r>
              <w:rPr>
                <w:sz w:val="20"/>
              </w:rPr>
              <w:t>INE</w:t>
            </w:r>
            <w:r>
              <w:rPr>
                <w:spacing w:val="-14"/>
                <w:sz w:val="20"/>
              </w:rPr>
              <w:t xml:space="preserve"> </w:t>
            </w:r>
            <w:r>
              <w:rPr>
                <w:sz w:val="20"/>
              </w:rPr>
              <w:t>o</w:t>
            </w:r>
            <w:r>
              <w:rPr>
                <w:spacing w:val="-15"/>
                <w:sz w:val="20"/>
              </w:rPr>
              <w:t xml:space="preserve"> </w:t>
            </w:r>
            <w:r>
              <w:rPr>
                <w:sz w:val="20"/>
              </w:rPr>
              <w:t>en</w:t>
            </w:r>
            <w:r>
              <w:rPr>
                <w:spacing w:val="-14"/>
                <w:sz w:val="20"/>
              </w:rPr>
              <w:t xml:space="preserve"> </w:t>
            </w:r>
            <w:r>
              <w:rPr>
                <w:sz w:val="20"/>
              </w:rPr>
              <w:t>su</w:t>
            </w:r>
            <w:r>
              <w:rPr>
                <w:spacing w:val="-13"/>
                <w:sz w:val="20"/>
              </w:rPr>
              <w:t xml:space="preserve"> </w:t>
            </w:r>
            <w:r>
              <w:rPr>
                <w:sz w:val="20"/>
              </w:rPr>
              <w:t>caso</w:t>
            </w:r>
            <w:r>
              <w:rPr>
                <w:spacing w:val="-14"/>
                <w:sz w:val="20"/>
              </w:rPr>
              <w:t xml:space="preserve"> </w:t>
            </w:r>
            <w:r>
              <w:rPr>
                <w:sz w:val="20"/>
              </w:rPr>
              <w:t>a</w:t>
            </w:r>
            <w:r>
              <w:rPr>
                <w:spacing w:val="-14"/>
                <w:sz w:val="20"/>
              </w:rPr>
              <w:t xml:space="preserve"> </w:t>
            </w:r>
            <w:r>
              <w:rPr>
                <w:sz w:val="20"/>
              </w:rPr>
              <w:t>la</w:t>
            </w:r>
            <w:r>
              <w:rPr>
                <w:spacing w:val="-11"/>
                <w:sz w:val="20"/>
              </w:rPr>
              <w:t xml:space="preserve"> </w:t>
            </w:r>
            <w:r>
              <w:rPr>
                <w:sz w:val="20"/>
              </w:rPr>
              <w:t>Contraloría</w:t>
            </w:r>
            <w:r>
              <w:rPr>
                <w:spacing w:val="-16"/>
                <w:sz w:val="20"/>
              </w:rPr>
              <w:t xml:space="preserve"> </w:t>
            </w:r>
            <w:r>
              <w:rPr>
                <w:sz w:val="20"/>
              </w:rPr>
              <w:t>Interna.</w:t>
            </w:r>
            <w:r>
              <w:rPr>
                <w:spacing w:val="-17"/>
                <w:sz w:val="20"/>
              </w:rPr>
              <w:t xml:space="preserve"> </w:t>
            </w:r>
            <w:r>
              <w:rPr>
                <w:sz w:val="20"/>
              </w:rPr>
              <w:t>Dicha</w:t>
            </w:r>
            <w:r>
              <w:rPr>
                <w:spacing w:val="-13"/>
                <w:sz w:val="20"/>
              </w:rPr>
              <w:t xml:space="preserve"> </w:t>
            </w:r>
            <w:r>
              <w:rPr>
                <w:sz w:val="20"/>
              </w:rPr>
              <w:t>documentación</w:t>
            </w:r>
            <w:r>
              <w:rPr>
                <w:spacing w:val="-14"/>
                <w:sz w:val="20"/>
              </w:rPr>
              <w:t xml:space="preserve"> </w:t>
            </w:r>
            <w:r>
              <w:rPr>
                <w:sz w:val="20"/>
              </w:rPr>
              <w:t>deberá</w:t>
            </w:r>
            <w:r>
              <w:rPr>
                <w:spacing w:val="-14"/>
                <w:sz w:val="20"/>
              </w:rPr>
              <w:t xml:space="preserve"> </w:t>
            </w:r>
            <w:r>
              <w:rPr>
                <w:sz w:val="20"/>
              </w:rPr>
              <w:t>cumplir</w:t>
            </w:r>
            <w:r>
              <w:rPr>
                <w:spacing w:val="-15"/>
                <w:sz w:val="20"/>
              </w:rPr>
              <w:t xml:space="preserve"> </w:t>
            </w:r>
            <w:r>
              <w:rPr>
                <w:sz w:val="20"/>
              </w:rPr>
              <w:t>con</w:t>
            </w:r>
            <w:r>
              <w:rPr>
                <w:spacing w:val="-13"/>
                <w:sz w:val="20"/>
              </w:rPr>
              <w:t xml:space="preserve"> </w:t>
            </w:r>
            <w:r>
              <w:rPr>
                <w:sz w:val="20"/>
              </w:rPr>
              <w:t>los</w:t>
            </w:r>
            <w:r>
              <w:rPr>
                <w:spacing w:val="-13"/>
                <w:sz w:val="20"/>
              </w:rPr>
              <w:t xml:space="preserve"> </w:t>
            </w:r>
            <w:r>
              <w:rPr>
                <w:sz w:val="20"/>
              </w:rPr>
              <w:t>requisitos</w:t>
            </w:r>
          </w:p>
          <w:p w14:paraId="785DA751" w14:textId="77777777" w:rsidR="00781810" w:rsidRDefault="00781810">
            <w:pPr>
              <w:pStyle w:val="TableParagraph"/>
              <w:spacing w:line="215" w:lineRule="exact"/>
              <w:rPr>
                <w:sz w:val="20"/>
              </w:rPr>
            </w:pPr>
            <w:r>
              <w:rPr>
                <w:sz w:val="20"/>
              </w:rPr>
              <w:t>que exigen las disposiciones fiscales aplicables, así como las establecidas por el Reglamento de</w:t>
            </w:r>
          </w:p>
          <w:p w14:paraId="3BE8D61F" w14:textId="77777777" w:rsidR="00781810" w:rsidRDefault="00781810">
            <w:pPr>
              <w:pStyle w:val="TableParagraph"/>
              <w:spacing w:line="240" w:lineRule="exact"/>
              <w:rPr>
                <w:sz w:val="20"/>
              </w:rPr>
            </w:pPr>
            <w:r>
              <w:rPr>
                <w:sz w:val="20"/>
              </w:rPr>
              <w:t>Fiscalización de la Unidad de Fiscalización del INE o en su caso de la Contraloría Interna.</w:t>
            </w:r>
          </w:p>
          <w:p w14:paraId="6E6B3B4D" w14:textId="77777777" w:rsidR="00781810" w:rsidRDefault="00781810">
            <w:pPr>
              <w:pStyle w:val="TableParagraph"/>
              <w:spacing w:before="118" w:line="220" w:lineRule="exact"/>
              <w:rPr>
                <w:sz w:val="20"/>
              </w:rPr>
            </w:pPr>
            <w:r>
              <w:rPr>
                <w:b/>
                <w:sz w:val="20"/>
              </w:rPr>
              <w:t>Artículo</w:t>
            </w:r>
            <w:r>
              <w:rPr>
                <w:b/>
                <w:spacing w:val="-11"/>
                <w:sz w:val="20"/>
              </w:rPr>
              <w:t xml:space="preserve"> </w:t>
            </w:r>
            <w:r>
              <w:rPr>
                <w:b/>
                <w:sz w:val="20"/>
              </w:rPr>
              <w:t>396.-</w:t>
            </w:r>
            <w:r>
              <w:rPr>
                <w:b/>
                <w:spacing w:val="-10"/>
                <w:sz w:val="20"/>
              </w:rPr>
              <w:t xml:space="preserve"> </w:t>
            </w:r>
            <w:r>
              <w:rPr>
                <w:sz w:val="20"/>
              </w:rPr>
              <w:t>Los</w:t>
            </w:r>
            <w:r>
              <w:rPr>
                <w:spacing w:val="-10"/>
                <w:sz w:val="20"/>
              </w:rPr>
              <w:t xml:space="preserve"> </w:t>
            </w:r>
            <w:r>
              <w:rPr>
                <w:sz w:val="20"/>
              </w:rPr>
              <w:t>candidatos</w:t>
            </w:r>
            <w:r>
              <w:rPr>
                <w:spacing w:val="-14"/>
                <w:sz w:val="20"/>
              </w:rPr>
              <w:t xml:space="preserve"> </w:t>
            </w:r>
            <w:r>
              <w:rPr>
                <w:sz w:val="20"/>
              </w:rPr>
              <w:t>independientes</w:t>
            </w:r>
            <w:r>
              <w:rPr>
                <w:spacing w:val="-13"/>
                <w:sz w:val="20"/>
              </w:rPr>
              <w:t xml:space="preserve"> </w:t>
            </w:r>
            <w:r>
              <w:rPr>
                <w:sz w:val="20"/>
              </w:rPr>
              <w:t>deberán</w:t>
            </w:r>
            <w:r>
              <w:rPr>
                <w:spacing w:val="-12"/>
                <w:sz w:val="20"/>
              </w:rPr>
              <w:t xml:space="preserve"> </w:t>
            </w:r>
            <w:r>
              <w:rPr>
                <w:sz w:val="20"/>
              </w:rPr>
              <w:t>presentar</w:t>
            </w:r>
            <w:r>
              <w:rPr>
                <w:spacing w:val="-12"/>
                <w:sz w:val="20"/>
              </w:rPr>
              <w:t xml:space="preserve"> </w:t>
            </w:r>
            <w:r>
              <w:rPr>
                <w:sz w:val="20"/>
              </w:rPr>
              <w:t>ante</w:t>
            </w:r>
            <w:r>
              <w:rPr>
                <w:spacing w:val="-12"/>
                <w:sz w:val="20"/>
              </w:rPr>
              <w:t xml:space="preserve"> </w:t>
            </w:r>
            <w:r>
              <w:rPr>
                <w:sz w:val="20"/>
              </w:rPr>
              <w:t>el</w:t>
            </w:r>
            <w:r>
              <w:rPr>
                <w:spacing w:val="-11"/>
                <w:sz w:val="20"/>
              </w:rPr>
              <w:t xml:space="preserve"> </w:t>
            </w:r>
            <w:r>
              <w:rPr>
                <w:sz w:val="20"/>
              </w:rPr>
              <w:t>INE</w:t>
            </w:r>
            <w:r>
              <w:rPr>
                <w:spacing w:val="-13"/>
                <w:sz w:val="20"/>
              </w:rPr>
              <w:t xml:space="preserve"> </w:t>
            </w:r>
            <w:r>
              <w:rPr>
                <w:sz w:val="20"/>
              </w:rPr>
              <w:t>o</w:t>
            </w:r>
            <w:r>
              <w:rPr>
                <w:spacing w:val="-11"/>
                <w:sz w:val="20"/>
              </w:rPr>
              <w:t xml:space="preserve"> </w:t>
            </w:r>
            <w:r>
              <w:rPr>
                <w:sz w:val="20"/>
              </w:rPr>
              <w:t>en</w:t>
            </w:r>
            <w:r>
              <w:rPr>
                <w:spacing w:val="-9"/>
                <w:sz w:val="20"/>
              </w:rPr>
              <w:t xml:space="preserve"> </w:t>
            </w:r>
            <w:r>
              <w:rPr>
                <w:sz w:val="20"/>
              </w:rPr>
              <w:t>su</w:t>
            </w:r>
            <w:r>
              <w:rPr>
                <w:spacing w:val="-12"/>
                <w:sz w:val="20"/>
              </w:rPr>
              <w:t xml:space="preserve"> </w:t>
            </w:r>
            <w:r>
              <w:rPr>
                <w:sz w:val="20"/>
              </w:rPr>
              <w:t>caso,</w:t>
            </w:r>
            <w:r>
              <w:rPr>
                <w:spacing w:val="-15"/>
                <w:sz w:val="20"/>
              </w:rPr>
              <w:t xml:space="preserve"> </w:t>
            </w:r>
            <w:r>
              <w:rPr>
                <w:sz w:val="20"/>
              </w:rPr>
              <w:t>ante</w:t>
            </w:r>
          </w:p>
          <w:p w14:paraId="22CEE339" w14:textId="77777777" w:rsidR="00781810" w:rsidRDefault="00781810">
            <w:pPr>
              <w:pStyle w:val="TableParagraph"/>
              <w:spacing w:line="215" w:lineRule="exact"/>
              <w:rPr>
                <w:sz w:val="20"/>
              </w:rPr>
            </w:pPr>
            <w:r>
              <w:rPr>
                <w:sz w:val="20"/>
              </w:rPr>
              <w:t>la Contraloría Interna, los informes del origen y monto de los ingresos que reciban por cualquier</w:t>
            </w:r>
          </w:p>
          <w:p w14:paraId="75EFCB0F" w14:textId="77777777" w:rsidR="00781810" w:rsidRDefault="00781810" w:rsidP="00CB18C1">
            <w:pPr>
              <w:pStyle w:val="TableParagraph"/>
              <w:spacing w:line="215" w:lineRule="exact"/>
              <w:jc w:val="both"/>
              <w:rPr>
                <w:sz w:val="20"/>
              </w:rPr>
            </w:pPr>
            <w:r>
              <w:rPr>
                <w:sz w:val="20"/>
              </w:rPr>
              <w:t>modalidad de financiamiento para el gasto de campaña, así como su empleo y aplicación,</w:t>
            </w:r>
          </w:p>
          <w:p w14:paraId="0B4DF7FD" w14:textId="77777777" w:rsidR="00781810" w:rsidRDefault="00781810" w:rsidP="002E31D9">
            <w:pPr>
              <w:pStyle w:val="TableParagraph"/>
              <w:spacing w:line="240" w:lineRule="exact"/>
              <w:rPr>
                <w:sz w:val="20"/>
              </w:rPr>
            </w:pPr>
            <w:r>
              <w:rPr>
                <w:sz w:val="20"/>
              </w:rPr>
              <w:t>atendiendo a las reglas establecidas en el artículo 79 de la LGPP.</w:t>
            </w:r>
          </w:p>
        </w:tc>
      </w:tr>
    </w:tbl>
    <w:p w14:paraId="3636B878" w14:textId="77777777" w:rsidR="0016189A" w:rsidRDefault="0016189A">
      <w:pPr>
        <w:spacing w:line="240" w:lineRule="exact"/>
        <w:rPr>
          <w:sz w:val="20"/>
        </w:rPr>
        <w:sectPr w:rsidR="0016189A">
          <w:pgSz w:w="20160" w:h="12240" w:orient="landscape"/>
          <w:pgMar w:top="1120" w:right="1460" w:bottom="280" w:left="1460" w:header="885" w:footer="0" w:gutter="0"/>
          <w:cols w:space="720"/>
        </w:sectPr>
      </w:pPr>
    </w:p>
    <w:p w14:paraId="35B05D49" w14:textId="77777777" w:rsidR="0016189A" w:rsidRDefault="0016189A">
      <w:pPr>
        <w:pStyle w:val="Textoindependiente"/>
        <w:spacing w:before="10"/>
        <w:rPr>
          <w:rFonts w:ascii="Times New Roman"/>
          <w:b w:val="0"/>
          <w:i w:val="0"/>
          <w:sz w:val="27"/>
        </w:rPr>
      </w:pPr>
    </w:p>
    <w:tbl>
      <w:tblPr>
        <w:tblStyle w:val="TableNormal"/>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270"/>
        <w:gridCol w:w="2405"/>
        <w:gridCol w:w="3834"/>
        <w:gridCol w:w="9501"/>
      </w:tblGrid>
      <w:tr w:rsidR="0016189A" w14:paraId="29F6267F" w14:textId="77777777">
        <w:trPr>
          <w:trHeight w:val="479"/>
        </w:trPr>
        <w:tc>
          <w:tcPr>
            <w:tcW w:w="1270" w:type="dxa"/>
            <w:shd w:val="clear" w:color="auto" w:fill="76923B"/>
          </w:tcPr>
          <w:p w14:paraId="49F78A24" w14:textId="77777777" w:rsidR="0016189A" w:rsidRDefault="0016189A">
            <w:pPr>
              <w:pStyle w:val="TableParagraph"/>
              <w:ind w:left="0"/>
              <w:rPr>
                <w:rFonts w:ascii="Times New Roman"/>
                <w:sz w:val="18"/>
              </w:rPr>
            </w:pPr>
          </w:p>
        </w:tc>
        <w:tc>
          <w:tcPr>
            <w:tcW w:w="2405" w:type="dxa"/>
            <w:shd w:val="clear" w:color="auto" w:fill="76923B"/>
          </w:tcPr>
          <w:p w14:paraId="387B7200" w14:textId="77777777" w:rsidR="0016189A" w:rsidRDefault="00EC31E9">
            <w:pPr>
              <w:pStyle w:val="TableParagraph"/>
              <w:spacing w:before="110"/>
              <w:ind w:left="806" w:right="800"/>
              <w:jc w:val="center"/>
              <w:rPr>
                <w:b/>
                <w:sz w:val="20"/>
              </w:rPr>
            </w:pPr>
            <w:r>
              <w:rPr>
                <w:b/>
                <w:color w:val="FFFFFF"/>
                <w:sz w:val="20"/>
              </w:rPr>
              <w:t>ESTADO</w:t>
            </w:r>
          </w:p>
        </w:tc>
        <w:tc>
          <w:tcPr>
            <w:tcW w:w="3834" w:type="dxa"/>
            <w:shd w:val="clear" w:color="auto" w:fill="76923B"/>
          </w:tcPr>
          <w:p w14:paraId="72D14B8E" w14:textId="77777777" w:rsidR="0016189A" w:rsidRDefault="00EC31E9">
            <w:pPr>
              <w:pStyle w:val="TableParagraph"/>
              <w:spacing w:before="110"/>
              <w:ind w:left="1736" w:right="1731"/>
              <w:jc w:val="center"/>
              <w:rPr>
                <w:b/>
                <w:sz w:val="20"/>
              </w:rPr>
            </w:pPr>
            <w:r>
              <w:rPr>
                <w:b/>
                <w:color w:val="FFFFFF"/>
                <w:sz w:val="20"/>
              </w:rPr>
              <w:t>LEY</w:t>
            </w:r>
          </w:p>
        </w:tc>
        <w:tc>
          <w:tcPr>
            <w:tcW w:w="9501" w:type="dxa"/>
            <w:shd w:val="clear" w:color="auto" w:fill="76923B"/>
          </w:tcPr>
          <w:p w14:paraId="624C7374" w14:textId="77777777" w:rsidR="0016189A" w:rsidRDefault="00EC31E9">
            <w:pPr>
              <w:pStyle w:val="TableParagraph"/>
              <w:spacing w:before="110"/>
              <w:ind w:left="3365" w:right="3365"/>
              <w:jc w:val="center"/>
              <w:rPr>
                <w:b/>
                <w:sz w:val="20"/>
              </w:rPr>
            </w:pPr>
            <w:r>
              <w:rPr>
                <w:b/>
                <w:color w:val="FFFFFF"/>
                <w:sz w:val="20"/>
              </w:rPr>
              <w:t>ARTÍCULO (TRANSCRIPCIÓN)</w:t>
            </w:r>
          </w:p>
        </w:tc>
      </w:tr>
      <w:tr w:rsidR="0016189A" w14:paraId="6E8AE873" w14:textId="77777777">
        <w:trPr>
          <w:trHeight w:val="1963"/>
        </w:trPr>
        <w:tc>
          <w:tcPr>
            <w:tcW w:w="1270" w:type="dxa"/>
          </w:tcPr>
          <w:p w14:paraId="632FAB8E" w14:textId="77777777" w:rsidR="0016189A" w:rsidRDefault="0016189A">
            <w:pPr>
              <w:pStyle w:val="TableParagraph"/>
              <w:ind w:left="0"/>
              <w:rPr>
                <w:rFonts w:ascii="Times New Roman"/>
                <w:sz w:val="18"/>
              </w:rPr>
            </w:pPr>
          </w:p>
        </w:tc>
        <w:tc>
          <w:tcPr>
            <w:tcW w:w="2405" w:type="dxa"/>
          </w:tcPr>
          <w:p w14:paraId="36D54320" w14:textId="77777777" w:rsidR="0016189A" w:rsidRDefault="0016189A">
            <w:pPr>
              <w:pStyle w:val="TableParagraph"/>
              <w:ind w:left="0"/>
              <w:rPr>
                <w:rFonts w:ascii="Times New Roman"/>
                <w:sz w:val="18"/>
              </w:rPr>
            </w:pPr>
          </w:p>
        </w:tc>
        <w:tc>
          <w:tcPr>
            <w:tcW w:w="3834" w:type="dxa"/>
          </w:tcPr>
          <w:p w14:paraId="2E7CE29D" w14:textId="77777777" w:rsidR="0016189A" w:rsidRDefault="0016189A">
            <w:pPr>
              <w:pStyle w:val="TableParagraph"/>
              <w:ind w:left="0"/>
              <w:rPr>
                <w:rFonts w:ascii="Times New Roman"/>
                <w:sz w:val="18"/>
              </w:rPr>
            </w:pPr>
          </w:p>
        </w:tc>
        <w:tc>
          <w:tcPr>
            <w:tcW w:w="9501" w:type="dxa"/>
          </w:tcPr>
          <w:p w14:paraId="080E7F86" w14:textId="77777777" w:rsidR="0016189A" w:rsidRDefault="00EC31E9">
            <w:pPr>
              <w:pStyle w:val="TableParagraph"/>
              <w:spacing w:before="2"/>
              <w:ind w:right="108"/>
              <w:jc w:val="both"/>
              <w:rPr>
                <w:sz w:val="20"/>
              </w:rPr>
            </w:pPr>
            <w:r>
              <w:rPr>
                <w:sz w:val="20"/>
              </w:rPr>
              <w:t>El INE podrá tener acceso a la información de las cuentas, fondos o fideicomisos que estén protegidos por el secreto bancario o fiduciario, así como su manejo.</w:t>
            </w:r>
          </w:p>
          <w:p w14:paraId="2F3EED08" w14:textId="77777777" w:rsidR="0016189A" w:rsidRDefault="0016189A">
            <w:pPr>
              <w:pStyle w:val="TableParagraph"/>
              <w:spacing w:before="6"/>
              <w:ind w:left="0"/>
              <w:rPr>
                <w:rFonts w:ascii="Times New Roman"/>
                <w:sz w:val="21"/>
              </w:rPr>
            </w:pPr>
          </w:p>
          <w:p w14:paraId="1C180BF9" w14:textId="77777777" w:rsidR="0016189A" w:rsidRDefault="00781810">
            <w:pPr>
              <w:pStyle w:val="TableParagraph"/>
              <w:ind w:right="107"/>
              <w:jc w:val="both"/>
              <w:rPr>
                <w:sz w:val="20"/>
              </w:rPr>
            </w:pPr>
            <w:r>
              <w:rPr>
                <w:b/>
                <w:sz w:val="20"/>
              </w:rPr>
              <w:t xml:space="preserve">Artículo </w:t>
            </w:r>
            <w:r w:rsidR="00EC31E9">
              <w:rPr>
                <w:b/>
                <w:sz w:val="20"/>
              </w:rPr>
              <w:t xml:space="preserve">397.- </w:t>
            </w:r>
            <w:r w:rsidR="00EC31E9">
              <w:rPr>
                <w:sz w:val="20"/>
              </w:rPr>
              <w:t>En caso de que el INE delegue la facultad de fiscalización al Instituto, la Contraloría Interna fiscalizará el ejercicio de los recursos que los candidatos independientes hayan ejercido durante el periodo de campañas electorales.</w:t>
            </w:r>
          </w:p>
          <w:p w14:paraId="61900E8C" w14:textId="77777777" w:rsidR="0016189A" w:rsidRDefault="00EC31E9">
            <w:pPr>
              <w:pStyle w:val="TableParagraph"/>
              <w:spacing w:line="244" w:lineRule="exact"/>
              <w:rPr>
                <w:sz w:val="20"/>
              </w:rPr>
            </w:pPr>
            <w:r>
              <w:rPr>
                <w:sz w:val="20"/>
              </w:rPr>
              <w:t>[…]</w:t>
            </w:r>
          </w:p>
        </w:tc>
      </w:tr>
      <w:tr w:rsidR="00781810" w14:paraId="6C8F3DCE" w14:textId="77777777" w:rsidTr="00357ECA">
        <w:trPr>
          <w:trHeight w:val="5432"/>
        </w:trPr>
        <w:tc>
          <w:tcPr>
            <w:tcW w:w="1270" w:type="dxa"/>
            <w:shd w:val="clear" w:color="auto" w:fill="FFFFFF" w:themeFill="background1"/>
          </w:tcPr>
          <w:p w14:paraId="62046A94" w14:textId="77777777" w:rsidR="00781810" w:rsidRPr="00357ECA" w:rsidRDefault="00781810">
            <w:pPr>
              <w:pStyle w:val="TableParagraph"/>
              <w:spacing w:before="110"/>
              <w:ind w:left="448" w:right="604"/>
              <w:jc w:val="center"/>
              <w:rPr>
                <w:b/>
                <w:sz w:val="20"/>
              </w:rPr>
            </w:pPr>
            <w:r w:rsidRPr="00357ECA">
              <w:rPr>
                <w:b/>
                <w:sz w:val="20"/>
              </w:rPr>
              <w:t>3.</w:t>
            </w:r>
          </w:p>
        </w:tc>
        <w:tc>
          <w:tcPr>
            <w:tcW w:w="2405" w:type="dxa"/>
            <w:shd w:val="clear" w:color="auto" w:fill="FFFFFF" w:themeFill="background1"/>
          </w:tcPr>
          <w:p w14:paraId="5E7991B2" w14:textId="77777777" w:rsidR="00781810" w:rsidRPr="00357ECA" w:rsidRDefault="00781810">
            <w:pPr>
              <w:pStyle w:val="TableParagraph"/>
              <w:spacing w:before="110"/>
              <w:ind w:left="107"/>
              <w:rPr>
                <w:b/>
                <w:sz w:val="20"/>
              </w:rPr>
            </w:pPr>
            <w:r w:rsidRPr="00357ECA">
              <w:rPr>
                <w:b/>
                <w:sz w:val="20"/>
              </w:rPr>
              <w:t>AGUASCALIENTES</w:t>
            </w:r>
          </w:p>
        </w:tc>
        <w:tc>
          <w:tcPr>
            <w:tcW w:w="3834" w:type="dxa"/>
            <w:shd w:val="clear" w:color="auto" w:fill="FFFFFF" w:themeFill="background1"/>
          </w:tcPr>
          <w:p w14:paraId="78D74303" w14:textId="77777777" w:rsidR="00781810" w:rsidRPr="00357ECA" w:rsidRDefault="00520E3B">
            <w:pPr>
              <w:pStyle w:val="TableParagraph"/>
              <w:tabs>
                <w:tab w:val="left" w:pos="1524"/>
                <w:tab w:val="left" w:pos="2433"/>
                <w:tab w:val="left" w:pos="2980"/>
              </w:tabs>
              <w:spacing w:before="2"/>
              <w:ind w:left="107" w:right="102"/>
              <w:rPr>
                <w:b/>
                <w:sz w:val="20"/>
              </w:rPr>
            </w:pPr>
            <w:hyperlink r:id="rId15" w:history="1">
              <w:r w:rsidR="00781810" w:rsidRPr="00357ECA">
                <w:rPr>
                  <w:rStyle w:val="Hipervnculo"/>
                  <w:b/>
                  <w:sz w:val="20"/>
                </w:rPr>
                <w:t>Reglamento</w:t>
              </w:r>
              <w:r w:rsidR="00781810" w:rsidRPr="00357ECA">
                <w:rPr>
                  <w:rStyle w:val="Hipervnculo"/>
                  <w:b/>
                  <w:sz w:val="20"/>
                </w:rPr>
                <w:tab/>
                <w:t>Interior</w:t>
              </w:r>
              <w:r w:rsidR="00781810" w:rsidRPr="00357ECA">
                <w:rPr>
                  <w:rStyle w:val="Hipervnculo"/>
                  <w:b/>
                  <w:sz w:val="20"/>
                </w:rPr>
                <w:tab/>
                <w:t>del</w:t>
              </w:r>
              <w:r w:rsidR="00781810" w:rsidRPr="00357ECA">
                <w:rPr>
                  <w:rStyle w:val="Hipervnculo"/>
                  <w:b/>
                  <w:sz w:val="20"/>
                </w:rPr>
                <w:tab/>
              </w:r>
              <w:r w:rsidR="00781810" w:rsidRPr="00357ECA">
                <w:rPr>
                  <w:rStyle w:val="Hipervnculo"/>
                  <w:b/>
                  <w:spacing w:val="-3"/>
                  <w:sz w:val="20"/>
                </w:rPr>
                <w:t xml:space="preserve">Instituto </w:t>
              </w:r>
              <w:r w:rsidR="00781810" w:rsidRPr="00357ECA">
                <w:rPr>
                  <w:rStyle w:val="Hipervnculo"/>
                  <w:b/>
                  <w:sz w:val="20"/>
                </w:rPr>
                <w:t>Estatal Electoral de</w:t>
              </w:r>
              <w:r w:rsidR="00781810" w:rsidRPr="00357ECA">
                <w:rPr>
                  <w:rStyle w:val="Hipervnculo"/>
                  <w:b/>
                  <w:spacing w:val="-10"/>
                  <w:sz w:val="20"/>
                </w:rPr>
                <w:t xml:space="preserve"> </w:t>
              </w:r>
              <w:r w:rsidR="00781810" w:rsidRPr="00357ECA">
                <w:rPr>
                  <w:rStyle w:val="Hipervnculo"/>
                  <w:b/>
                  <w:sz w:val="20"/>
                </w:rPr>
                <w:t>Aguascalientes</w:t>
              </w:r>
            </w:hyperlink>
          </w:p>
        </w:tc>
        <w:tc>
          <w:tcPr>
            <w:tcW w:w="9501" w:type="dxa"/>
            <w:shd w:val="clear" w:color="auto" w:fill="FFFFFF" w:themeFill="background1"/>
          </w:tcPr>
          <w:p w14:paraId="7532B2C3" w14:textId="77777777" w:rsidR="00781810" w:rsidRPr="00357ECA" w:rsidRDefault="00781810">
            <w:pPr>
              <w:pStyle w:val="TableParagraph"/>
              <w:spacing w:before="2"/>
              <w:rPr>
                <w:sz w:val="20"/>
              </w:rPr>
            </w:pPr>
            <w:r w:rsidRPr="00357ECA">
              <w:rPr>
                <w:b/>
                <w:sz w:val="20"/>
              </w:rPr>
              <w:t xml:space="preserve">Artículo 60. </w:t>
            </w:r>
            <w:r w:rsidRPr="00357ECA">
              <w:rPr>
                <w:sz w:val="20"/>
              </w:rPr>
              <w:t>La Contraloría Interna es un órgano auxiliar de control, el cual se encarga de la fiscalización de los recursos y programas del Instituto.</w:t>
            </w:r>
          </w:p>
          <w:p w14:paraId="3500D99A" w14:textId="77777777" w:rsidR="00781810" w:rsidRPr="00357ECA" w:rsidRDefault="00781810">
            <w:pPr>
              <w:pStyle w:val="TableParagraph"/>
              <w:spacing w:line="244" w:lineRule="exact"/>
              <w:rPr>
                <w:sz w:val="20"/>
              </w:rPr>
            </w:pPr>
            <w:r w:rsidRPr="00357ECA">
              <w:rPr>
                <w:sz w:val="20"/>
              </w:rPr>
              <w:t>[…]</w:t>
            </w:r>
          </w:p>
          <w:p w14:paraId="7CA8BF09" w14:textId="77777777" w:rsidR="00781810" w:rsidRPr="00357ECA" w:rsidRDefault="00781810">
            <w:pPr>
              <w:pStyle w:val="TableParagraph"/>
              <w:spacing w:before="122"/>
              <w:ind w:right="107"/>
              <w:jc w:val="both"/>
              <w:rPr>
                <w:sz w:val="20"/>
              </w:rPr>
            </w:pPr>
            <w:r w:rsidRPr="00357ECA">
              <w:rPr>
                <w:b/>
                <w:sz w:val="20"/>
              </w:rPr>
              <w:t xml:space="preserve">Artículo 62. </w:t>
            </w:r>
            <w:r w:rsidRPr="00357ECA">
              <w:rPr>
                <w:sz w:val="20"/>
              </w:rPr>
              <w:t>Además de las facultades establecidas en el Código y en los reglamentos o lineamientos que emita al efecto, a la Contraloría Interna corresponde el despacho de los siguientes asuntos:</w:t>
            </w:r>
          </w:p>
          <w:p w14:paraId="70B5B128" w14:textId="77777777" w:rsidR="00781810" w:rsidRPr="00357ECA" w:rsidRDefault="00781810">
            <w:pPr>
              <w:pStyle w:val="TableParagraph"/>
              <w:spacing w:before="1"/>
              <w:rPr>
                <w:sz w:val="20"/>
              </w:rPr>
            </w:pPr>
            <w:r w:rsidRPr="00357ECA">
              <w:rPr>
                <w:sz w:val="20"/>
              </w:rPr>
              <w:t>[…]</w:t>
            </w:r>
          </w:p>
          <w:p w14:paraId="055A3329" w14:textId="77777777" w:rsidR="00781810" w:rsidRPr="00357ECA" w:rsidRDefault="00781810">
            <w:pPr>
              <w:pStyle w:val="TableParagraph"/>
              <w:spacing w:before="122"/>
              <w:ind w:right="88"/>
              <w:rPr>
                <w:sz w:val="20"/>
              </w:rPr>
            </w:pPr>
            <w:r w:rsidRPr="00357ECA">
              <w:rPr>
                <w:sz w:val="20"/>
              </w:rPr>
              <w:t>XIX. Fiscalizar a las Asociaciones Políticas Estatales en términos del Código y de las disposiciones que emita el Consejo;</w:t>
            </w:r>
          </w:p>
          <w:p w14:paraId="70696776" w14:textId="77777777" w:rsidR="00781810" w:rsidRPr="00357ECA" w:rsidRDefault="00781810">
            <w:pPr>
              <w:pStyle w:val="TableParagraph"/>
              <w:spacing w:before="123"/>
              <w:ind w:right="100"/>
              <w:jc w:val="both"/>
              <w:rPr>
                <w:sz w:val="20"/>
              </w:rPr>
            </w:pPr>
            <w:r w:rsidRPr="00357ECA">
              <w:rPr>
                <w:sz w:val="20"/>
              </w:rPr>
              <w:t>XX. En caso de ser delegada al Instituto por el Consejo General del Instituto Nacional Electoral, realizar la función de fiscalización de los ingresos y egresos de los Partidos Políticos, sus Coaliciones y de los candidatos a cargos de elección popular, en términos de la Constitución, la</w:t>
            </w:r>
            <w:r w:rsidRPr="00357ECA">
              <w:rPr>
                <w:spacing w:val="-8"/>
                <w:sz w:val="20"/>
              </w:rPr>
              <w:t xml:space="preserve"> </w:t>
            </w:r>
            <w:r w:rsidRPr="00357ECA">
              <w:rPr>
                <w:sz w:val="20"/>
              </w:rPr>
              <w:t>Ley</w:t>
            </w:r>
            <w:r w:rsidRPr="00357ECA">
              <w:rPr>
                <w:spacing w:val="-7"/>
                <w:sz w:val="20"/>
              </w:rPr>
              <w:t xml:space="preserve"> </w:t>
            </w:r>
            <w:r w:rsidRPr="00357ECA">
              <w:rPr>
                <w:sz w:val="20"/>
              </w:rPr>
              <w:t>General</w:t>
            </w:r>
            <w:r w:rsidRPr="00357ECA">
              <w:rPr>
                <w:spacing w:val="-8"/>
                <w:sz w:val="20"/>
              </w:rPr>
              <w:t xml:space="preserve"> </w:t>
            </w:r>
            <w:r w:rsidRPr="00357ECA">
              <w:rPr>
                <w:sz w:val="20"/>
              </w:rPr>
              <w:t>de</w:t>
            </w:r>
            <w:r w:rsidRPr="00357ECA">
              <w:rPr>
                <w:spacing w:val="-8"/>
                <w:sz w:val="20"/>
              </w:rPr>
              <w:t xml:space="preserve"> </w:t>
            </w:r>
            <w:r w:rsidRPr="00357ECA">
              <w:rPr>
                <w:sz w:val="20"/>
              </w:rPr>
              <w:t>Instituciones</w:t>
            </w:r>
            <w:r w:rsidRPr="00357ECA">
              <w:rPr>
                <w:spacing w:val="-6"/>
                <w:sz w:val="20"/>
              </w:rPr>
              <w:t xml:space="preserve"> </w:t>
            </w:r>
            <w:r w:rsidRPr="00357ECA">
              <w:rPr>
                <w:sz w:val="20"/>
              </w:rPr>
              <w:t>y</w:t>
            </w:r>
            <w:r w:rsidRPr="00357ECA">
              <w:rPr>
                <w:spacing w:val="-10"/>
                <w:sz w:val="20"/>
              </w:rPr>
              <w:t xml:space="preserve"> </w:t>
            </w:r>
            <w:r w:rsidRPr="00357ECA">
              <w:rPr>
                <w:sz w:val="20"/>
              </w:rPr>
              <w:t>Procedimientos</w:t>
            </w:r>
            <w:r w:rsidRPr="00357ECA">
              <w:rPr>
                <w:spacing w:val="-9"/>
                <w:sz w:val="20"/>
              </w:rPr>
              <w:t xml:space="preserve"> </w:t>
            </w:r>
            <w:r w:rsidRPr="00357ECA">
              <w:rPr>
                <w:sz w:val="20"/>
              </w:rPr>
              <w:t>Electorales,</w:t>
            </w:r>
            <w:r w:rsidRPr="00357ECA">
              <w:rPr>
                <w:spacing w:val="-10"/>
                <w:sz w:val="20"/>
              </w:rPr>
              <w:t xml:space="preserve"> </w:t>
            </w:r>
            <w:r w:rsidRPr="00357ECA">
              <w:rPr>
                <w:sz w:val="20"/>
              </w:rPr>
              <w:t>la</w:t>
            </w:r>
            <w:r w:rsidRPr="00357ECA">
              <w:rPr>
                <w:spacing w:val="-5"/>
                <w:sz w:val="20"/>
              </w:rPr>
              <w:t xml:space="preserve"> </w:t>
            </w:r>
            <w:r w:rsidRPr="00357ECA">
              <w:rPr>
                <w:sz w:val="20"/>
              </w:rPr>
              <w:t>Ley</w:t>
            </w:r>
            <w:r w:rsidRPr="00357ECA">
              <w:rPr>
                <w:spacing w:val="-7"/>
                <w:sz w:val="20"/>
              </w:rPr>
              <w:t xml:space="preserve"> </w:t>
            </w:r>
            <w:r w:rsidRPr="00357ECA">
              <w:rPr>
                <w:sz w:val="20"/>
              </w:rPr>
              <w:t>General</w:t>
            </w:r>
            <w:r w:rsidRPr="00357ECA">
              <w:rPr>
                <w:spacing w:val="-8"/>
                <w:sz w:val="20"/>
              </w:rPr>
              <w:t xml:space="preserve"> </w:t>
            </w:r>
            <w:r w:rsidRPr="00357ECA">
              <w:rPr>
                <w:sz w:val="20"/>
              </w:rPr>
              <w:t>de</w:t>
            </w:r>
            <w:r w:rsidRPr="00357ECA">
              <w:rPr>
                <w:spacing w:val="-8"/>
                <w:sz w:val="20"/>
              </w:rPr>
              <w:t xml:space="preserve"> </w:t>
            </w:r>
            <w:r w:rsidRPr="00357ECA">
              <w:rPr>
                <w:sz w:val="20"/>
              </w:rPr>
              <w:t>Partidos</w:t>
            </w:r>
            <w:r w:rsidRPr="00357ECA">
              <w:rPr>
                <w:spacing w:val="-7"/>
                <w:sz w:val="20"/>
              </w:rPr>
              <w:t xml:space="preserve"> </w:t>
            </w:r>
            <w:r w:rsidRPr="00357ECA">
              <w:rPr>
                <w:sz w:val="20"/>
              </w:rPr>
              <w:t>Políticos, los lineamientos, los acuerdos generales, las normas técnicas y demás disposiciones que emita el Consejo General del Instituto Nacional</w:t>
            </w:r>
            <w:r w:rsidRPr="00357ECA">
              <w:rPr>
                <w:spacing w:val="-2"/>
                <w:sz w:val="20"/>
              </w:rPr>
              <w:t xml:space="preserve"> </w:t>
            </w:r>
            <w:r w:rsidRPr="00357ECA">
              <w:rPr>
                <w:sz w:val="20"/>
              </w:rPr>
              <w:t>Electoral;</w:t>
            </w:r>
          </w:p>
          <w:p w14:paraId="16B30338" w14:textId="77777777" w:rsidR="00781810" w:rsidRPr="00357ECA" w:rsidRDefault="00781810" w:rsidP="00D56BE8">
            <w:pPr>
              <w:pStyle w:val="TableParagraph"/>
              <w:spacing w:before="122"/>
              <w:rPr>
                <w:sz w:val="20"/>
              </w:rPr>
            </w:pPr>
            <w:r w:rsidRPr="00357ECA">
              <w:rPr>
                <w:sz w:val="20"/>
              </w:rPr>
              <w:t>XXI. Atender las solicitudes de las diferentes instancias y órganos de Instituto en los asuntos de su competencia;</w:t>
            </w:r>
          </w:p>
        </w:tc>
      </w:tr>
    </w:tbl>
    <w:p w14:paraId="4E42E618" w14:textId="77777777" w:rsidR="0016189A" w:rsidRDefault="0016189A">
      <w:pPr>
        <w:rPr>
          <w:sz w:val="20"/>
        </w:rPr>
        <w:sectPr w:rsidR="0016189A">
          <w:pgSz w:w="20160" w:h="12240" w:orient="landscape"/>
          <w:pgMar w:top="1120" w:right="1460" w:bottom="280" w:left="1460" w:header="885" w:footer="0" w:gutter="0"/>
          <w:cols w:space="720"/>
        </w:sectPr>
      </w:pPr>
    </w:p>
    <w:p w14:paraId="77821409" w14:textId="62DC6BE4" w:rsidR="0016189A" w:rsidRDefault="0016189A">
      <w:pPr>
        <w:pStyle w:val="Textoindependiente"/>
        <w:rPr>
          <w:rFonts w:ascii="Times New Roman"/>
          <w:b w:val="0"/>
          <w:i w:val="0"/>
          <w:sz w:val="20"/>
        </w:rPr>
      </w:pPr>
    </w:p>
    <w:tbl>
      <w:tblPr>
        <w:tblStyle w:val="TableNormal"/>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270"/>
        <w:gridCol w:w="2405"/>
        <w:gridCol w:w="3834"/>
        <w:gridCol w:w="9501"/>
      </w:tblGrid>
      <w:tr w:rsidR="0016189A" w14:paraId="4173C476" w14:textId="77777777">
        <w:trPr>
          <w:trHeight w:val="479"/>
        </w:trPr>
        <w:tc>
          <w:tcPr>
            <w:tcW w:w="1270" w:type="dxa"/>
            <w:shd w:val="clear" w:color="auto" w:fill="76923B"/>
          </w:tcPr>
          <w:p w14:paraId="40FE7FF5" w14:textId="77777777" w:rsidR="0016189A" w:rsidRDefault="0016189A">
            <w:pPr>
              <w:pStyle w:val="TableParagraph"/>
              <w:ind w:left="0"/>
              <w:rPr>
                <w:rFonts w:ascii="Times New Roman"/>
                <w:sz w:val="18"/>
              </w:rPr>
            </w:pPr>
          </w:p>
        </w:tc>
        <w:tc>
          <w:tcPr>
            <w:tcW w:w="2405" w:type="dxa"/>
            <w:shd w:val="clear" w:color="auto" w:fill="76923B"/>
          </w:tcPr>
          <w:p w14:paraId="7E7FAA19" w14:textId="77777777" w:rsidR="0016189A" w:rsidRDefault="00EC31E9">
            <w:pPr>
              <w:pStyle w:val="TableParagraph"/>
              <w:spacing w:before="110"/>
              <w:ind w:left="806" w:right="800"/>
              <w:jc w:val="center"/>
              <w:rPr>
                <w:b/>
                <w:sz w:val="20"/>
              </w:rPr>
            </w:pPr>
            <w:r>
              <w:rPr>
                <w:b/>
                <w:color w:val="FFFFFF"/>
                <w:sz w:val="20"/>
              </w:rPr>
              <w:t>ESTADO</w:t>
            </w:r>
          </w:p>
        </w:tc>
        <w:tc>
          <w:tcPr>
            <w:tcW w:w="3834" w:type="dxa"/>
            <w:shd w:val="clear" w:color="auto" w:fill="76923B"/>
          </w:tcPr>
          <w:p w14:paraId="02AD87F5" w14:textId="77777777" w:rsidR="0016189A" w:rsidRDefault="00EC31E9">
            <w:pPr>
              <w:pStyle w:val="TableParagraph"/>
              <w:spacing w:before="110"/>
              <w:ind w:left="1736" w:right="1731"/>
              <w:jc w:val="center"/>
              <w:rPr>
                <w:b/>
                <w:sz w:val="20"/>
              </w:rPr>
            </w:pPr>
            <w:r>
              <w:rPr>
                <w:b/>
                <w:color w:val="FFFFFF"/>
                <w:sz w:val="20"/>
              </w:rPr>
              <w:t>LEY</w:t>
            </w:r>
          </w:p>
        </w:tc>
        <w:tc>
          <w:tcPr>
            <w:tcW w:w="9501" w:type="dxa"/>
            <w:shd w:val="clear" w:color="auto" w:fill="76923B"/>
          </w:tcPr>
          <w:p w14:paraId="564573AE" w14:textId="77777777" w:rsidR="0016189A" w:rsidRDefault="00EC31E9">
            <w:pPr>
              <w:pStyle w:val="TableParagraph"/>
              <w:spacing w:before="110"/>
              <w:ind w:left="3365" w:right="3365"/>
              <w:jc w:val="center"/>
              <w:rPr>
                <w:b/>
                <w:sz w:val="20"/>
              </w:rPr>
            </w:pPr>
            <w:r>
              <w:rPr>
                <w:b/>
                <w:color w:val="FFFFFF"/>
                <w:sz w:val="20"/>
              </w:rPr>
              <w:t>ARTÍCULO (TRANSCRIPCIÓN)</w:t>
            </w:r>
          </w:p>
        </w:tc>
      </w:tr>
      <w:tr w:rsidR="0016189A" w14:paraId="488825AB" w14:textId="77777777" w:rsidTr="00357ECA">
        <w:trPr>
          <w:trHeight w:val="2453"/>
        </w:trPr>
        <w:tc>
          <w:tcPr>
            <w:tcW w:w="1270" w:type="dxa"/>
            <w:shd w:val="clear" w:color="auto" w:fill="FFFFFF" w:themeFill="background1"/>
          </w:tcPr>
          <w:p w14:paraId="1144C314" w14:textId="77777777" w:rsidR="0016189A" w:rsidRPr="00357ECA" w:rsidRDefault="0016189A">
            <w:pPr>
              <w:pStyle w:val="TableParagraph"/>
              <w:ind w:left="0"/>
              <w:rPr>
                <w:rFonts w:ascii="Times New Roman"/>
                <w:sz w:val="18"/>
              </w:rPr>
            </w:pPr>
          </w:p>
        </w:tc>
        <w:tc>
          <w:tcPr>
            <w:tcW w:w="2405" w:type="dxa"/>
            <w:shd w:val="clear" w:color="auto" w:fill="FFFFFF" w:themeFill="background1"/>
          </w:tcPr>
          <w:p w14:paraId="15FC9270" w14:textId="77777777" w:rsidR="0016189A" w:rsidRPr="00357ECA" w:rsidRDefault="0016189A">
            <w:pPr>
              <w:pStyle w:val="TableParagraph"/>
              <w:ind w:left="0"/>
              <w:rPr>
                <w:rFonts w:ascii="Times New Roman"/>
                <w:sz w:val="18"/>
              </w:rPr>
            </w:pPr>
          </w:p>
        </w:tc>
        <w:tc>
          <w:tcPr>
            <w:tcW w:w="3834" w:type="dxa"/>
            <w:shd w:val="clear" w:color="auto" w:fill="FFFFFF" w:themeFill="background1"/>
          </w:tcPr>
          <w:p w14:paraId="158A80B2" w14:textId="77777777" w:rsidR="0016189A" w:rsidRPr="00357ECA" w:rsidRDefault="0016189A">
            <w:pPr>
              <w:pStyle w:val="TableParagraph"/>
              <w:ind w:left="0"/>
              <w:rPr>
                <w:rFonts w:ascii="Times New Roman"/>
                <w:sz w:val="18"/>
              </w:rPr>
            </w:pPr>
          </w:p>
        </w:tc>
        <w:tc>
          <w:tcPr>
            <w:tcW w:w="9501" w:type="dxa"/>
            <w:shd w:val="clear" w:color="auto" w:fill="FFFFFF" w:themeFill="background1"/>
          </w:tcPr>
          <w:p w14:paraId="7D77F45E" w14:textId="77777777" w:rsidR="0016189A" w:rsidRPr="00357ECA" w:rsidRDefault="00EC31E9">
            <w:pPr>
              <w:pStyle w:val="TableParagraph"/>
              <w:spacing w:before="2"/>
              <w:ind w:right="103"/>
              <w:jc w:val="both"/>
              <w:rPr>
                <w:sz w:val="20"/>
              </w:rPr>
            </w:pPr>
            <w:r w:rsidRPr="00357ECA">
              <w:rPr>
                <w:sz w:val="20"/>
              </w:rPr>
              <w:t>XXII. Llevar a cabo la defensa jurídica en los juicios que se promuevan en contra de las resoluciones que emita con motivo de los procedimientos y recursos administrativos que sustancie, en los términos que las leyes aplicables señalen;</w:t>
            </w:r>
          </w:p>
          <w:p w14:paraId="7DE6B3D4" w14:textId="77777777" w:rsidR="0016189A" w:rsidRPr="00357ECA" w:rsidRDefault="00EC31E9">
            <w:pPr>
              <w:pStyle w:val="TableParagraph"/>
              <w:spacing w:before="2"/>
              <w:rPr>
                <w:sz w:val="20"/>
              </w:rPr>
            </w:pPr>
            <w:r w:rsidRPr="00357ECA">
              <w:rPr>
                <w:sz w:val="20"/>
              </w:rPr>
              <w:t>[…]</w:t>
            </w:r>
          </w:p>
          <w:p w14:paraId="168DCB9F" w14:textId="77777777" w:rsidR="0016189A" w:rsidRPr="00357ECA" w:rsidRDefault="0016189A">
            <w:pPr>
              <w:pStyle w:val="TableParagraph"/>
              <w:spacing w:before="3"/>
              <w:ind w:left="0"/>
              <w:rPr>
                <w:rFonts w:ascii="Times New Roman"/>
                <w:sz w:val="21"/>
              </w:rPr>
            </w:pPr>
          </w:p>
          <w:p w14:paraId="58C95320" w14:textId="77777777" w:rsidR="0016189A" w:rsidRPr="00357ECA" w:rsidRDefault="00781810">
            <w:pPr>
              <w:pStyle w:val="TableParagraph"/>
              <w:ind w:right="268"/>
              <w:rPr>
                <w:sz w:val="20"/>
              </w:rPr>
            </w:pPr>
            <w:r w:rsidRPr="00357ECA">
              <w:rPr>
                <w:b/>
                <w:sz w:val="20"/>
              </w:rPr>
              <w:t xml:space="preserve">Artículo </w:t>
            </w:r>
            <w:r w:rsidR="00EC31E9" w:rsidRPr="00357ECA">
              <w:rPr>
                <w:b/>
                <w:sz w:val="20"/>
              </w:rPr>
              <w:t xml:space="preserve">63. </w:t>
            </w:r>
            <w:r w:rsidR="00EC31E9" w:rsidRPr="00357ECA">
              <w:rPr>
                <w:sz w:val="20"/>
              </w:rPr>
              <w:t xml:space="preserve">Las sanciones que la Contraloría Interna </w:t>
            </w:r>
            <w:r w:rsidR="00302F31" w:rsidRPr="00357ECA">
              <w:rPr>
                <w:sz w:val="20"/>
              </w:rPr>
              <w:t>imponga</w:t>
            </w:r>
            <w:r w:rsidR="00EC31E9" w:rsidRPr="00357ECA">
              <w:rPr>
                <w:sz w:val="20"/>
              </w:rPr>
              <w:t xml:space="preserve"> se ejecutarán en los términos de la resolución dictada con base en la normatividad de la materia aplicable.</w:t>
            </w:r>
          </w:p>
          <w:p w14:paraId="3E86CD97" w14:textId="77777777" w:rsidR="0016189A" w:rsidRPr="00357ECA" w:rsidRDefault="0016189A">
            <w:pPr>
              <w:pStyle w:val="TableParagraph"/>
              <w:spacing w:before="5"/>
              <w:ind w:left="0"/>
              <w:rPr>
                <w:rFonts w:ascii="Times New Roman"/>
                <w:sz w:val="21"/>
              </w:rPr>
            </w:pPr>
          </w:p>
          <w:p w14:paraId="5489E0F6" w14:textId="77777777" w:rsidR="0016189A" w:rsidRPr="00357ECA" w:rsidRDefault="00EC31E9">
            <w:pPr>
              <w:pStyle w:val="TableParagraph"/>
              <w:rPr>
                <w:sz w:val="20"/>
              </w:rPr>
            </w:pPr>
            <w:r w:rsidRPr="00357ECA">
              <w:rPr>
                <w:sz w:val="20"/>
              </w:rPr>
              <w:t>[…]</w:t>
            </w:r>
          </w:p>
        </w:tc>
      </w:tr>
      <w:tr w:rsidR="0016189A" w14:paraId="4482CE04" w14:textId="77777777">
        <w:trPr>
          <w:trHeight w:val="705"/>
        </w:trPr>
        <w:tc>
          <w:tcPr>
            <w:tcW w:w="1270" w:type="dxa"/>
          </w:tcPr>
          <w:p w14:paraId="2A19E4F8" w14:textId="77777777" w:rsidR="0016189A" w:rsidRDefault="00EC31E9">
            <w:pPr>
              <w:pStyle w:val="TableParagraph"/>
              <w:spacing w:before="110"/>
              <w:ind w:left="468"/>
              <w:rPr>
                <w:b/>
                <w:sz w:val="20"/>
              </w:rPr>
            </w:pPr>
            <w:r>
              <w:rPr>
                <w:b/>
                <w:sz w:val="20"/>
              </w:rPr>
              <w:t>4.</w:t>
            </w:r>
          </w:p>
        </w:tc>
        <w:tc>
          <w:tcPr>
            <w:tcW w:w="2405" w:type="dxa"/>
          </w:tcPr>
          <w:p w14:paraId="3E71BB63" w14:textId="77777777" w:rsidR="0016189A" w:rsidRDefault="00EC31E9">
            <w:pPr>
              <w:pStyle w:val="TableParagraph"/>
              <w:spacing w:before="110"/>
              <w:ind w:left="107"/>
              <w:rPr>
                <w:b/>
                <w:sz w:val="20"/>
              </w:rPr>
            </w:pPr>
            <w:r>
              <w:rPr>
                <w:b/>
                <w:sz w:val="20"/>
              </w:rPr>
              <w:t>AGUASCALIENTES</w:t>
            </w:r>
          </w:p>
        </w:tc>
        <w:tc>
          <w:tcPr>
            <w:tcW w:w="13335" w:type="dxa"/>
            <w:gridSpan w:val="2"/>
          </w:tcPr>
          <w:p w14:paraId="2C2E8EC5" w14:textId="77777777" w:rsidR="0016189A" w:rsidRDefault="0016189A">
            <w:pPr>
              <w:pStyle w:val="TableParagraph"/>
              <w:spacing w:before="3"/>
              <w:ind w:left="0"/>
              <w:rPr>
                <w:rFonts w:ascii="Times New Roman"/>
                <w:sz w:val="20"/>
              </w:rPr>
            </w:pPr>
          </w:p>
          <w:p w14:paraId="1127F230" w14:textId="77777777" w:rsidR="0016189A" w:rsidRDefault="00520E3B">
            <w:pPr>
              <w:pStyle w:val="TableParagraph"/>
              <w:ind w:left="2217" w:right="2216"/>
              <w:jc w:val="center"/>
              <w:rPr>
                <w:b/>
                <w:sz w:val="20"/>
              </w:rPr>
            </w:pPr>
            <w:hyperlink r:id="rId16" w:history="1">
              <w:r w:rsidR="00EC31E9" w:rsidRPr="00EC31E9">
                <w:rPr>
                  <w:rStyle w:val="Hipervnculo"/>
                  <w:b/>
                  <w:sz w:val="20"/>
                </w:rPr>
                <w:t>Reglamento Interior del Organismo de Fiscalización de los Recursos de los Partidos Políticos</w:t>
              </w:r>
            </w:hyperlink>
          </w:p>
        </w:tc>
      </w:tr>
    </w:tbl>
    <w:p w14:paraId="69263A3B" w14:textId="77777777" w:rsidR="00410B30" w:rsidRDefault="00410B30"/>
    <w:sectPr w:rsidR="00410B30">
      <w:pgSz w:w="20160" w:h="12240" w:orient="landscape"/>
      <w:pgMar w:top="1120" w:right="1460" w:bottom="280" w:left="1460" w:header="88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FB9A3" w14:textId="77777777" w:rsidR="00520E3B" w:rsidRDefault="00520E3B">
      <w:r>
        <w:separator/>
      </w:r>
    </w:p>
  </w:endnote>
  <w:endnote w:type="continuationSeparator" w:id="0">
    <w:p w14:paraId="07357307" w14:textId="77777777" w:rsidR="00520E3B" w:rsidRDefault="0052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6D6EB" w14:textId="77777777" w:rsidR="00A62D51" w:rsidRDefault="00A62D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84F27" w14:textId="77777777" w:rsidR="00A62D51" w:rsidRDefault="00A62D5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A8837" w14:textId="77777777" w:rsidR="00A62D51" w:rsidRDefault="00A62D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715E1" w14:textId="77777777" w:rsidR="00520E3B" w:rsidRDefault="00520E3B">
      <w:r>
        <w:separator/>
      </w:r>
    </w:p>
  </w:footnote>
  <w:footnote w:type="continuationSeparator" w:id="0">
    <w:p w14:paraId="42791187" w14:textId="77777777" w:rsidR="00520E3B" w:rsidRDefault="00520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9B30A" w14:textId="77777777" w:rsidR="00A62D51" w:rsidRDefault="00A62D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DC459" w14:textId="1B1154BF" w:rsidR="00A62D51" w:rsidRPr="00A62D51" w:rsidRDefault="00A62D51" w:rsidP="00A62D51">
    <w:pPr>
      <w:pStyle w:val="Encabezado"/>
      <w:tabs>
        <w:tab w:val="clear" w:pos="4419"/>
        <w:tab w:val="clear" w:pos="8838"/>
      </w:tabs>
      <w:ind w:firstLine="708"/>
      <w:rPr>
        <w:smallCaps/>
      </w:rPr>
    </w:pPr>
    <w:r>
      <w:rPr>
        <w:noProof/>
      </w:rPr>
      <w:drawing>
        <wp:anchor distT="0" distB="0" distL="0" distR="0" simplePos="0" relativeHeight="251659264" behindDoc="0" locked="0" layoutInCell="1" allowOverlap="1" wp14:anchorId="34A2569C" wp14:editId="52E17510">
          <wp:simplePos x="0" y="0"/>
          <wp:positionH relativeFrom="margin">
            <wp:align>left</wp:align>
          </wp:positionH>
          <wp:positionV relativeFrom="paragraph">
            <wp:posOffset>-372774</wp:posOffset>
          </wp:positionV>
          <wp:extent cx="1040725" cy="1001236"/>
          <wp:effectExtent l="0" t="0" r="7620"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40725" cy="1001236"/>
                  </a:xfrm>
                  <a:prstGeom prst="rect">
                    <a:avLst/>
                  </a:prstGeom>
                </pic:spPr>
              </pic:pic>
            </a:graphicData>
          </a:graphic>
        </wp:anchor>
      </w:drawing>
    </w:r>
    <w:r>
      <w:t xml:space="preserve">                                                                                                                                                                  </w:t>
    </w:r>
    <w:r w:rsidRPr="00A62D51">
      <w:rPr>
        <w:rFonts w:ascii="Arial" w:eastAsia="Arial" w:hAnsi="Arial" w:cs="Arial"/>
        <w:b/>
        <w:i/>
        <w:smallCaps/>
      </w:rPr>
      <w:t>Dirección General de Jurisprudencia, Seguimiento y Consulta</w:t>
    </w:r>
  </w:p>
  <w:p w14:paraId="712D495B" w14:textId="77777777" w:rsidR="00074342" w:rsidRPr="00F53F14" w:rsidRDefault="00074342" w:rsidP="00074342">
    <w:pPr>
      <w:jc w:val="right"/>
      <w:rPr>
        <w:rFonts w:ascii="Arial" w:hAnsi="Arial" w:cs="Arial"/>
        <w:i/>
        <w:sz w:val="28"/>
        <w:szCs w:val="28"/>
      </w:rPr>
    </w:pPr>
  </w:p>
  <w:p w14:paraId="2896E325" w14:textId="77777777" w:rsidR="00074342" w:rsidRPr="00074342" w:rsidRDefault="00074342" w:rsidP="0007434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9CE6B" w14:textId="77777777" w:rsidR="00A62D51" w:rsidRDefault="00A62D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D4170"/>
    <w:multiLevelType w:val="hybridMultilevel"/>
    <w:tmpl w:val="6256D918"/>
    <w:lvl w:ilvl="0" w:tplc="2062933A">
      <w:start w:val="1"/>
      <w:numFmt w:val="upperRoman"/>
      <w:lvlText w:val="%1."/>
      <w:lvlJc w:val="left"/>
      <w:pPr>
        <w:ind w:left="107" w:hanging="158"/>
      </w:pPr>
      <w:rPr>
        <w:rFonts w:ascii="Century Gothic" w:eastAsia="Century Gothic" w:hAnsi="Century Gothic" w:cs="Century Gothic" w:hint="default"/>
        <w:spacing w:val="0"/>
        <w:w w:val="99"/>
        <w:sz w:val="20"/>
        <w:szCs w:val="20"/>
        <w:lang w:val="es-MX" w:eastAsia="es-MX" w:bidi="es-MX"/>
      </w:rPr>
    </w:lvl>
    <w:lvl w:ilvl="1" w:tplc="C446480C">
      <w:numFmt w:val="bullet"/>
      <w:lvlText w:val="•"/>
      <w:lvlJc w:val="left"/>
      <w:pPr>
        <w:ind w:left="1039" w:hanging="158"/>
      </w:pPr>
      <w:rPr>
        <w:rFonts w:hint="default"/>
        <w:lang w:val="es-MX" w:eastAsia="es-MX" w:bidi="es-MX"/>
      </w:rPr>
    </w:lvl>
    <w:lvl w:ilvl="2" w:tplc="862A9736">
      <w:numFmt w:val="bullet"/>
      <w:lvlText w:val="•"/>
      <w:lvlJc w:val="left"/>
      <w:pPr>
        <w:ind w:left="1978" w:hanging="158"/>
      </w:pPr>
      <w:rPr>
        <w:rFonts w:hint="default"/>
        <w:lang w:val="es-MX" w:eastAsia="es-MX" w:bidi="es-MX"/>
      </w:rPr>
    </w:lvl>
    <w:lvl w:ilvl="3" w:tplc="6F30FD6A">
      <w:numFmt w:val="bullet"/>
      <w:lvlText w:val="•"/>
      <w:lvlJc w:val="left"/>
      <w:pPr>
        <w:ind w:left="2917" w:hanging="158"/>
      </w:pPr>
      <w:rPr>
        <w:rFonts w:hint="default"/>
        <w:lang w:val="es-MX" w:eastAsia="es-MX" w:bidi="es-MX"/>
      </w:rPr>
    </w:lvl>
    <w:lvl w:ilvl="4" w:tplc="884A19BA">
      <w:numFmt w:val="bullet"/>
      <w:lvlText w:val="•"/>
      <w:lvlJc w:val="left"/>
      <w:pPr>
        <w:ind w:left="3856" w:hanging="158"/>
      </w:pPr>
      <w:rPr>
        <w:rFonts w:hint="default"/>
        <w:lang w:val="es-MX" w:eastAsia="es-MX" w:bidi="es-MX"/>
      </w:rPr>
    </w:lvl>
    <w:lvl w:ilvl="5" w:tplc="67267C8A">
      <w:numFmt w:val="bullet"/>
      <w:lvlText w:val="•"/>
      <w:lvlJc w:val="left"/>
      <w:pPr>
        <w:ind w:left="4795" w:hanging="158"/>
      </w:pPr>
      <w:rPr>
        <w:rFonts w:hint="default"/>
        <w:lang w:val="es-MX" w:eastAsia="es-MX" w:bidi="es-MX"/>
      </w:rPr>
    </w:lvl>
    <w:lvl w:ilvl="6" w:tplc="5972FA0A">
      <w:numFmt w:val="bullet"/>
      <w:lvlText w:val="•"/>
      <w:lvlJc w:val="left"/>
      <w:pPr>
        <w:ind w:left="5734" w:hanging="158"/>
      </w:pPr>
      <w:rPr>
        <w:rFonts w:hint="default"/>
        <w:lang w:val="es-MX" w:eastAsia="es-MX" w:bidi="es-MX"/>
      </w:rPr>
    </w:lvl>
    <w:lvl w:ilvl="7" w:tplc="D410FD26">
      <w:numFmt w:val="bullet"/>
      <w:lvlText w:val="•"/>
      <w:lvlJc w:val="left"/>
      <w:pPr>
        <w:ind w:left="6673" w:hanging="158"/>
      </w:pPr>
      <w:rPr>
        <w:rFonts w:hint="default"/>
        <w:lang w:val="es-MX" w:eastAsia="es-MX" w:bidi="es-MX"/>
      </w:rPr>
    </w:lvl>
    <w:lvl w:ilvl="8" w:tplc="50C6285E">
      <w:numFmt w:val="bullet"/>
      <w:lvlText w:val="•"/>
      <w:lvlJc w:val="left"/>
      <w:pPr>
        <w:ind w:left="7612" w:hanging="158"/>
      </w:pPr>
      <w:rPr>
        <w:rFonts w:hint="default"/>
        <w:lang w:val="es-MX" w:eastAsia="es-MX" w:bidi="es-MX"/>
      </w:rPr>
    </w:lvl>
  </w:abstractNum>
  <w:abstractNum w:abstractNumId="1" w15:restartNumberingAfterBreak="0">
    <w:nsid w:val="4A113589"/>
    <w:multiLevelType w:val="hybridMultilevel"/>
    <w:tmpl w:val="F14E0042"/>
    <w:lvl w:ilvl="0" w:tplc="63E0F8F0">
      <w:start w:val="1"/>
      <w:numFmt w:val="upperRoman"/>
      <w:lvlText w:val="%1."/>
      <w:lvlJc w:val="left"/>
      <w:pPr>
        <w:ind w:left="264" w:hanging="158"/>
      </w:pPr>
      <w:rPr>
        <w:rFonts w:ascii="Century Gothic" w:eastAsia="Century Gothic" w:hAnsi="Century Gothic" w:cs="Century Gothic" w:hint="default"/>
        <w:spacing w:val="0"/>
        <w:w w:val="99"/>
        <w:sz w:val="20"/>
        <w:szCs w:val="20"/>
        <w:lang w:val="es-MX" w:eastAsia="es-MX" w:bidi="es-MX"/>
      </w:rPr>
    </w:lvl>
    <w:lvl w:ilvl="1" w:tplc="BBE2502A">
      <w:numFmt w:val="bullet"/>
      <w:lvlText w:val="•"/>
      <w:lvlJc w:val="left"/>
      <w:pPr>
        <w:ind w:left="1183" w:hanging="158"/>
      </w:pPr>
      <w:rPr>
        <w:rFonts w:hint="default"/>
        <w:lang w:val="es-MX" w:eastAsia="es-MX" w:bidi="es-MX"/>
      </w:rPr>
    </w:lvl>
    <w:lvl w:ilvl="2" w:tplc="DFD46334">
      <w:numFmt w:val="bullet"/>
      <w:lvlText w:val="•"/>
      <w:lvlJc w:val="left"/>
      <w:pPr>
        <w:ind w:left="2106" w:hanging="158"/>
      </w:pPr>
      <w:rPr>
        <w:rFonts w:hint="default"/>
        <w:lang w:val="es-MX" w:eastAsia="es-MX" w:bidi="es-MX"/>
      </w:rPr>
    </w:lvl>
    <w:lvl w:ilvl="3" w:tplc="5D04CD44">
      <w:numFmt w:val="bullet"/>
      <w:lvlText w:val="•"/>
      <w:lvlJc w:val="left"/>
      <w:pPr>
        <w:ind w:left="3029" w:hanging="158"/>
      </w:pPr>
      <w:rPr>
        <w:rFonts w:hint="default"/>
        <w:lang w:val="es-MX" w:eastAsia="es-MX" w:bidi="es-MX"/>
      </w:rPr>
    </w:lvl>
    <w:lvl w:ilvl="4" w:tplc="32C88550">
      <w:numFmt w:val="bullet"/>
      <w:lvlText w:val="•"/>
      <w:lvlJc w:val="left"/>
      <w:pPr>
        <w:ind w:left="3952" w:hanging="158"/>
      </w:pPr>
      <w:rPr>
        <w:rFonts w:hint="default"/>
        <w:lang w:val="es-MX" w:eastAsia="es-MX" w:bidi="es-MX"/>
      </w:rPr>
    </w:lvl>
    <w:lvl w:ilvl="5" w:tplc="D5CED9A8">
      <w:numFmt w:val="bullet"/>
      <w:lvlText w:val="•"/>
      <w:lvlJc w:val="left"/>
      <w:pPr>
        <w:ind w:left="4875" w:hanging="158"/>
      </w:pPr>
      <w:rPr>
        <w:rFonts w:hint="default"/>
        <w:lang w:val="es-MX" w:eastAsia="es-MX" w:bidi="es-MX"/>
      </w:rPr>
    </w:lvl>
    <w:lvl w:ilvl="6" w:tplc="BBF6827A">
      <w:numFmt w:val="bullet"/>
      <w:lvlText w:val="•"/>
      <w:lvlJc w:val="left"/>
      <w:pPr>
        <w:ind w:left="5798" w:hanging="158"/>
      </w:pPr>
      <w:rPr>
        <w:rFonts w:hint="default"/>
        <w:lang w:val="es-MX" w:eastAsia="es-MX" w:bidi="es-MX"/>
      </w:rPr>
    </w:lvl>
    <w:lvl w:ilvl="7" w:tplc="F4E829EC">
      <w:numFmt w:val="bullet"/>
      <w:lvlText w:val="•"/>
      <w:lvlJc w:val="left"/>
      <w:pPr>
        <w:ind w:left="6721" w:hanging="158"/>
      </w:pPr>
      <w:rPr>
        <w:rFonts w:hint="default"/>
        <w:lang w:val="es-MX" w:eastAsia="es-MX" w:bidi="es-MX"/>
      </w:rPr>
    </w:lvl>
    <w:lvl w:ilvl="8" w:tplc="9AD21AD8">
      <w:numFmt w:val="bullet"/>
      <w:lvlText w:val="•"/>
      <w:lvlJc w:val="left"/>
      <w:pPr>
        <w:ind w:left="7644" w:hanging="158"/>
      </w:pPr>
      <w:rPr>
        <w:rFonts w:hint="default"/>
        <w:lang w:val="es-MX" w:eastAsia="es-MX" w:bidi="es-MX"/>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9A"/>
    <w:rsid w:val="00057B83"/>
    <w:rsid w:val="00074342"/>
    <w:rsid w:val="0016189A"/>
    <w:rsid w:val="00166519"/>
    <w:rsid w:val="00297CD3"/>
    <w:rsid w:val="002D43C6"/>
    <w:rsid w:val="00302F31"/>
    <w:rsid w:val="00357ECA"/>
    <w:rsid w:val="00410B30"/>
    <w:rsid w:val="00420639"/>
    <w:rsid w:val="00520E3B"/>
    <w:rsid w:val="00540632"/>
    <w:rsid w:val="006259A9"/>
    <w:rsid w:val="00781810"/>
    <w:rsid w:val="008F6D8D"/>
    <w:rsid w:val="00A25A11"/>
    <w:rsid w:val="00A62D51"/>
    <w:rsid w:val="00C6584A"/>
    <w:rsid w:val="00CB142B"/>
    <w:rsid w:val="00CB18C1"/>
    <w:rsid w:val="00E0407C"/>
    <w:rsid w:val="00EC31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1D702"/>
  <w15:docId w15:val="{63029389-4BA9-4244-B81B-07B8A7A4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s-MX"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w:eastAsia="Arial" w:hAnsi="Arial" w:cs="Arial"/>
      <w:b/>
      <w:bCs/>
      <w:i/>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6"/>
    </w:pPr>
  </w:style>
  <w:style w:type="paragraph" w:styleId="Encabezado">
    <w:name w:val="header"/>
    <w:basedOn w:val="Normal"/>
    <w:link w:val="EncabezadoCar"/>
    <w:uiPriority w:val="99"/>
    <w:unhideWhenUsed/>
    <w:rsid w:val="00E0407C"/>
    <w:pPr>
      <w:tabs>
        <w:tab w:val="center" w:pos="4419"/>
        <w:tab w:val="right" w:pos="8838"/>
      </w:tabs>
    </w:pPr>
  </w:style>
  <w:style w:type="character" w:customStyle="1" w:styleId="EncabezadoCar">
    <w:name w:val="Encabezado Car"/>
    <w:basedOn w:val="Fuentedeprrafopredeter"/>
    <w:link w:val="Encabezado"/>
    <w:uiPriority w:val="99"/>
    <w:rsid w:val="00E0407C"/>
    <w:rPr>
      <w:rFonts w:ascii="Century Gothic" w:eastAsia="Century Gothic" w:hAnsi="Century Gothic" w:cs="Century Gothic"/>
      <w:lang w:val="es-MX" w:eastAsia="es-MX" w:bidi="es-MX"/>
    </w:rPr>
  </w:style>
  <w:style w:type="paragraph" w:styleId="Piedepgina">
    <w:name w:val="footer"/>
    <w:basedOn w:val="Normal"/>
    <w:link w:val="PiedepginaCar"/>
    <w:uiPriority w:val="99"/>
    <w:unhideWhenUsed/>
    <w:rsid w:val="00E0407C"/>
    <w:pPr>
      <w:tabs>
        <w:tab w:val="center" w:pos="4419"/>
        <w:tab w:val="right" w:pos="8838"/>
      </w:tabs>
    </w:pPr>
  </w:style>
  <w:style w:type="character" w:customStyle="1" w:styleId="PiedepginaCar">
    <w:name w:val="Pie de página Car"/>
    <w:basedOn w:val="Fuentedeprrafopredeter"/>
    <w:link w:val="Piedepgina"/>
    <w:uiPriority w:val="99"/>
    <w:rsid w:val="00E0407C"/>
    <w:rPr>
      <w:rFonts w:ascii="Century Gothic" w:eastAsia="Century Gothic" w:hAnsi="Century Gothic" w:cs="Century Gothic"/>
      <w:lang w:val="es-MX" w:eastAsia="es-MX" w:bidi="es-MX"/>
    </w:rPr>
  </w:style>
  <w:style w:type="character" w:styleId="Hipervnculo">
    <w:name w:val="Hyperlink"/>
    <w:basedOn w:val="Fuentedeprrafopredeter"/>
    <w:uiPriority w:val="99"/>
    <w:unhideWhenUsed/>
    <w:rsid w:val="008F6D8D"/>
    <w:rPr>
      <w:color w:val="0000FF" w:themeColor="hyperlink"/>
      <w:u w:val="single"/>
    </w:rPr>
  </w:style>
  <w:style w:type="character" w:styleId="Mencinsinresolver">
    <w:name w:val="Unresolved Mention"/>
    <w:basedOn w:val="Fuentedeprrafopredeter"/>
    <w:uiPriority w:val="99"/>
    <w:semiHidden/>
    <w:unhideWhenUsed/>
    <w:rsid w:val="008F6D8D"/>
    <w:rPr>
      <w:color w:val="605E5C"/>
      <w:shd w:val="clear" w:color="auto" w:fill="E1DFDD"/>
    </w:rPr>
  </w:style>
  <w:style w:type="character" w:styleId="Hipervnculovisitado">
    <w:name w:val="FollowedHyperlink"/>
    <w:basedOn w:val="Fuentedeprrafopredeter"/>
    <w:uiPriority w:val="99"/>
    <w:semiHidden/>
    <w:unhideWhenUsed/>
    <w:rsid w:val="008F6D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bovmsilap.scjn.pjf.gob.mx/Buscador/Paginas/AbrirDocArticulo.aspx?q=u+uol4XmeVVQSBV20oBZU0frIWOqBLBJXdq9iuyiGlec7zSZlTv3ohWdVep0u4jLpA0l/1g7DxTiBxP+E99BAw=="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ovmsilap.scjn.pjf.gob.mx/Buscador/Paginas/AbrirDocArticulo.aspx?q=RwBpe8rX5ohmRGandsNgnRb1ab73tPlVvSolYxaPtxTGWer+JYBUMo5Iyh4wTj/fhOox1QYKe89Rs58zZTy/mg=="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ovmsilap.scjn.pjf.gob.mx/Buscador/Paginas/AbrirDocArticulo.aspx?q=E1g+GnTpDqE4YUE9Asw1/VAFby5qWUO6nsBV4c4yBNFNvGuP+GHMTwMDJQ6ywiqiYLKqX1+guiZA/ZbkSfdzR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ovmsilap.scjn.pjf.gob.mx/Buscador/Paginas/AbrirDocReforma.aspx?q=QxMukt/ZJuuBLDl52fEGK2KmGaNCP6sbSy4htvd0k7Z2x5q3blBkhMo08AYXQP9HL7qWGKeozf1BdekwqEcs8Q7HNNp6JKTry5b1PyfiEUxK3Z2J89gweKn6Os6fUtwZ"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1773</Words>
  <Characters>9754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 Isay Martínez Flores</dc:creator>
  <cp:lastModifiedBy>Luis Enrique González Ortega</cp:lastModifiedBy>
  <cp:revision>17</cp:revision>
  <dcterms:created xsi:type="dcterms:W3CDTF">2021-11-01T19:36:00Z</dcterms:created>
  <dcterms:modified xsi:type="dcterms:W3CDTF">2021-11-09T22:49:00Z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Microsoft® Word 2016</vt:lpwstr>
  </property>
  <property fmtid="{D5CDD505-2E9C-101B-9397-08002B2CF9AE}" pid="4" name="LastSaved">
    <vt:filetime>2021-11-01T00:00:00Z</vt:filetime>
  </property>
</Properties>
</file>