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435E" w14:textId="77777777" w:rsidR="004F35DF" w:rsidRDefault="004F35DF">
      <w:pPr>
        <w:spacing w:after="0"/>
        <w:ind w:left="-24" w:right="17248"/>
        <w:jc w:val="both"/>
      </w:pPr>
    </w:p>
    <w:tbl>
      <w:tblPr>
        <w:tblStyle w:val="TableGrid"/>
        <w:tblW w:w="17448" w:type="dxa"/>
        <w:tblInd w:w="-17" w:type="dxa"/>
        <w:tblLayout w:type="fixed"/>
        <w:tblCellMar>
          <w:top w:w="61" w:type="dxa"/>
          <w:left w:w="108" w:type="dxa"/>
          <w:right w:w="51" w:type="dxa"/>
        </w:tblCellMar>
        <w:tblLook w:val="04A0" w:firstRow="1" w:lastRow="0" w:firstColumn="1" w:lastColumn="0" w:noHBand="0" w:noVBand="1"/>
      </w:tblPr>
      <w:tblGrid>
        <w:gridCol w:w="746"/>
        <w:gridCol w:w="1251"/>
        <w:gridCol w:w="3118"/>
        <w:gridCol w:w="12333"/>
      </w:tblGrid>
      <w:tr w:rsidR="000220D6" w14:paraId="701AA7A1" w14:textId="77777777" w:rsidTr="000220D6">
        <w:trPr>
          <w:trHeight w:val="408"/>
          <w:tblHeader/>
        </w:trPr>
        <w:tc>
          <w:tcPr>
            <w:tcW w:w="746" w:type="dxa"/>
            <w:tcBorders>
              <w:top w:val="single" w:sz="4" w:space="0" w:color="BFBFBF"/>
              <w:left w:val="single" w:sz="4" w:space="0" w:color="BFBFBF"/>
              <w:bottom w:val="single" w:sz="4" w:space="0" w:color="BFBFBF"/>
              <w:right w:val="single" w:sz="4" w:space="0" w:color="BFBFBF"/>
            </w:tcBorders>
            <w:shd w:val="clear" w:color="auto" w:fill="76923C"/>
          </w:tcPr>
          <w:p w14:paraId="4B8F475D" w14:textId="77777777" w:rsidR="000220D6" w:rsidRDefault="000220D6">
            <w:pPr>
              <w:ind w:left="191"/>
              <w:jc w:val="center"/>
            </w:pPr>
            <w:r>
              <w:rPr>
                <w:rFonts w:ascii="Century Gothic" w:eastAsia="Century Gothic" w:hAnsi="Century Gothic" w:cs="Century Gothic"/>
                <w:b/>
                <w:color w:val="FFFFFF"/>
                <w:sz w:val="20"/>
              </w:rPr>
              <w:t xml:space="preserve"> </w:t>
            </w:r>
          </w:p>
        </w:tc>
        <w:tc>
          <w:tcPr>
            <w:tcW w:w="1251" w:type="dxa"/>
            <w:tcBorders>
              <w:top w:val="single" w:sz="4" w:space="0" w:color="BFBFBF"/>
              <w:left w:val="single" w:sz="4" w:space="0" w:color="BFBFBF"/>
              <w:bottom w:val="single" w:sz="4" w:space="0" w:color="BFBFBF"/>
              <w:right w:val="single" w:sz="4" w:space="0" w:color="BFBFBF"/>
            </w:tcBorders>
            <w:shd w:val="clear" w:color="auto" w:fill="76923C"/>
          </w:tcPr>
          <w:p w14:paraId="52B188EF" w14:textId="77777777" w:rsidR="000220D6" w:rsidRDefault="000220D6">
            <w:pPr>
              <w:ind w:right="60"/>
              <w:jc w:val="center"/>
            </w:pPr>
            <w:r>
              <w:rPr>
                <w:rFonts w:ascii="Century Gothic" w:eastAsia="Century Gothic" w:hAnsi="Century Gothic" w:cs="Century Gothic"/>
                <w:b/>
                <w:color w:val="FFFFFF"/>
                <w:sz w:val="20"/>
              </w:rPr>
              <w:t xml:space="preserve">ESTADO </w:t>
            </w:r>
          </w:p>
        </w:tc>
        <w:tc>
          <w:tcPr>
            <w:tcW w:w="3118" w:type="dxa"/>
            <w:tcBorders>
              <w:top w:val="single" w:sz="4" w:space="0" w:color="BFBFBF"/>
              <w:left w:val="single" w:sz="4" w:space="0" w:color="BFBFBF"/>
              <w:bottom w:val="single" w:sz="4" w:space="0" w:color="BFBFBF"/>
              <w:right w:val="single" w:sz="4" w:space="0" w:color="BFBFBF"/>
            </w:tcBorders>
            <w:shd w:val="clear" w:color="auto" w:fill="76923C"/>
          </w:tcPr>
          <w:p w14:paraId="7FDF23F8" w14:textId="77777777" w:rsidR="000220D6" w:rsidRDefault="000220D6">
            <w:pPr>
              <w:ind w:right="58"/>
              <w:jc w:val="center"/>
            </w:pPr>
            <w:r>
              <w:rPr>
                <w:rFonts w:ascii="Century Gothic" w:eastAsia="Century Gothic" w:hAnsi="Century Gothic" w:cs="Century Gothic"/>
                <w:b/>
                <w:color w:val="FFFFFF"/>
                <w:sz w:val="20"/>
              </w:rPr>
              <w:t xml:space="preserve">LEY </w:t>
            </w:r>
          </w:p>
        </w:tc>
        <w:tc>
          <w:tcPr>
            <w:tcW w:w="12333" w:type="dxa"/>
            <w:tcBorders>
              <w:top w:val="single" w:sz="4" w:space="0" w:color="BFBFBF"/>
              <w:left w:val="single" w:sz="4" w:space="0" w:color="BFBFBF"/>
              <w:bottom w:val="single" w:sz="4" w:space="0" w:color="BFBFBF"/>
              <w:right w:val="single" w:sz="4" w:space="0" w:color="BFBFBF"/>
            </w:tcBorders>
            <w:shd w:val="clear" w:color="auto" w:fill="76923C"/>
          </w:tcPr>
          <w:p w14:paraId="2E73D78F" w14:textId="77777777" w:rsidR="000220D6" w:rsidRDefault="000220D6">
            <w:pPr>
              <w:ind w:right="58"/>
              <w:jc w:val="center"/>
            </w:pPr>
            <w:r>
              <w:rPr>
                <w:rFonts w:ascii="Century Gothic" w:eastAsia="Century Gothic" w:hAnsi="Century Gothic" w:cs="Century Gothic"/>
                <w:b/>
                <w:color w:val="FFFFFF"/>
                <w:sz w:val="20"/>
              </w:rPr>
              <w:t xml:space="preserve">ARTÍCULO (TRANSCRIPCIÓN) </w:t>
            </w:r>
          </w:p>
        </w:tc>
      </w:tr>
      <w:tr w:rsidR="000220D6" w14:paraId="5DACA3FF" w14:textId="77777777" w:rsidTr="000220D6">
        <w:trPr>
          <w:trHeight w:val="2757"/>
        </w:trPr>
        <w:tc>
          <w:tcPr>
            <w:tcW w:w="74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99DB19E" w14:textId="77777777" w:rsidR="000220D6" w:rsidRDefault="000220D6">
            <w:pPr>
              <w:ind w:right="419"/>
              <w:jc w:val="center"/>
              <w:rPr>
                <w:rFonts w:ascii="Arial" w:eastAsia="Arial" w:hAnsi="Arial" w:cs="Arial"/>
                <w:b/>
                <w:sz w:val="20"/>
              </w:rPr>
            </w:pPr>
            <w:r>
              <w:rPr>
                <w:rFonts w:ascii="Century Gothic" w:eastAsia="Century Gothic" w:hAnsi="Century Gothic" w:cs="Century Gothic"/>
                <w:b/>
                <w:sz w:val="20"/>
              </w:rPr>
              <w:t>1.</w:t>
            </w:r>
            <w:r>
              <w:rPr>
                <w:rFonts w:ascii="Arial" w:eastAsia="Arial" w:hAnsi="Arial" w:cs="Arial"/>
                <w:b/>
                <w:sz w:val="20"/>
              </w:rPr>
              <w:t xml:space="preserve"> </w:t>
            </w:r>
          </w:p>
          <w:p w14:paraId="41B3C40E" w14:textId="77777777" w:rsidR="000220D6" w:rsidRDefault="000220D6">
            <w:pPr>
              <w:ind w:right="419"/>
              <w:jc w:val="center"/>
              <w:rPr>
                <w:rFonts w:ascii="Arial" w:eastAsia="Arial" w:hAnsi="Arial" w:cs="Arial"/>
                <w:b/>
                <w:sz w:val="20"/>
              </w:rPr>
            </w:pPr>
          </w:p>
          <w:p w14:paraId="287515C5" w14:textId="77777777" w:rsidR="000220D6" w:rsidRDefault="000220D6">
            <w:pPr>
              <w:ind w:right="419"/>
              <w:jc w:val="center"/>
              <w:rPr>
                <w:rFonts w:ascii="Arial" w:eastAsia="Arial" w:hAnsi="Arial" w:cs="Arial"/>
                <w:b/>
                <w:sz w:val="20"/>
              </w:rPr>
            </w:pPr>
          </w:p>
          <w:p w14:paraId="2ED0E163" w14:textId="77777777" w:rsidR="000220D6" w:rsidRDefault="000220D6">
            <w:pPr>
              <w:ind w:right="419"/>
              <w:jc w:val="center"/>
              <w:rPr>
                <w:rFonts w:ascii="Arial" w:eastAsia="Arial" w:hAnsi="Arial" w:cs="Arial"/>
                <w:b/>
                <w:sz w:val="20"/>
              </w:rPr>
            </w:pPr>
          </w:p>
          <w:p w14:paraId="1E635CFF" w14:textId="77777777" w:rsidR="000220D6" w:rsidRDefault="000220D6">
            <w:pPr>
              <w:ind w:right="419"/>
              <w:jc w:val="center"/>
              <w:rPr>
                <w:rFonts w:ascii="Arial" w:eastAsia="Arial" w:hAnsi="Arial" w:cs="Arial"/>
                <w:b/>
                <w:sz w:val="20"/>
              </w:rPr>
            </w:pPr>
          </w:p>
          <w:p w14:paraId="64F367CB" w14:textId="77777777" w:rsidR="000220D6" w:rsidRDefault="000220D6">
            <w:pPr>
              <w:ind w:right="419"/>
              <w:jc w:val="center"/>
              <w:rPr>
                <w:rFonts w:ascii="Arial" w:eastAsia="Arial" w:hAnsi="Arial" w:cs="Arial"/>
                <w:b/>
                <w:sz w:val="20"/>
              </w:rPr>
            </w:pPr>
          </w:p>
          <w:p w14:paraId="68E1C9AF" w14:textId="77777777" w:rsidR="000220D6" w:rsidRDefault="000220D6">
            <w:pPr>
              <w:ind w:right="419"/>
              <w:jc w:val="center"/>
              <w:rPr>
                <w:rFonts w:ascii="Arial" w:eastAsia="Arial" w:hAnsi="Arial" w:cs="Arial"/>
                <w:b/>
                <w:sz w:val="20"/>
              </w:rPr>
            </w:pPr>
          </w:p>
          <w:p w14:paraId="390330D7" w14:textId="77777777" w:rsidR="000220D6" w:rsidRDefault="000220D6">
            <w:pPr>
              <w:ind w:right="419"/>
              <w:jc w:val="center"/>
              <w:rPr>
                <w:rFonts w:ascii="Arial" w:eastAsia="Arial" w:hAnsi="Arial" w:cs="Arial"/>
                <w:b/>
                <w:sz w:val="20"/>
              </w:rPr>
            </w:pPr>
          </w:p>
          <w:p w14:paraId="4A758205" w14:textId="77777777" w:rsidR="000220D6" w:rsidRDefault="000220D6">
            <w:pPr>
              <w:ind w:right="419"/>
              <w:jc w:val="center"/>
              <w:rPr>
                <w:rFonts w:ascii="Arial" w:eastAsia="Arial" w:hAnsi="Arial" w:cs="Arial"/>
                <w:b/>
                <w:sz w:val="20"/>
              </w:rPr>
            </w:pPr>
          </w:p>
          <w:p w14:paraId="1909D276" w14:textId="77777777" w:rsidR="000220D6" w:rsidRDefault="000220D6">
            <w:pPr>
              <w:ind w:right="419"/>
              <w:jc w:val="center"/>
              <w:rPr>
                <w:rFonts w:ascii="Arial" w:eastAsia="Arial" w:hAnsi="Arial" w:cs="Arial"/>
                <w:b/>
                <w:sz w:val="20"/>
              </w:rPr>
            </w:pPr>
          </w:p>
          <w:p w14:paraId="28DBA7C6" w14:textId="77777777" w:rsidR="000220D6" w:rsidRDefault="000220D6">
            <w:pPr>
              <w:ind w:right="419"/>
              <w:jc w:val="center"/>
              <w:rPr>
                <w:rFonts w:ascii="Arial" w:eastAsia="Arial" w:hAnsi="Arial" w:cs="Arial"/>
                <w:b/>
                <w:sz w:val="20"/>
              </w:rPr>
            </w:pPr>
          </w:p>
          <w:p w14:paraId="0DC02588" w14:textId="77777777" w:rsidR="000220D6" w:rsidRDefault="000220D6">
            <w:pPr>
              <w:ind w:right="419"/>
              <w:jc w:val="center"/>
              <w:rPr>
                <w:rFonts w:ascii="Arial" w:eastAsia="Arial" w:hAnsi="Arial" w:cs="Arial"/>
                <w:b/>
                <w:sz w:val="20"/>
              </w:rPr>
            </w:pPr>
          </w:p>
          <w:p w14:paraId="1F6C9AA4" w14:textId="77777777" w:rsidR="000220D6" w:rsidRDefault="000220D6">
            <w:pPr>
              <w:ind w:right="419"/>
              <w:jc w:val="center"/>
              <w:rPr>
                <w:rFonts w:ascii="Arial" w:eastAsia="Arial" w:hAnsi="Arial" w:cs="Arial"/>
                <w:b/>
                <w:sz w:val="20"/>
              </w:rPr>
            </w:pPr>
          </w:p>
          <w:p w14:paraId="24753CF4" w14:textId="77777777" w:rsidR="000220D6" w:rsidRDefault="000220D6">
            <w:pPr>
              <w:ind w:right="419"/>
              <w:jc w:val="center"/>
              <w:rPr>
                <w:rFonts w:ascii="Arial" w:eastAsia="Arial" w:hAnsi="Arial" w:cs="Arial"/>
                <w:b/>
                <w:sz w:val="20"/>
              </w:rPr>
            </w:pPr>
          </w:p>
          <w:p w14:paraId="40B01908" w14:textId="77777777" w:rsidR="000220D6" w:rsidRDefault="000220D6">
            <w:pPr>
              <w:ind w:right="419"/>
              <w:jc w:val="center"/>
              <w:rPr>
                <w:rFonts w:ascii="Arial" w:eastAsia="Arial" w:hAnsi="Arial" w:cs="Arial"/>
                <w:b/>
                <w:sz w:val="20"/>
              </w:rPr>
            </w:pPr>
          </w:p>
          <w:p w14:paraId="3EBD312E" w14:textId="77777777" w:rsidR="000220D6" w:rsidRDefault="000220D6">
            <w:pPr>
              <w:ind w:right="419"/>
              <w:jc w:val="center"/>
              <w:rPr>
                <w:rFonts w:ascii="Arial" w:eastAsia="Arial" w:hAnsi="Arial" w:cs="Arial"/>
                <w:b/>
                <w:sz w:val="20"/>
              </w:rPr>
            </w:pPr>
          </w:p>
          <w:p w14:paraId="7B14936A" w14:textId="77777777" w:rsidR="000220D6" w:rsidRDefault="000220D6">
            <w:pPr>
              <w:ind w:right="419"/>
              <w:jc w:val="center"/>
              <w:rPr>
                <w:rFonts w:ascii="Arial" w:eastAsia="Arial" w:hAnsi="Arial" w:cs="Arial"/>
                <w:b/>
                <w:sz w:val="20"/>
              </w:rPr>
            </w:pPr>
          </w:p>
          <w:p w14:paraId="5F684450" w14:textId="77777777" w:rsidR="000220D6" w:rsidRDefault="000220D6">
            <w:pPr>
              <w:ind w:right="419"/>
              <w:jc w:val="center"/>
              <w:rPr>
                <w:rFonts w:ascii="Arial" w:eastAsia="Arial" w:hAnsi="Arial" w:cs="Arial"/>
                <w:b/>
                <w:sz w:val="20"/>
              </w:rPr>
            </w:pPr>
          </w:p>
          <w:p w14:paraId="3E11A62D" w14:textId="77777777" w:rsidR="000220D6" w:rsidRDefault="000220D6">
            <w:pPr>
              <w:ind w:right="419"/>
              <w:jc w:val="center"/>
              <w:rPr>
                <w:rFonts w:ascii="Arial" w:eastAsia="Arial" w:hAnsi="Arial" w:cs="Arial"/>
                <w:b/>
                <w:sz w:val="20"/>
              </w:rPr>
            </w:pPr>
          </w:p>
          <w:p w14:paraId="4620E284" w14:textId="77777777" w:rsidR="000220D6" w:rsidRDefault="000220D6">
            <w:pPr>
              <w:ind w:right="419"/>
              <w:jc w:val="center"/>
              <w:rPr>
                <w:rFonts w:ascii="Arial" w:eastAsia="Arial" w:hAnsi="Arial" w:cs="Arial"/>
                <w:b/>
                <w:sz w:val="20"/>
              </w:rPr>
            </w:pPr>
          </w:p>
          <w:p w14:paraId="769EB771" w14:textId="77777777" w:rsidR="000220D6" w:rsidRDefault="000220D6">
            <w:pPr>
              <w:ind w:right="419"/>
              <w:jc w:val="center"/>
              <w:rPr>
                <w:rFonts w:ascii="Arial" w:eastAsia="Arial" w:hAnsi="Arial" w:cs="Arial"/>
                <w:b/>
                <w:sz w:val="20"/>
              </w:rPr>
            </w:pPr>
          </w:p>
          <w:p w14:paraId="41F073EB" w14:textId="77777777" w:rsidR="000220D6" w:rsidRDefault="000220D6">
            <w:pPr>
              <w:ind w:right="419"/>
              <w:jc w:val="center"/>
              <w:rPr>
                <w:rFonts w:ascii="Arial" w:eastAsia="Arial" w:hAnsi="Arial" w:cs="Arial"/>
                <w:b/>
                <w:sz w:val="20"/>
              </w:rPr>
            </w:pPr>
          </w:p>
          <w:p w14:paraId="409BE09A" w14:textId="77777777" w:rsidR="000220D6" w:rsidRDefault="000220D6">
            <w:pPr>
              <w:ind w:right="419"/>
              <w:jc w:val="center"/>
              <w:rPr>
                <w:rFonts w:ascii="Arial" w:eastAsia="Arial" w:hAnsi="Arial" w:cs="Arial"/>
                <w:b/>
                <w:sz w:val="20"/>
              </w:rPr>
            </w:pPr>
          </w:p>
          <w:p w14:paraId="370452CE" w14:textId="77777777" w:rsidR="000220D6" w:rsidRDefault="000220D6">
            <w:pPr>
              <w:ind w:right="419"/>
              <w:jc w:val="center"/>
              <w:rPr>
                <w:rFonts w:ascii="Arial" w:eastAsia="Arial" w:hAnsi="Arial" w:cs="Arial"/>
                <w:b/>
                <w:sz w:val="20"/>
              </w:rPr>
            </w:pPr>
          </w:p>
          <w:p w14:paraId="3BE98107" w14:textId="77777777" w:rsidR="000220D6" w:rsidRDefault="000220D6">
            <w:pPr>
              <w:ind w:right="419"/>
              <w:jc w:val="center"/>
              <w:rPr>
                <w:rFonts w:ascii="Arial" w:eastAsia="Arial" w:hAnsi="Arial" w:cs="Arial"/>
                <w:b/>
                <w:sz w:val="20"/>
              </w:rPr>
            </w:pPr>
          </w:p>
          <w:p w14:paraId="0807BB5E" w14:textId="77777777" w:rsidR="000220D6" w:rsidRDefault="000220D6">
            <w:pPr>
              <w:ind w:right="419"/>
              <w:jc w:val="center"/>
              <w:rPr>
                <w:rFonts w:ascii="Arial" w:eastAsia="Arial" w:hAnsi="Arial" w:cs="Arial"/>
                <w:b/>
                <w:sz w:val="20"/>
              </w:rPr>
            </w:pPr>
          </w:p>
          <w:p w14:paraId="2BABC61D" w14:textId="77777777" w:rsidR="000220D6" w:rsidRDefault="000220D6">
            <w:pPr>
              <w:ind w:right="419"/>
              <w:jc w:val="center"/>
              <w:rPr>
                <w:rFonts w:ascii="Arial" w:eastAsia="Arial" w:hAnsi="Arial" w:cs="Arial"/>
                <w:b/>
                <w:sz w:val="20"/>
              </w:rPr>
            </w:pPr>
          </w:p>
          <w:p w14:paraId="77DC0C84" w14:textId="77777777" w:rsidR="000220D6" w:rsidRDefault="000220D6">
            <w:pPr>
              <w:ind w:right="419"/>
              <w:jc w:val="center"/>
              <w:rPr>
                <w:rFonts w:ascii="Arial" w:eastAsia="Arial" w:hAnsi="Arial" w:cs="Arial"/>
                <w:b/>
                <w:sz w:val="20"/>
              </w:rPr>
            </w:pPr>
          </w:p>
          <w:p w14:paraId="4FD916D1" w14:textId="77777777" w:rsidR="000220D6" w:rsidRDefault="000220D6">
            <w:pPr>
              <w:ind w:right="419"/>
              <w:jc w:val="center"/>
              <w:rPr>
                <w:rFonts w:ascii="Arial" w:eastAsia="Arial" w:hAnsi="Arial" w:cs="Arial"/>
                <w:b/>
                <w:sz w:val="20"/>
              </w:rPr>
            </w:pPr>
          </w:p>
          <w:p w14:paraId="564D3B4C" w14:textId="77777777" w:rsidR="000220D6" w:rsidRDefault="000220D6">
            <w:pPr>
              <w:ind w:right="419"/>
              <w:jc w:val="center"/>
              <w:rPr>
                <w:rFonts w:ascii="Arial" w:eastAsia="Arial" w:hAnsi="Arial" w:cs="Arial"/>
                <w:b/>
                <w:sz w:val="20"/>
              </w:rPr>
            </w:pPr>
          </w:p>
          <w:p w14:paraId="6BE8B79C" w14:textId="77777777" w:rsidR="000220D6" w:rsidRDefault="000220D6">
            <w:pPr>
              <w:ind w:right="419"/>
              <w:jc w:val="center"/>
              <w:rPr>
                <w:rFonts w:ascii="Arial" w:eastAsia="Arial" w:hAnsi="Arial" w:cs="Arial"/>
                <w:b/>
                <w:sz w:val="20"/>
              </w:rPr>
            </w:pPr>
          </w:p>
          <w:p w14:paraId="59D8D62E" w14:textId="77777777" w:rsidR="000220D6" w:rsidRDefault="000220D6">
            <w:pPr>
              <w:ind w:right="419"/>
              <w:jc w:val="center"/>
              <w:rPr>
                <w:rFonts w:ascii="Arial" w:eastAsia="Arial" w:hAnsi="Arial" w:cs="Arial"/>
                <w:b/>
                <w:sz w:val="20"/>
              </w:rPr>
            </w:pPr>
          </w:p>
          <w:p w14:paraId="6E9D7BF3" w14:textId="77777777" w:rsidR="000220D6" w:rsidRDefault="000220D6">
            <w:pPr>
              <w:ind w:right="419"/>
              <w:jc w:val="center"/>
              <w:rPr>
                <w:rFonts w:ascii="Arial" w:eastAsia="Arial" w:hAnsi="Arial" w:cs="Arial"/>
                <w:b/>
                <w:sz w:val="20"/>
              </w:rPr>
            </w:pPr>
          </w:p>
          <w:p w14:paraId="2AA8FFEE" w14:textId="77777777" w:rsidR="000220D6" w:rsidRDefault="000220D6">
            <w:pPr>
              <w:ind w:right="419"/>
              <w:jc w:val="center"/>
              <w:rPr>
                <w:rFonts w:ascii="Arial" w:eastAsia="Arial" w:hAnsi="Arial" w:cs="Arial"/>
                <w:b/>
                <w:sz w:val="20"/>
              </w:rPr>
            </w:pPr>
          </w:p>
          <w:p w14:paraId="306F219B" w14:textId="77777777" w:rsidR="000220D6" w:rsidRDefault="000220D6">
            <w:pPr>
              <w:ind w:right="419"/>
              <w:jc w:val="center"/>
            </w:pPr>
            <w:r>
              <w:rPr>
                <w:rFonts w:ascii="Century Gothic" w:eastAsia="Century Gothic" w:hAnsi="Century Gothic" w:cs="Century Gothic"/>
                <w:b/>
                <w:sz w:val="20"/>
              </w:rPr>
              <w:t xml:space="preserve"> </w:t>
            </w:r>
          </w:p>
        </w:tc>
        <w:tc>
          <w:tcPr>
            <w:tcW w:w="12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2691079" w14:textId="77777777" w:rsidR="000220D6" w:rsidRDefault="000220D6">
            <w:pPr>
              <w:ind w:right="60"/>
              <w:jc w:val="center"/>
              <w:rPr>
                <w:b/>
              </w:rPr>
            </w:pPr>
            <w:r w:rsidRPr="0010728E">
              <w:rPr>
                <w:b/>
              </w:rPr>
              <w:lastRenderedPageBreak/>
              <w:t>PUEBLA</w:t>
            </w:r>
          </w:p>
          <w:p w14:paraId="03A9D1A5" w14:textId="77777777" w:rsidR="000220D6" w:rsidRDefault="000220D6">
            <w:pPr>
              <w:ind w:right="60"/>
              <w:jc w:val="center"/>
              <w:rPr>
                <w:b/>
              </w:rPr>
            </w:pPr>
          </w:p>
          <w:p w14:paraId="24DC58B2" w14:textId="77777777" w:rsidR="000220D6" w:rsidRDefault="000220D6">
            <w:pPr>
              <w:ind w:right="60"/>
              <w:jc w:val="center"/>
              <w:rPr>
                <w:b/>
              </w:rPr>
            </w:pPr>
          </w:p>
          <w:p w14:paraId="34436F85" w14:textId="77777777" w:rsidR="000220D6" w:rsidRDefault="000220D6">
            <w:pPr>
              <w:ind w:right="60"/>
              <w:jc w:val="center"/>
              <w:rPr>
                <w:b/>
              </w:rPr>
            </w:pPr>
          </w:p>
          <w:p w14:paraId="1A1A0667" w14:textId="77777777" w:rsidR="000220D6" w:rsidRDefault="000220D6">
            <w:pPr>
              <w:ind w:right="60"/>
              <w:jc w:val="center"/>
              <w:rPr>
                <w:b/>
              </w:rPr>
            </w:pPr>
          </w:p>
          <w:p w14:paraId="73746306" w14:textId="77777777" w:rsidR="000220D6" w:rsidRDefault="000220D6">
            <w:pPr>
              <w:ind w:right="60"/>
              <w:jc w:val="center"/>
              <w:rPr>
                <w:b/>
              </w:rPr>
            </w:pPr>
          </w:p>
          <w:p w14:paraId="5307D391" w14:textId="77777777" w:rsidR="000220D6" w:rsidRDefault="000220D6">
            <w:pPr>
              <w:ind w:right="60"/>
              <w:jc w:val="center"/>
              <w:rPr>
                <w:b/>
              </w:rPr>
            </w:pPr>
          </w:p>
          <w:p w14:paraId="6E4C3B36" w14:textId="77777777" w:rsidR="000220D6" w:rsidRDefault="000220D6">
            <w:pPr>
              <w:ind w:right="60"/>
              <w:jc w:val="center"/>
              <w:rPr>
                <w:b/>
              </w:rPr>
            </w:pPr>
          </w:p>
          <w:p w14:paraId="7D888924" w14:textId="77777777" w:rsidR="000220D6" w:rsidRDefault="000220D6">
            <w:pPr>
              <w:ind w:right="60"/>
              <w:jc w:val="center"/>
              <w:rPr>
                <w:b/>
              </w:rPr>
            </w:pPr>
          </w:p>
          <w:p w14:paraId="7A021419" w14:textId="77777777" w:rsidR="000220D6" w:rsidRDefault="000220D6">
            <w:pPr>
              <w:ind w:right="60"/>
              <w:jc w:val="center"/>
              <w:rPr>
                <w:b/>
              </w:rPr>
            </w:pPr>
          </w:p>
          <w:p w14:paraId="3CCA042F" w14:textId="77777777" w:rsidR="000220D6" w:rsidRDefault="000220D6">
            <w:pPr>
              <w:ind w:right="60"/>
              <w:jc w:val="center"/>
              <w:rPr>
                <w:b/>
              </w:rPr>
            </w:pPr>
          </w:p>
          <w:p w14:paraId="2D0F57B7" w14:textId="77777777" w:rsidR="000220D6" w:rsidRDefault="000220D6">
            <w:pPr>
              <w:ind w:right="60"/>
              <w:jc w:val="center"/>
              <w:rPr>
                <w:b/>
              </w:rPr>
            </w:pPr>
          </w:p>
          <w:p w14:paraId="40A4DCC0" w14:textId="77777777" w:rsidR="000220D6" w:rsidRDefault="000220D6">
            <w:pPr>
              <w:ind w:right="60"/>
              <w:jc w:val="center"/>
              <w:rPr>
                <w:b/>
              </w:rPr>
            </w:pPr>
          </w:p>
          <w:p w14:paraId="0FB5805A" w14:textId="77777777" w:rsidR="000220D6" w:rsidRDefault="000220D6">
            <w:pPr>
              <w:ind w:right="60"/>
              <w:jc w:val="center"/>
              <w:rPr>
                <w:b/>
              </w:rPr>
            </w:pPr>
          </w:p>
          <w:p w14:paraId="4109C4ED" w14:textId="77777777" w:rsidR="000220D6" w:rsidRDefault="000220D6">
            <w:pPr>
              <w:ind w:right="60"/>
              <w:jc w:val="center"/>
              <w:rPr>
                <w:b/>
              </w:rPr>
            </w:pPr>
          </w:p>
          <w:p w14:paraId="2ED495D6" w14:textId="77777777" w:rsidR="000220D6" w:rsidRDefault="000220D6">
            <w:pPr>
              <w:ind w:right="60"/>
              <w:jc w:val="center"/>
              <w:rPr>
                <w:b/>
              </w:rPr>
            </w:pPr>
          </w:p>
          <w:p w14:paraId="2C84EF23" w14:textId="77777777" w:rsidR="000220D6" w:rsidRDefault="000220D6">
            <w:pPr>
              <w:ind w:right="60"/>
              <w:jc w:val="center"/>
              <w:rPr>
                <w:b/>
              </w:rPr>
            </w:pPr>
          </w:p>
          <w:p w14:paraId="02D6D4A1" w14:textId="77777777" w:rsidR="000220D6" w:rsidRDefault="000220D6">
            <w:pPr>
              <w:ind w:right="60"/>
              <w:jc w:val="center"/>
              <w:rPr>
                <w:b/>
              </w:rPr>
            </w:pPr>
          </w:p>
          <w:p w14:paraId="06A7DFD6" w14:textId="77777777" w:rsidR="000220D6" w:rsidRDefault="000220D6">
            <w:pPr>
              <w:ind w:right="60"/>
              <w:jc w:val="center"/>
              <w:rPr>
                <w:b/>
              </w:rPr>
            </w:pPr>
          </w:p>
          <w:p w14:paraId="7142C2D3" w14:textId="77777777" w:rsidR="000220D6" w:rsidRDefault="000220D6">
            <w:pPr>
              <w:ind w:right="60"/>
              <w:jc w:val="center"/>
              <w:rPr>
                <w:b/>
              </w:rPr>
            </w:pPr>
          </w:p>
          <w:p w14:paraId="2938FE53" w14:textId="77777777" w:rsidR="000220D6" w:rsidRDefault="000220D6">
            <w:pPr>
              <w:ind w:right="60"/>
              <w:jc w:val="center"/>
              <w:rPr>
                <w:b/>
              </w:rPr>
            </w:pPr>
          </w:p>
          <w:p w14:paraId="0A816D14" w14:textId="77777777" w:rsidR="000220D6" w:rsidRDefault="000220D6">
            <w:pPr>
              <w:ind w:right="60"/>
              <w:jc w:val="center"/>
              <w:rPr>
                <w:b/>
              </w:rPr>
            </w:pPr>
          </w:p>
          <w:p w14:paraId="22425137" w14:textId="77777777" w:rsidR="000220D6" w:rsidRDefault="000220D6">
            <w:pPr>
              <w:ind w:right="60"/>
              <w:jc w:val="center"/>
              <w:rPr>
                <w:b/>
              </w:rPr>
            </w:pPr>
          </w:p>
          <w:p w14:paraId="65326041" w14:textId="77777777" w:rsidR="000220D6" w:rsidRDefault="000220D6">
            <w:pPr>
              <w:ind w:right="60"/>
              <w:jc w:val="center"/>
              <w:rPr>
                <w:b/>
              </w:rPr>
            </w:pPr>
          </w:p>
          <w:p w14:paraId="58A37D12" w14:textId="77777777" w:rsidR="000220D6" w:rsidRDefault="000220D6">
            <w:pPr>
              <w:ind w:right="60"/>
              <w:jc w:val="center"/>
              <w:rPr>
                <w:b/>
              </w:rPr>
            </w:pPr>
          </w:p>
          <w:p w14:paraId="1302051E" w14:textId="77777777" w:rsidR="000220D6" w:rsidRDefault="000220D6">
            <w:pPr>
              <w:ind w:right="60"/>
              <w:jc w:val="center"/>
              <w:rPr>
                <w:b/>
              </w:rPr>
            </w:pPr>
          </w:p>
          <w:p w14:paraId="4F8B00C0" w14:textId="77777777" w:rsidR="000220D6" w:rsidRDefault="000220D6">
            <w:pPr>
              <w:ind w:right="60"/>
              <w:jc w:val="center"/>
              <w:rPr>
                <w:b/>
              </w:rPr>
            </w:pPr>
          </w:p>
          <w:p w14:paraId="22A8B013" w14:textId="77777777" w:rsidR="000220D6" w:rsidRDefault="000220D6">
            <w:pPr>
              <w:ind w:right="60"/>
              <w:jc w:val="center"/>
              <w:rPr>
                <w:b/>
              </w:rPr>
            </w:pPr>
          </w:p>
          <w:p w14:paraId="3C779913" w14:textId="77777777" w:rsidR="000220D6" w:rsidRDefault="000220D6">
            <w:pPr>
              <w:ind w:right="60"/>
              <w:jc w:val="center"/>
              <w:rPr>
                <w:b/>
              </w:rPr>
            </w:pPr>
          </w:p>
          <w:p w14:paraId="53385561" w14:textId="77777777" w:rsidR="000220D6" w:rsidRPr="0010728E" w:rsidRDefault="000220D6">
            <w:pPr>
              <w:ind w:right="60"/>
              <w:jc w:val="center"/>
              <w:rPr>
                <w:b/>
              </w:rPr>
            </w:pPr>
          </w:p>
        </w:tc>
        <w:tc>
          <w:tcPr>
            <w:tcW w:w="311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3303E29" w14:textId="77777777" w:rsidR="000220D6" w:rsidRPr="000220D6" w:rsidRDefault="000220D6" w:rsidP="00BE09F8">
            <w:pPr>
              <w:ind w:left="65"/>
              <w:jc w:val="center"/>
              <w:rPr>
                <w:b/>
                <w:color w:val="auto"/>
              </w:rPr>
            </w:pPr>
            <w:hyperlink r:id="rId7" w:history="1">
              <w:r w:rsidRPr="000220D6">
                <w:rPr>
                  <w:rStyle w:val="Hipervnculo"/>
                  <w:b/>
                  <w:color w:val="auto"/>
                  <w:u w:val="none"/>
                </w:rPr>
                <w:t>Constitución Política del Estado Libre y Soberano de Puebla</w:t>
              </w:r>
            </w:hyperlink>
          </w:p>
          <w:p w14:paraId="5CCD6F27" w14:textId="77777777" w:rsidR="000220D6" w:rsidRDefault="000220D6">
            <w:pPr>
              <w:ind w:left="65"/>
            </w:pPr>
          </w:p>
          <w:p w14:paraId="502E1737" w14:textId="77777777" w:rsidR="000220D6" w:rsidRDefault="000220D6">
            <w:pPr>
              <w:ind w:left="65"/>
            </w:pPr>
          </w:p>
          <w:p w14:paraId="133D6FFA" w14:textId="77777777" w:rsidR="000220D6" w:rsidRDefault="000220D6">
            <w:pPr>
              <w:ind w:left="65"/>
            </w:pPr>
          </w:p>
          <w:p w14:paraId="36FD78E0" w14:textId="77777777" w:rsidR="000220D6" w:rsidRDefault="000220D6">
            <w:pPr>
              <w:ind w:left="65"/>
            </w:pPr>
          </w:p>
          <w:p w14:paraId="351305EA" w14:textId="77777777" w:rsidR="000220D6" w:rsidRDefault="000220D6">
            <w:pPr>
              <w:ind w:left="65"/>
            </w:pPr>
          </w:p>
          <w:p w14:paraId="35D6A1FF" w14:textId="77777777" w:rsidR="000220D6" w:rsidRDefault="000220D6">
            <w:pPr>
              <w:ind w:left="65"/>
            </w:pPr>
          </w:p>
          <w:p w14:paraId="06119220" w14:textId="77777777" w:rsidR="000220D6" w:rsidRDefault="000220D6">
            <w:pPr>
              <w:ind w:left="65"/>
            </w:pPr>
          </w:p>
          <w:p w14:paraId="6B1F8AF9" w14:textId="77777777" w:rsidR="000220D6" w:rsidRDefault="000220D6">
            <w:pPr>
              <w:ind w:left="65"/>
            </w:pPr>
          </w:p>
          <w:p w14:paraId="342358E3" w14:textId="77777777" w:rsidR="000220D6" w:rsidRDefault="000220D6">
            <w:pPr>
              <w:ind w:left="65"/>
            </w:pPr>
          </w:p>
          <w:p w14:paraId="4B15BBA1" w14:textId="77777777" w:rsidR="000220D6" w:rsidRDefault="000220D6">
            <w:pPr>
              <w:ind w:left="65"/>
            </w:pPr>
          </w:p>
          <w:p w14:paraId="1BCBEE0D" w14:textId="77777777" w:rsidR="000220D6" w:rsidRDefault="000220D6">
            <w:pPr>
              <w:ind w:left="65"/>
            </w:pPr>
          </w:p>
          <w:p w14:paraId="79782509" w14:textId="77777777" w:rsidR="000220D6" w:rsidRDefault="000220D6">
            <w:pPr>
              <w:ind w:left="65"/>
            </w:pPr>
          </w:p>
          <w:p w14:paraId="1131D2F1" w14:textId="77777777" w:rsidR="000220D6" w:rsidRDefault="000220D6">
            <w:pPr>
              <w:ind w:left="65"/>
            </w:pPr>
          </w:p>
          <w:p w14:paraId="3F762704" w14:textId="77777777" w:rsidR="000220D6" w:rsidRDefault="000220D6">
            <w:pPr>
              <w:ind w:left="65"/>
            </w:pPr>
          </w:p>
          <w:p w14:paraId="32C39886" w14:textId="77777777" w:rsidR="000220D6" w:rsidRDefault="000220D6">
            <w:pPr>
              <w:ind w:left="65"/>
            </w:pPr>
          </w:p>
          <w:p w14:paraId="14BF1EE1" w14:textId="77777777" w:rsidR="000220D6" w:rsidRDefault="000220D6">
            <w:pPr>
              <w:ind w:left="65"/>
            </w:pPr>
          </w:p>
          <w:p w14:paraId="03105B2F" w14:textId="77777777" w:rsidR="000220D6" w:rsidRDefault="000220D6">
            <w:pPr>
              <w:ind w:left="65"/>
            </w:pPr>
          </w:p>
          <w:p w14:paraId="2586CB74" w14:textId="77777777" w:rsidR="000220D6" w:rsidRDefault="000220D6">
            <w:pPr>
              <w:ind w:left="65"/>
            </w:pPr>
          </w:p>
          <w:p w14:paraId="3F37EF85" w14:textId="77777777" w:rsidR="000220D6" w:rsidRDefault="000220D6">
            <w:pPr>
              <w:ind w:left="65"/>
            </w:pPr>
          </w:p>
          <w:p w14:paraId="5FEC8BA5" w14:textId="77777777" w:rsidR="000220D6" w:rsidRDefault="000220D6">
            <w:pPr>
              <w:ind w:left="65"/>
            </w:pPr>
          </w:p>
          <w:p w14:paraId="10B619FA" w14:textId="77777777" w:rsidR="000220D6" w:rsidRDefault="000220D6">
            <w:pPr>
              <w:ind w:left="65"/>
            </w:pPr>
          </w:p>
          <w:p w14:paraId="350F47EA" w14:textId="77777777" w:rsidR="000220D6" w:rsidRDefault="000220D6">
            <w:pPr>
              <w:ind w:left="65"/>
            </w:pPr>
          </w:p>
          <w:p w14:paraId="2646A969" w14:textId="77777777" w:rsidR="000220D6" w:rsidRDefault="000220D6">
            <w:pPr>
              <w:ind w:left="65"/>
            </w:pPr>
          </w:p>
          <w:p w14:paraId="7FDDECF8" w14:textId="77777777" w:rsidR="000220D6" w:rsidRDefault="000220D6">
            <w:pPr>
              <w:ind w:left="65"/>
            </w:pPr>
          </w:p>
          <w:p w14:paraId="7FD8DF66" w14:textId="77777777" w:rsidR="000220D6" w:rsidRDefault="000220D6">
            <w:pPr>
              <w:ind w:left="65"/>
            </w:pPr>
          </w:p>
          <w:p w14:paraId="3DFF4F41" w14:textId="77777777" w:rsidR="000220D6" w:rsidRDefault="000220D6">
            <w:pPr>
              <w:ind w:left="65"/>
            </w:pPr>
          </w:p>
          <w:p w14:paraId="06904C8E" w14:textId="77777777" w:rsidR="000220D6" w:rsidRDefault="000220D6">
            <w:pPr>
              <w:ind w:left="65"/>
            </w:pPr>
          </w:p>
          <w:p w14:paraId="68D59230" w14:textId="77777777" w:rsidR="000220D6" w:rsidRDefault="000220D6">
            <w:pPr>
              <w:ind w:left="65"/>
            </w:pPr>
          </w:p>
        </w:tc>
        <w:tc>
          <w:tcPr>
            <w:tcW w:w="1233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4563AE3" w14:textId="77777777" w:rsidR="000220D6" w:rsidRDefault="000220D6">
            <w:pPr>
              <w:ind w:right="61"/>
              <w:jc w:val="both"/>
            </w:pPr>
            <w:r w:rsidRPr="00896685">
              <w:rPr>
                <w:b/>
              </w:rPr>
              <w:lastRenderedPageBreak/>
              <w:t>Artículo 3.-</w:t>
            </w:r>
            <w:r w:rsidRPr="00896685">
              <w:t xml:space="preserve"> El pueblo ejerce su soberanía por medio por los Poderes del Estado, en los casos de su competencia, en la forma y términos que establecen la Constitución Política de los Estados Unidos Mexicanos y la particular del Estado.</w:t>
            </w:r>
          </w:p>
          <w:p w14:paraId="5B1E158B" w14:textId="77777777" w:rsidR="000220D6" w:rsidRDefault="000220D6">
            <w:pPr>
              <w:ind w:right="61"/>
              <w:jc w:val="both"/>
            </w:pPr>
          </w:p>
          <w:p w14:paraId="2C2D51BC" w14:textId="77777777" w:rsidR="000220D6" w:rsidRDefault="000220D6">
            <w:pPr>
              <w:ind w:right="61"/>
              <w:jc w:val="both"/>
            </w:pPr>
            <w:r w:rsidRPr="00896685">
              <w:t>[…]</w:t>
            </w:r>
          </w:p>
          <w:p w14:paraId="61A563C6" w14:textId="76F87E0F" w:rsidR="000220D6" w:rsidRDefault="000220D6">
            <w:pPr>
              <w:ind w:right="61"/>
              <w:jc w:val="both"/>
            </w:pPr>
          </w:p>
          <w:p w14:paraId="3B7F0F10" w14:textId="77777777" w:rsidR="000220D6" w:rsidRDefault="000220D6">
            <w:pPr>
              <w:ind w:right="61"/>
              <w:jc w:val="both"/>
            </w:pPr>
            <w:r w:rsidRPr="00F94E2C">
              <w:t>(REFORMADO, P.O. 29 DE JULIO DE 2015)</w:t>
            </w:r>
          </w:p>
          <w:p w14:paraId="20F191E7" w14:textId="4005D9BD" w:rsidR="000220D6" w:rsidRDefault="000220D6">
            <w:pPr>
              <w:ind w:right="61"/>
              <w:jc w:val="both"/>
            </w:pPr>
            <w:r w:rsidRPr="00896685">
              <w:t>La fiscalización de las finanzas de los partidos políticos y de las campañas de los candidatos estará a cargo de la Comisión correspondiente del Instituto Nacional Electoral; con excepción de los casos en que le sea delegada dicha función al Instituto Electoral del Estado, en términos de las disposiciones legales aplicables.</w:t>
            </w:r>
          </w:p>
          <w:p w14:paraId="6E76FEC4" w14:textId="77777777" w:rsidR="000220D6" w:rsidRDefault="000220D6">
            <w:pPr>
              <w:ind w:right="61"/>
              <w:jc w:val="both"/>
            </w:pPr>
          </w:p>
          <w:p w14:paraId="6EFE8C74" w14:textId="65A8E7E9" w:rsidR="000220D6" w:rsidRDefault="000220D6">
            <w:pPr>
              <w:ind w:right="61"/>
              <w:jc w:val="both"/>
            </w:pPr>
            <w:r w:rsidRPr="00F94E2C">
              <w:t>(REFORMADO, P.O. 29 DE JULIO DE 2015)</w:t>
            </w:r>
            <w:r>
              <w:t xml:space="preserve"> </w:t>
            </w:r>
          </w:p>
          <w:p w14:paraId="365F40E4" w14:textId="77777777" w:rsidR="000220D6" w:rsidRDefault="000220D6">
            <w:pPr>
              <w:ind w:right="61"/>
              <w:jc w:val="both"/>
            </w:pPr>
            <w:r w:rsidRPr="00896685">
              <w:t>La Ley contemplará la conformación de la Comisión correspondiente y de la estructura de la Unidad encargada de desarrollar los trabajos de fiscalización que de acuerdo con las leyes generales en la materia le corresponden al organismo público local, estableciendo conforme a dichas disposiciones sus atribuciones y estructura.</w:t>
            </w:r>
          </w:p>
          <w:p w14:paraId="7F494351" w14:textId="77777777" w:rsidR="000220D6" w:rsidRDefault="000220D6">
            <w:pPr>
              <w:ind w:right="61"/>
              <w:jc w:val="both"/>
            </w:pPr>
          </w:p>
          <w:p w14:paraId="38A8681F" w14:textId="77777777" w:rsidR="000220D6" w:rsidRDefault="000220D6">
            <w:pPr>
              <w:ind w:right="61"/>
              <w:jc w:val="both"/>
            </w:pPr>
            <w:r w:rsidRPr="00896685">
              <w:t>[…]</w:t>
            </w:r>
          </w:p>
          <w:p w14:paraId="2FAF441B" w14:textId="77777777" w:rsidR="000220D6" w:rsidRDefault="000220D6">
            <w:pPr>
              <w:ind w:right="61"/>
              <w:jc w:val="both"/>
            </w:pPr>
          </w:p>
          <w:p w14:paraId="71D4874A" w14:textId="77777777" w:rsidR="000220D6" w:rsidRDefault="000220D6">
            <w:pPr>
              <w:ind w:right="61"/>
              <w:jc w:val="both"/>
            </w:pPr>
            <w:r w:rsidRPr="00896685">
              <w:rPr>
                <w:b/>
              </w:rPr>
              <w:t xml:space="preserve">ARTÍCULO 4.- </w:t>
            </w:r>
            <w:r w:rsidRPr="00896685">
              <w:t>Los partidos políticos nacionales y estatales, acreditados o registrados, respectivamente, en términos de la legislación general aplicable y la que se emita en el Estado, participarán en las elecciones, para Gobernador, Diputados por los principios de mayoría relativa y representación proporcional, y miembros de Ayuntamientos, con todos los derechos, obligaciones y prerrogativas que el Código respectivo les señale.</w:t>
            </w:r>
          </w:p>
          <w:p w14:paraId="015706AA" w14:textId="77777777" w:rsidR="000220D6" w:rsidRDefault="000220D6">
            <w:pPr>
              <w:ind w:right="61"/>
              <w:jc w:val="both"/>
            </w:pPr>
          </w:p>
          <w:p w14:paraId="02A76714" w14:textId="77777777" w:rsidR="000220D6" w:rsidRDefault="000220D6">
            <w:pPr>
              <w:ind w:right="61"/>
              <w:jc w:val="both"/>
            </w:pPr>
            <w:r w:rsidRPr="00896685">
              <w:t xml:space="preserve">I. El Código de Instituciones y Procesos Electorales del Estado deberá establecer: </w:t>
            </w:r>
          </w:p>
          <w:p w14:paraId="6B2A0A09" w14:textId="77777777" w:rsidR="000220D6" w:rsidRDefault="000220D6">
            <w:pPr>
              <w:ind w:right="61"/>
              <w:jc w:val="both"/>
            </w:pPr>
          </w:p>
          <w:p w14:paraId="46CFE135" w14:textId="77777777" w:rsidR="000220D6" w:rsidRDefault="000220D6">
            <w:pPr>
              <w:ind w:right="61"/>
              <w:jc w:val="both"/>
            </w:pPr>
            <w:r w:rsidRPr="00896685">
              <w:t>[…]</w:t>
            </w:r>
          </w:p>
          <w:p w14:paraId="2FFF88FE" w14:textId="77777777" w:rsidR="000220D6" w:rsidRDefault="000220D6">
            <w:pPr>
              <w:ind w:right="61"/>
              <w:jc w:val="both"/>
            </w:pPr>
            <w:r w:rsidRPr="00896685">
              <w:t>La ley de la materia fijará los límites a las erogaciones de los partidos políticos en sus precampañas y campañas electorales. La propia ley establecerá el monto máximo que tendrán las aportaciones de sus militantes y simpatizantes. Para el caso de que la autoridad nacional delegue las funciones relativas a la fiscalización, del origen y uso de todos los recursos con que cuenten para precampañas y campañas se actuará conforme a las disposiciones aplicables.</w:t>
            </w:r>
          </w:p>
          <w:p w14:paraId="5A251667" w14:textId="77777777" w:rsidR="000220D6" w:rsidRDefault="000220D6">
            <w:pPr>
              <w:ind w:right="61"/>
              <w:jc w:val="both"/>
            </w:pPr>
            <w:r w:rsidRPr="00896685">
              <w:lastRenderedPageBreak/>
              <w:t xml:space="preserve">[…] </w:t>
            </w:r>
          </w:p>
          <w:p w14:paraId="5BD96693" w14:textId="77777777" w:rsidR="000220D6" w:rsidRDefault="000220D6">
            <w:pPr>
              <w:ind w:right="61"/>
              <w:jc w:val="both"/>
            </w:pPr>
          </w:p>
          <w:p w14:paraId="3E410A97" w14:textId="77777777" w:rsidR="000220D6" w:rsidRDefault="000220D6">
            <w:pPr>
              <w:ind w:right="61"/>
              <w:jc w:val="both"/>
            </w:pPr>
            <w:r w:rsidRPr="00896685">
              <w:t xml:space="preserve">III.- El Código de la materia deberá de instituir las bases obligatorias para la coordinación entre el Instituto Nacional Electoral y las autoridades electorales del Estado en materia de fiscalización de las finanzas de los partidos políticos, en los términos que señala la Constitución Federal y las Leyes en la materia. </w:t>
            </w:r>
          </w:p>
          <w:p w14:paraId="60401FFD" w14:textId="77777777" w:rsidR="000220D6" w:rsidRDefault="000220D6">
            <w:pPr>
              <w:ind w:right="61"/>
              <w:jc w:val="both"/>
            </w:pPr>
          </w:p>
          <w:p w14:paraId="171824A6" w14:textId="77777777" w:rsidR="000220D6" w:rsidRDefault="000220D6" w:rsidP="00896685">
            <w:pPr>
              <w:ind w:right="61"/>
              <w:jc w:val="both"/>
            </w:pPr>
            <w:r w:rsidRPr="00896685">
              <w:t>[…]</w:t>
            </w:r>
          </w:p>
        </w:tc>
      </w:tr>
      <w:tr w:rsidR="000220D6" w14:paraId="6044885C" w14:textId="77777777" w:rsidTr="000220D6">
        <w:trPr>
          <w:trHeight w:val="2331"/>
        </w:trPr>
        <w:tc>
          <w:tcPr>
            <w:tcW w:w="746" w:type="dxa"/>
            <w:tcBorders>
              <w:top w:val="single" w:sz="4" w:space="0" w:color="BFBFBF"/>
              <w:left w:val="single" w:sz="4" w:space="0" w:color="BFBFBF"/>
              <w:bottom w:val="single" w:sz="4" w:space="0" w:color="BFBFBF"/>
              <w:right w:val="single" w:sz="4" w:space="0" w:color="BFBFBF"/>
            </w:tcBorders>
            <w:vAlign w:val="center"/>
          </w:tcPr>
          <w:p w14:paraId="431C5E41" w14:textId="77777777" w:rsidR="000220D6" w:rsidRDefault="000220D6">
            <w:pPr>
              <w:ind w:right="419"/>
              <w:jc w:val="center"/>
              <w:rPr>
                <w:rFonts w:ascii="Century Gothic" w:eastAsia="Century Gothic" w:hAnsi="Century Gothic" w:cs="Century Gothic"/>
                <w:b/>
                <w:sz w:val="20"/>
              </w:rPr>
            </w:pPr>
            <w:r>
              <w:rPr>
                <w:rFonts w:ascii="Century Gothic" w:eastAsia="Century Gothic" w:hAnsi="Century Gothic" w:cs="Century Gothic"/>
                <w:b/>
                <w:sz w:val="20"/>
              </w:rPr>
              <w:lastRenderedPageBreak/>
              <w:t>2.</w:t>
            </w:r>
            <w:r>
              <w:rPr>
                <w:rFonts w:ascii="Arial" w:eastAsia="Arial" w:hAnsi="Arial" w:cs="Arial"/>
                <w:b/>
                <w:sz w:val="20"/>
              </w:rPr>
              <w:t xml:space="preserve"> </w:t>
            </w:r>
            <w:r>
              <w:rPr>
                <w:rFonts w:ascii="Century Gothic" w:eastAsia="Century Gothic" w:hAnsi="Century Gothic" w:cs="Century Gothic"/>
                <w:b/>
                <w:sz w:val="20"/>
              </w:rPr>
              <w:t xml:space="preserve"> </w:t>
            </w:r>
          </w:p>
          <w:p w14:paraId="3258BDAE" w14:textId="77777777" w:rsidR="000220D6" w:rsidRDefault="000220D6">
            <w:pPr>
              <w:ind w:right="419"/>
              <w:jc w:val="center"/>
              <w:rPr>
                <w:rFonts w:ascii="Century Gothic" w:eastAsia="Century Gothic" w:hAnsi="Century Gothic" w:cs="Century Gothic"/>
                <w:b/>
                <w:sz w:val="20"/>
              </w:rPr>
            </w:pPr>
          </w:p>
          <w:p w14:paraId="11717C6D" w14:textId="77777777" w:rsidR="000220D6" w:rsidRDefault="000220D6">
            <w:pPr>
              <w:ind w:right="419"/>
              <w:jc w:val="center"/>
              <w:rPr>
                <w:rFonts w:ascii="Century Gothic" w:eastAsia="Century Gothic" w:hAnsi="Century Gothic" w:cs="Century Gothic"/>
                <w:b/>
                <w:sz w:val="20"/>
              </w:rPr>
            </w:pPr>
          </w:p>
          <w:p w14:paraId="49BF2EA0" w14:textId="77777777" w:rsidR="000220D6" w:rsidRDefault="000220D6">
            <w:pPr>
              <w:ind w:right="419"/>
              <w:jc w:val="center"/>
              <w:rPr>
                <w:rFonts w:ascii="Century Gothic" w:eastAsia="Century Gothic" w:hAnsi="Century Gothic" w:cs="Century Gothic"/>
                <w:b/>
                <w:sz w:val="20"/>
              </w:rPr>
            </w:pPr>
          </w:p>
          <w:p w14:paraId="466C7F79" w14:textId="77777777" w:rsidR="000220D6" w:rsidRDefault="000220D6">
            <w:pPr>
              <w:ind w:right="419"/>
              <w:jc w:val="center"/>
              <w:rPr>
                <w:rFonts w:ascii="Century Gothic" w:eastAsia="Century Gothic" w:hAnsi="Century Gothic" w:cs="Century Gothic"/>
                <w:b/>
                <w:sz w:val="20"/>
              </w:rPr>
            </w:pPr>
          </w:p>
          <w:p w14:paraId="4B632C82" w14:textId="77777777" w:rsidR="000220D6" w:rsidRDefault="000220D6">
            <w:pPr>
              <w:ind w:right="419"/>
              <w:jc w:val="center"/>
              <w:rPr>
                <w:rFonts w:ascii="Century Gothic" w:eastAsia="Century Gothic" w:hAnsi="Century Gothic" w:cs="Century Gothic"/>
                <w:b/>
                <w:sz w:val="20"/>
              </w:rPr>
            </w:pPr>
          </w:p>
          <w:p w14:paraId="36AF521E" w14:textId="77777777" w:rsidR="000220D6" w:rsidRDefault="000220D6">
            <w:pPr>
              <w:ind w:right="419"/>
              <w:jc w:val="center"/>
              <w:rPr>
                <w:rFonts w:ascii="Century Gothic" w:eastAsia="Century Gothic" w:hAnsi="Century Gothic" w:cs="Century Gothic"/>
                <w:b/>
                <w:sz w:val="20"/>
              </w:rPr>
            </w:pPr>
          </w:p>
          <w:p w14:paraId="7EEE0909" w14:textId="77777777" w:rsidR="000220D6" w:rsidRDefault="000220D6">
            <w:pPr>
              <w:ind w:right="419"/>
              <w:jc w:val="center"/>
              <w:rPr>
                <w:rFonts w:ascii="Century Gothic" w:eastAsia="Century Gothic" w:hAnsi="Century Gothic" w:cs="Century Gothic"/>
                <w:b/>
                <w:sz w:val="20"/>
              </w:rPr>
            </w:pPr>
          </w:p>
          <w:p w14:paraId="0CDD8AB2" w14:textId="77777777" w:rsidR="000220D6" w:rsidRDefault="000220D6">
            <w:pPr>
              <w:ind w:right="419"/>
              <w:jc w:val="center"/>
              <w:rPr>
                <w:rFonts w:ascii="Century Gothic" w:eastAsia="Century Gothic" w:hAnsi="Century Gothic" w:cs="Century Gothic"/>
                <w:b/>
                <w:sz w:val="20"/>
              </w:rPr>
            </w:pPr>
          </w:p>
          <w:p w14:paraId="2A1E7BD9" w14:textId="77777777" w:rsidR="000220D6" w:rsidRDefault="000220D6">
            <w:pPr>
              <w:ind w:right="419"/>
              <w:jc w:val="center"/>
              <w:rPr>
                <w:rFonts w:ascii="Century Gothic" w:eastAsia="Century Gothic" w:hAnsi="Century Gothic" w:cs="Century Gothic"/>
                <w:b/>
                <w:sz w:val="20"/>
              </w:rPr>
            </w:pPr>
          </w:p>
          <w:p w14:paraId="6E81FB9C" w14:textId="77777777" w:rsidR="000220D6" w:rsidRDefault="000220D6">
            <w:pPr>
              <w:ind w:right="419"/>
              <w:jc w:val="center"/>
              <w:rPr>
                <w:rFonts w:ascii="Century Gothic" w:eastAsia="Century Gothic" w:hAnsi="Century Gothic" w:cs="Century Gothic"/>
                <w:b/>
                <w:sz w:val="20"/>
              </w:rPr>
            </w:pPr>
          </w:p>
          <w:p w14:paraId="0B9E9054" w14:textId="77777777" w:rsidR="000220D6" w:rsidRDefault="000220D6">
            <w:pPr>
              <w:ind w:right="419"/>
              <w:jc w:val="center"/>
              <w:rPr>
                <w:rFonts w:ascii="Century Gothic" w:eastAsia="Century Gothic" w:hAnsi="Century Gothic" w:cs="Century Gothic"/>
                <w:b/>
                <w:sz w:val="20"/>
              </w:rPr>
            </w:pPr>
          </w:p>
          <w:p w14:paraId="5D139558" w14:textId="77777777" w:rsidR="000220D6" w:rsidRDefault="000220D6">
            <w:pPr>
              <w:ind w:right="419"/>
              <w:jc w:val="center"/>
              <w:rPr>
                <w:rFonts w:ascii="Century Gothic" w:eastAsia="Century Gothic" w:hAnsi="Century Gothic" w:cs="Century Gothic"/>
                <w:b/>
                <w:sz w:val="20"/>
              </w:rPr>
            </w:pPr>
          </w:p>
          <w:p w14:paraId="53553EF6" w14:textId="77777777" w:rsidR="000220D6" w:rsidRDefault="000220D6">
            <w:pPr>
              <w:ind w:right="419"/>
              <w:jc w:val="center"/>
              <w:rPr>
                <w:rFonts w:ascii="Century Gothic" w:eastAsia="Century Gothic" w:hAnsi="Century Gothic" w:cs="Century Gothic"/>
                <w:b/>
                <w:sz w:val="20"/>
              </w:rPr>
            </w:pPr>
          </w:p>
          <w:p w14:paraId="085D5616" w14:textId="77777777" w:rsidR="000220D6" w:rsidRDefault="000220D6">
            <w:pPr>
              <w:ind w:right="419"/>
              <w:jc w:val="center"/>
              <w:rPr>
                <w:rFonts w:ascii="Century Gothic" w:eastAsia="Century Gothic" w:hAnsi="Century Gothic" w:cs="Century Gothic"/>
                <w:b/>
                <w:sz w:val="20"/>
              </w:rPr>
            </w:pPr>
          </w:p>
          <w:p w14:paraId="7FBC40FC" w14:textId="77777777" w:rsidR="000220D6" w:rsidRDefault="000220D6">
            <w:pPr>
              <w:ind w:right="419"/>
              <w:jc w:val="center"/>
              <w:rPr>
                <w:rFonts w:ascii="Century Gothic" w:eastAsia="Century Gothic" w:hAnsi="Century Gothic" w:cs="Century Gothic"/>
                <w:b/>
                <w:sz w:val="20"/>
              </w:rPr>
            </w:pPr>
          </w:p>
          <w:p w14:paraId="7416102F" w14:textId="77777777" w:rsidR="000220D6" w:rsidRDefault="000220D6">
            <w:pPr>
              <w:ind w:right="419"/>
              <w:jc w:val="center"/>
              <w:rPr>
                <w:rFonts w:ascii="Century Gothic" w:eastAsia="Century Gothic" w:hAnsi="Century Gothic" w:cs="Century Gothic"/>
                <w:b/>
                <w:sz w:val="20"/>
              </w:rPr>
            </w:pPr>
          </w:p>
          <w:p w14:paraId="0D77D908" w14:textId="77777777" w:rsidR="000220D6" w:rsidRDefault="000220D6">
            <w:pPr>
              <w:ind w:right="419"/>
              <w:jc w:val="center"/>
              <w:rPr>
                <w:rFonts w:ascii="Century Gothic" w:eastAsia="Century Gothic" w:hAnsi="Century Gothic" w:cs="Century Gothic"/>
                <w:b/>
                <w:sz w:val="20"/>
              </w:rPr>
            </w:pPr>
          </w:p>
          <w:p w14:paraId="49CDC86B" w14:textId="77777777" w:rsidR="000220D6" w:rsidRDefault="000220D6">
            <w:pPr>
              <w:ind w:right="419"/>
              <w:jc w:val="center"/>
            </w:pPr>
          </w:p>
        </w:tc>
        <w:tc>
          <w:tcPr>
            <w:tcW w:w="1251" w:type="dxa"/>
            <w:tcBorders>
              <w:top w:val="single" w:sz="4" w:space="0" w:color="BFBFBF"/>
              <w:left w:val="single" w:sz="4" w:space="0" w:color="BFBFBF"/>
              <w:bottom w:val="single" w:sz="4" w:space="0" w:color="BFBFBF"/>
              <w:right w:val="single" w:sz="4" w:space="0" w:color="BFBFBF"/>
            </w:tcBorders>
            <w:vAlign w:val="center"/>
          </w:tcPr>
          <w:p w14:paraId="768E99C5" w14:textId="77777777" w:rsidR="000220D6" w:rsidRPr="004479D3" w:rsidRDefault="000220D6">
            <w:pPr>
              <w:ind w:right="60"/>
              <w:jc w:val="center"/>
              <w:rPr>
                <w:b/>
              </w:rPr>
            </w:pPr>
            <w:r w:rsidRPr="004479D3">
              <w:rPr>
                <w:b/>
              </w:rPr>
              <w:t>PUEBLA</w:t>
            </w:r>
          </w:p>
          <w:p w14:paraId="57ADFFCB" w14:textId="77777777" w:rsidR="000220D6" w:rsidRDefault="000220D6">
            <w:pPr>
              <w:ind w:right="60"/>
              <w:jc w:val="center"/>
            </w:pPr>
          </w:p>
          <w:p w14:paraId="493AF7DF" w14:textId="77777777" w:rsidR="000220D6" w:rsidRDefault="000220D6">
            <w:pPr>
              <w:ind w:right="60"/>
              <w:jc w:val="center"/>
            </w:pPr>
          </w:p>
          <w:p w14:paraId="7643F9C7" w14:textId="77777777" w:rsidR="000220D6" w:rsidRDefault="000220D6">
            <w:pPr>
              <w:ind w:right="60"/>
              <w:jc w:val="center"/>
            </w:pPr>
          </w:p>
          <w:p w14:paraId="28D24A58" w14:textId="77777777" w:rsidR="000220D6" w:rsidRDefault="000220D6">
            <w:pPr>
              <w:ind w:right="60"/>
              <w:jc w:val="center"/>
            </w:pPr>
          </w:p>
          <w:p w14:paraId="267ADFF9" w14:textId="77777777" w:rsidR="000220D6" w:rsidRDefault="000220D6">
            <w:pPr>
              <w:ind w:right="60"/>
              <w:jc w:val="center"/>
            </w:pPr>
          </w:p>
          <w:p w14:paraId="52EF0A4E" w14:textId="77777777" w:rsidR="000220D6" w:rsidRDefault="000220D6">
            <w:pPr>
              <w:ind w:right="60"/>
              <w:jc w:val="center"/>
            </w:pPr>
          </w:p>
          <w:p w14:paraId="376B2AAD" w14:textId="77777777" w:rsidR="000220D6" w:rsidRDefault="000220D6">
            <w:pPr>
              <w:ind w:right="60"/>
              <w:jc w:val="center"/>
            </w:pPr>
          </w:p>
          <w:p w14:paraId="25510E9C" w14:textId="77777777" w:rsidR="000220D6" w:rsidRDefault="000220D6">
            <w:pPr>
              <w:ind w:right="60"/>
              <w:jc w:val="center"/>
            </w:pPr>
          </w:p>
          <w:p w14:paraId="31AA2F65" w14:textId="77777777" w:rsidR="000220D6" w:rsidRDefault="000220D6">
            <w:pPr>
              <w:ind w:right="60"/>
              <w:jc w:val="center"/>
            </w:pPr>
          </w:p>
          <w:p w14:paraId="68E8FC6C" w14:textId="77777777" w:rsidR="000220D6" w:rsidRDefault="000220D6">
            <w:pPr>
              <w:ind w:right="60"/>
              <w:jc w:val="center"/>
            </w:pPr>
          </w:p>
          <w:p w14:paraId="4D28A70E" w14:textId="77777777" w:rsidR="000220D6" w:rsidRDefault="000220D6">
            <w:pPr>
              <w:ind w:right="60"/>
              <w:jc w:val="center"/>
            </w:pPr>
          </w:p>
          <w:p w14:paraId="2B9DAC8A" w14:textId="77777777" w:rsidR="000220D6" w:rsidRDefault="000220D6">
            <w:pPr>
              <w:ind w:right="60"/>
              <w:jc w:val="center"/>
            </w:pPr>
          </w:p>
          <w:p w14:paraId="5AF0E58D" w14:textId="77777777" w:rsidR="000220D6" w:rsidRDefault="000220D6">
            <w:pPr>
              <w:ind w:right="60"/>
              <w:jc w:val="center"/>
            </w:pPr>
          </w:p>
          <w:p w14:paraId="66A32DA2" w14:textId="77777777" w:rsidR="000220D6" w:rsidRDefault="000220D6">
            <w:pPr>
              <w:ind w:right="60"/>
              <w:jc w:val="center"/>
            </w:pPr>
          </w:p>
          <w:p w14:paraId="1D1A90C5" w14:textId="77777777" w:rsidR="000220D6" w:rsidRDefault="000220D6">
            <w:pPr>
              <w:ind w:right="60"/>
              <w:jc w:val="center"/>
            </w:pPr>
          </w:p>
          <w:p w14:paraId="1F30A525" w14:textId="77777777" w:rsidR="000220D6" w:rsidRDefault="000220D6">
            <w:pPr>
              <w:ind w:right="60"/>
              <w:jc w:val="center"/>
            </w:pPr>
          </w:p>
          <w:p w14:paraId="283C2C2C" w14:textId="77777777" w:rsidR="000220D6" w:rsidRDefault="000220D6">
            <w:pPr>
              <w:ind w:right="60"/>
              <w:jc w:val="center"/>
            </w:pPr>
          </w:p>
        </w:tc>
        <w:tc>
          <w:tcPr>
            <w:tcW w:w="3118" w:type="dxa"/>
            <w:tcBorders>
              <w:top w:val="single" w:sz="4" w:space="0" w:color="BFBFBF"/>
              <w:left w:val="single" w:sz="4" w:space="0" w:color="BFBFBF"/>
              <w:bottom w:val="single" w:sz="4" w:space="0" w:color="BFBFBF"/>
              <w:right w:val="single" w:sz="4" w:space="0" w:color="BFBFBF"/>
            </w:tcBorders>
            <w:vAlign w:val="center"/>
          </w:tcPr>
          <w:p w14:paraId="27776283" w14:textId="77777777" w:rsidR="000220D6" w:rsidRPr="000220D6" w:rsidRDefault="000220D6">
            <w:pPr>
              <w:jc w:val="center"/>
              <w:rPr>
                <w:b/>
                <w:color w:val="auto"/>
              </w:rPr>
            </w:pPr>
            <w:hyperlink r:id="rId8" w:history="1">
              <w:r w:rsidRPr="000220D6">
                <w:rPr>
                  <w:rStyle w:val="Hipervnculo"/>
                  <w:b/>
                  <w:color w:val="auto"/>
                  <w:u w:val="none"/>
                </w:rPr>
                <w:t>Código de Instituciones y Procesos Electorales del Estado de Puebla</w:t>
              </w:r>
            </w:hyperlink>
          </w:p>
          <w:p w14:paraId="2A0AFCDB" w14:textId="77777777" w:rsidR="000220D6" w:rsidRPr="000220D6" w:rsidRDefault="000220D6">
            <w:pPr>
              <w:jc w:val="center"/>
              <w:rPr>
                <w:color w:val="auto"/>
              </w:rPr>
            </w:pPr>
          </w:p>
          <w:p w14:paraId="0293190E" w14:textId="77777777" w:rsidR="000220D6" w:rsidRDefault="000220D6">
            <w:pPr>
              <w:jc w:val="center"/>
            </w:pPr>
          </w:p>
          <w:p w14:paraId="6034EA1A" w14:textId="77777777" w:rsidR="000220D6" w:rsidRDefault="000220D6">
            <w:pPr>
              <w:jc w:val="center"/>
            </w:pPr>
          </w:p>
          <w:p w14:paraId="6905D43E" w14:textId="77777777" w:rsidR="000220D6" w:rsidRDefault="000220D6">
            <w:pPr>
              <w:jc w:val="center"/>
            </w:pPr>
          </w:p>
          <w:p w14:paraId="1FAC357A" w14:textId="77777777" w:rsidR="000220D6" w:rsidRDefault="000220D6">
            <w:pPr>
              <w:jc w:val="center"/>
            </w:pPr>
          </w:p>
          <w:p w14:paraId="2C8C52D4" w14:textId="77777777" w:rsidR="000220D6" w:rsidRDefault="000220D6">
            <w:pPr>
              <w:jc w:val="center"/>
            </w:pPr>
          </w:p>
          <w:p w14:paraId="1E5249C3" w14:textId="77777777" w:rsidR="000220D6" w:rsidRDefault="000220D6">
            <w:pPr>
              <w:jc w:val="center"/>
            </w:pPr>
          </w:p>
          <w:p w14:paraId="55E480E6" w14:textId="77777777" w:rsidR="000220D6" w:rsidRDefault="000220D6">
            <w:pPr>
              <w:jc w:val="center"/>
            </w:pPr>
          </w:p>
          <w:p w14:paraId="3A31E733" w14:textId="77777777" w:rsidR="000220D6" w:rsidRDefault="000220D6">
            <w:pPr>
              <w:jc w:val="center"/>
            </w:pPr>
          </w:p>
          <w:p w14:paraId="277F5BBB" w14:textId="77777777" w:rsidR="000220D6" w:rsidRDefault="000220D6">
            <w:pPr>
              <w:jc w:val="center"/>
            </w:pPr>
          </w:p>
          <w:p w14:paraId="5BEEE45B" w14:textId="77777777" w:rsidR="000220D6" w:rsidRDefault="000220D6">
            <w:pPr>
              <w:jc w:val="center"/>
            </w:pPr>
          </w:p>
          <w:p w14:paraId="76BB6593" w14:textId="77777777" w:rsidR="000220D6" w:rsidRDefault="000220D6">
            <w:pPr>
              <w:jc w:val="center"/>
            </w:pPr>
          </w:p>
          <w:p w14:paraId="0E34B589" w14:textId="77777777" w:rsidR="000220D6" w:rsidRDefault="000220D6">
            <w:pPr>
              <w:jc w:val="center"/>
            </w:pPr>
          </w:p>
          <w:p w14:paraId="1725096F" w14:textId="77777777" w:rsidR="000220D6" w:rsidRDefault="000220D6">
            <w:pPr>
              <w:jc w:val="center"/>
            </w:pPr>
          </w:p>
          <w:p w14:paraId="02E7B7CD" w14:textId="77777777" w:rsidR="000220D6" w:rsidRDefault="000220D6">
            <w:pPr>
              <w:jc w:val="center"/>
            </w:pPr>
          </w:p>
          <w:p w14:paraId="0E82EA19" w14:textId="77777777" w:rsidR="000220D6" w:rsidRDefault="000220D6">
            <w:pPr>
              <w:jc w:val="center"/>
            </w:pPr>
          </w:p>
        </w:tc>
        <w:tc>
          <w:tcPr>
            <w:tcW w:w="12333" w:type="dxa"/>
            <w:tcBorders>
              <w:top w:val="single" w:sz="4" w:space="0" w:color="BFBFBF"/>
              <w:left w:val="single" w:sz="4" w:space="0" w:color="BFBFBF"/>
              <w:bottom w:val="single" w:sz="4" w:space="0" w:color="BFBFBF"/>
              <w:right w:val="single" w:sz="4" w:space="0" w:color="BFBFBF"/>
            </w:tcBorders>
          </w:tcPr>
          <w:p w14:paraId="4F5B8485" w14:textId="77777777" w:rsidR="000220D6" w:rsidRDefault="000220D6" w:rsidP="00A37F48">
            <w:pPr>
              <w:jc w:val="both"/>
            </w:pPr>
            <w:r w:rsidRPr="00A37F48">
              <w:rPr>
                <w:b/>
              </w:rPr>
              <w:t>Artículo 51.-</w:t>
            </w:r>
            <w:r>
              <w:t xml:space="preserve"> Los partidos políticos deberán contar con un órgano interno encargado de la administración de los recursos con que cuenten, que obtengan por cualquier modalidad de financiamiento reconocido en el Código, así como de la presentación de los informes </w:t>
            </w:r>
            <w:proofErr w:type="spellStart"/>
            <w:r>
              <w:t>justificatorios</w:t>
            </w:r>
            <w:proofErr w:type="spellEnd"/>
            <w:r>
              <w:t xml:space="preserve"> de conformidad a las modalidades que establezca la normatividad aplicable para la fiscalización del financiamiento a los partidos políticos.</w:t>
            </w:r>
          </w:p>
          <w:p w14:paraId="04F7BF15" w14:textId="77777777" w:rsidR="000220D6" w:rsidRDefault="000220D6" w:rsidP="00A37F48">
            <w:pPr>
              <w:jc w:val="both"/>
            </w:pPr>
          </w:p>
          <w:p w14:paraId="2F6A3729" w14:textId="77777777" w:rsidR="000220D6" w:rsidRDefault="000220D6" w:rsidP="00A37F48">
            <w:pPr>
              <w:jc w:val="both"/>
            </w:pPr>
            <w:r>
              <w:t>Dicho órgano se constituirá en los términos, características y modalidades que cada partido político determine según sus estatutos.</w:t>
            </w:r>
          </w:p>
          <w:p w14:paraId="18D2F205" w14:textId="77777777" w:rsidR="000220D6" w:rsidRDefault="000220D6" w:rsidP="00A37F48">
            <w:pPr>
              <w:jc w:val="both"/>
            </w:pPr>
          </w:p>
          <w:p w14:paraId="6F9B6049" w14:textId="77777777" w:rsidR="000220D6" w:rsidRDefault="000220D6" w:rsidP="00A37F48">
            <w:pPr>
              <w:jc w:val="both"/>
            </w:pPr>
            <w:r w:rsidRPr="00A37F48">
              <w:rPr>
                <w:b/>
              </w:rPr>
              <w:t>Artículo 52.-</w:t>
            </w:r>
            <w:r>
              <w:t xml:space="preserve"> El Instituto contará con una Unidad Técnica de Fiscalización a cargo de un Titular nombrado por la mayoría del Consejo General a propuesta del Consejero Presidente.</w:t>
            </w:r>
          </w:p>
          <w:p w14:paraId="36C9D2BF" w14:textId="77777777" w:rsidR="000220D6" w:rsidRDefault="000220D6" w:rsidP="00A37F48">
            <w:pPr>
              <w:jc w:val="both"/>
            </w:pPr>
          </w:p>
          <w:p w14:paraId="77A6B789" w14:textId="77777777" w:rsidR="000220D6" w:rsidRDefault="000220D6" w:rsidP="00A37F48">
            <w:pPr>
              <w:jc w:val="both"/>
            </w:pPr>
            <w:r>
              <w:t>En caso de que el Instituto Nacional Electoral delegue la fiscalización a este Instituto, la Unidad tendrá el ejercicio directo de las facultades y atribuciones previstas en las disposiciones aplicables. En este caso, la Unidad, contará con una estructura orgánica y de operación acorde al modelo, protocolos y lineamientos específicos que para tal efecto emita el Instituto Nacional Electoral.</w:t>
            </w:r>
          </w:p>
          <w:p w14:paraId="51DBEDEB" w14:textId="77777777" w:rsidR="000220D6" w:rsidRDefault="000220D6" w:rsidP="00A37F48">
            <w:pPr>
              <w:jc w:val="both"/>
            </w:pPr>
          </w:p>
          <w:p w14:paraId="7D43209E" w14:textId="77777777" w:rsidR="000220D6" w:rsidRDefault="000220D6" w:rsidP="00A37F48">
            <w:pPr>
              <w:jc w:val="both"/>
            </w:pPr>
            <w:r>
              <w:t>De manera ordinaria, la Unidad fiscalizará a las organizaciones de observadores en los procesos locales; así como a las organizaciones de ciudadanos que pretendan obtener el registro como partido político local, en los términos del Reglamento que para tal efecto emita el Consejo General.</w:t>
            </w:r>
          </w:p>
          <w:p w14:paraId="13473BD9" w14:textId="77777777" w:rsidR="000220D6" w:rsidRDefault="000220D6" w:rsidP="00A37F48">
            <w:pPr>
              <w:jc w:val="both"/>
            </w:pPr>
          </w:p>
          <w:p w14:paraId="2ECF9D6B" w14:textId="77777777" w:rsidR="000220D6" w:rsidRDefault="000220D6" w:rsidP="00A37F48">
            <w:pPr>
              <w:jc w:val="both"/>
            </w:pPr>
            <w:r>
              <w:t>La Unidad gozará de autonomía técnica y de gestión y estará adscrita al Consejo General.</w:t>
            </w:r>
          </w:p>
          <w:p w14:paraId="6806A355" w14:textId="77777777" w:rsidR="000220D6" w:rsidRDefault="000220D6" w:rsidP="00A37F48">
            <w:pPr>
              <w:jc w:val="both"/>
            </w:pPr>
            <w:r>
              <w:lastRenderedPageBreak/>
              <w:t xml:space="preserve">El Titular de la Unidad Técnica de Fiscalización deberá contar con experiencia previa de tres años en las materias de auditoria, contabilidad, finanzas u otras similares, además de no haber sido miembro de órgano directivo de </w:t>
            </w:r>
            <w:proofErr w:type="gramStart"/>
            <w:r>
              <w:t>partido político o agrupación política</w:t>
            </w:r>
            <w:proofErr w:type="gramEnd"/>
            <w:r>
              <w:t xml:space="preserve"> a cualquier nivel en los últimos cuatro años previos a su designación por el Consejo General. La Unidad para el ejercicio de sus funciones deberá contar con los recursos humanos especializados y confiables, de conformidad con las disposiciones aplicables.</w:t>
            </w:r>
          </w:p>
          <w:p w14:paraId="61B4DD73" w14:textId="77777777" w:rsidR="000220D6" w:rsidRDefault="000220D6" w:rsidP="00A37F48">
            <w:pPr>
              <w:jc w:val="both"/>
            </w:pPr>
          </w:p>
          <w:p w14:paraId="72A0825B" w14:textId="77777777" w:rsidR="000220D6" w:rsidRDefault="000220D6" w:rsidP="00A37F48">
            <w:pPr>
              <w:jc w:val="both"/>
            </w:pPr>
            <w:r>
              <w:t xml:space="preserve">[…] </w:t>
            </w:r>
          </w:p>
          <w:p w14:paraId="12B5C763" w14:textId="77777777" w:rsidR="000220D6" w:rsidRDefault="000220D6" w:rsidP="00A37F48">
            <w:pPr>
              <w:jc w:val="both"/>
            </w:pPr>
          </w:p>
          <w:p w14:paraId="62AECAD9" w14:textId="77777777" w:rsidR="000220D6" w:rsidRDefault="000220D6" w:rsidP="00501DEE">
            <w:pPr>
              <w:jc w:val="both"/>
            </w:pPr>
            <w:r w:rsidRPr="00501DEE">
              <w:rPr>
                <w:b/>
              </w:rPr>
              <w:t>Artículo 53.-</w:t>
            </w:r>
            <w:r>
              <w:t xml:space="preserve"> En el caso de que el Instituto Nacional Electoral delegue al Instituto la fiscalización de los ingresos y egresos de los partidos políticos, la Unidad Técnica de Fiscalización actuará sujetándose a lo previsto por la legislación aplicable, los lineamientos, acuerdos generales, normas técnicas y demás disposiciones que emita el Instituto Nacional Electoral.</w:t>
            </w:r>
          </w:p>
          <w:p w14:paraId="66A8D546" w14:textId="77777777" w:rsidR="000220D6" w:rsidRDefault="000220D6" w:rsidP="00501DEE">
            <w:pPr>
              <w:jc w:val="both"/>
            </w:pPr>
          </w:p>
          <w:p w14:paraId="760AD497" w14:textId="77777777" w:rsidR="000220D6" w:rsidRDefault="000220D6" w:rsidP="00501DEE">
            <w:pPr>
              <w:jc w:val="both"/>
            </w:pPr>
            <w:r>
              <w:t>[…]</w:t>
            </w:r>
          </w:p>
          <w:p w14:paraId="188A8FDB" w14:textId="77777777" w:rsidR="000220D6" w:rsidRDefault="000220D6" w:rsidP="00501DEE">
            <w:pPr>
              <w:jc w:val="both"/>
            </w:pPr>
          </w:p>
          <w:p w14:paraId="16BD86B9" w14:textId="77777777" w:rsidR="000220D6" w:rsidRDefault="000220D6" w:rsidP="00501DEE">
            <w:pPr>
              <w:jc w:val="both"/>
            </w:pPr>
            <w:r w:rsidRPr="00501DEE">
              <w:rPr>
                <w:b/>
              </w:rPr>
              <w:t xml:space="preserve">Artículo 70 </w:t>
            </w:r>
            <w:proofErr w:type="gramStart"/>
            <w:r w:rsidRPr="00501DEE">
              <w:rPr>
                <w:b/>
              </w:rPr>
              <w:t>bis.-</w:t>
            </w:r>
            <w:proofErr w:type="gramEnd"/>
            <w:r>
              <w:t xml:space="preserve"> Cuando los partidos políticos, a que se refiere el artículo anterior, hayan perdido su registro, los bienes muebles e inmuebles que hayan sido adquiridos a través del financiamiento público, pasarán a ser parte del patrimonio del Estado de Puebla. La resolución del Consejo General a la que hace referencia el artículo 70, establecerá la obligación para los partidos políticos que hayan perdido su registro a presentar en un plazo de 10 días hábiles, el inventario final de todos los bienes con que cuenten y dentro de los 30 días naturales siguientes, contados a partir de que hayan presentado el inventario final, entregarán al Consejo General los bienes muebles e inmuebles que adquirieron con el financiamiento público.</w:t>
            </w:r>
          </w:p>
          <w:p w14:paraId="3BD68383" w14:textId="76CBD8A3" w:rsidR="000220D6" w:rsidRDefault="000220D6" w:rsidP="00501DEE">
            <w:pPr>
              <w:jc w:val="both"/>
            </w:pPr>
            <w:r w:rsidRPr="005A01A4">
              <w:t>(REFORMADO, P.O. 22 DE AGOSTO DE 2015)</w:t>
            </w:r>
            <w:r>
              <w:t xml:space="preserve"> </w:t>
            </w:r>
          </w:p>
          <w:p w14:paraId="2F800398" w14:textId="77777777" w:rsidR="000220D6" w:rsidRDefault="000220D6" w:rsidP="00501DEE">
            <w:pPr>
              <w:jc w:val="both"/>
            </w:pPr>
            <w:r>
              <w:t>Sin perjuicio de lo anterior, los partidos que hayan perdido su registro seguirán sujetos a la fiscalización que realice la autoridad electoral respecto de los recursos utilizados en el último proceso electoral en el que hubieren participado. Asimismo, la pérdida del registro no exime a dichos partidos políticos de las responsabilidades en que hayan incurrido con motivo del ejercicio de sus derechos y prerrogativas, ni a sus dirigentes hasta la conclusión de los procedimientos respectivos y de liquidación de su patrimonio.</w:t>
            </w:r>
          </w:p>
          <w:p w14:paraId="5D16B13D" w14:textId="77777777" w:rsidR="000220D6" w:rsidRDefault="000220D6" w:rsidP="00501DEE">
            <w:pPr>
              <w:jc w:val="both"/>
            </w:pPr>
          </w:p>
          <w:p w14:paraId="4A9A54E4" w14:textId="77777777" w:rsidR="000220D6" w:rsidRDefault="000220D6" w:rsidP="00501DEE">
            <w:pPr>
              <w:jc w:val="both"/>
            </w:pPr>
            <w:r>
              <w:t>[…]</w:t>
            </w:r>
          </w:p>
          <w:p w14:paraId="1DB77F9A" w14:textId="77777777" w:rsidR="000220D6" w:rsidRDefault="000220D6" w:rsidP="00501DEE">
            <w:pPr>
              <w:jc w:val="both"/>
            </w:pPr>
          </w:p>
          <w:p w14:paraId="23A70972" w14:textId="77777777" w:rsidR="000220D6" w:rsidRDefault="000220D6" w:rsidP="00501DEE">
            <w:pPr>
              <w:jc w:val="both"/>
            </w:pPr>
            <w:r w:rsidRPr="00501DEE">
              <w:rPr>
                <w:b/>
              </w:rPr>
              <w:t>Artículo 89.-</w:t>
            </w:r>
            <w:r>
              <w:t xml:space="preserve"> El Consejo General tendrá las atribuciones siguientes:</w:t>
            </w:r>
          </w:p>
          <w:p w14:paraId="5A220D5D" w14:textId="77777777" w:rsidR="000220D6" w:rsidRDefault="000220D6" w:rsidP="00501DEE">
            <w:pPr>
              <w:jc w:val="both"/>
            </w:pPr>
          </w:p>
          <w:p w14:paraId="67679667" w14:textId="77777777" w:rsidR="000220D6" w:rsidRDefault="000220D6" w:rsidP="00501DEE">
            <w:pPr>
              <w:jc w:val="both"/>
            </w:pPr>
            <w:r>
              <w:t>[…]</w:t>
            </w:r>
          </w:p>
          <w:p w14:paraId="0C01E3A9" w14:textId="77777777" w:rsidR="000220D6" w:rsidRDefault="000220D6" w:rsidP="00501DEE">
            <w:pPr>
              <w:jc w:val="both"/>
            </w:pPr>
            <w:r>
              <w:lastRenderedPageBreak/>
              <w:t>LIV.- En su caso, establecer lineamientos y formatos para la presentación de informes de gastos de precampañas, campañas electorales cuando lo delegue el Instituto Nacional Electoral y de acuerdo a las reglas, lineamientos, criterios y formatos que dicte para tal efecto; así como para el debido funcionamiento de la Unidad Técnica de Fiscalización;</w:t>
            </w:r>
          </w:p>
          <w:p w14:paraId="3F876FA2" w14:textId="77777777" w:rsidR="000220D6" w:rsidRDefault="000220D6" w:rsidP="00501DEE">
            <w:pPr>
              <w:jc w:val="both"/>
            </w:pPr>
            <w:r>
              <w:t>[…]</w:t>
            </w:r>
          </w:p>
          <w:p w14:paraId="49D27E41" w14:textId="77777777" w:rsidR="000220D6" w:rsidRDefault="000220D6" w:rsidP="00501DEE">
            <w:pPr>
              <w:jc w:val="both"/>
            </w:pPr>
          </w:p>
          <w:p w14:paraId="2B426CBD" w14:textId="0542E233" w:rsidR="000220D6" w:rsidRDefault="000220D6" w:rsidP="00501DEE">
            <w:pPr>
              <w:jc w:val="both"/>
            </w:pPr>
            <w:r w:rsidRPr="00501DEE">
              <w:rPr>
                <w:b/>
              </w:rPr>
              <w:t>Artículo 109 Ter.-</w:t>
            </w:r>
            <w:r>
              <w:t xml:space="preserve"> El Instituto contará con una Unidad Técnica de Fiscalización adscrita al Consejo General, cuya finalidad será auditar, fiscalizar y requerir a las organizaciones de ciudadanos que pretendan constituir un partido político estatal, a las organizaciones de observadores en elecciones locales, sobre el origen y uso de todos los recursos con los que cuenten, funciones que se realizarán en términos del reglamento que al efecto emita el Consejo General.</w:t>
            </w:r>
          </w:p>
          <w:p w14:paraId="71EC711A" w14:textId="77777777" w:rsidR="000220D6" w:rsidRDefault="000220D6" w:rsidP="00501DEE">
            <w:pPr>
              <w:jc w:val="both"/>
            </w:pPr>
          </w:p>
          <w:p w14:paraId="2996F2A6" w14:textId="0ADE187F" w:rsidR="000220D6" w:rsidRDefault="000220D6" w:rsidP="00501DEE">
            <w:pPr>
              <w:jc w:val="both"/>
            </w:pPr>
            <w:r w:rsidRPr="005A01A4">
              <w:t>(ADICIONADO, P.O. 22 DE AGOSTO DE 2015)</w:t>
            </w:r>
            <w:r>
              <w:t xml:space="preserve"> </w:t>
            </w:r>
          </w:p>
          <w:p w14:paraId="1EE7983C" w14:textId="77777777" w:rsidR="000220D6" w:rsidRDefault="000220D6" w:rsidP="00501DEE">
            <w:pPr>
              <w:jc w:val="both"/>
            </w:pPr>
            <w:r>
              <w:t>En caso de que se delegue la atribución de fiscalización al Instituto, la Unidad Técnica de Fiscalización llevará a cabo esta función, conforme a las leyes generales de la materia, así como a los lineamientos, acuerdos generales, normas técnicas y demás disposiciones que emita el Instituto Nacional Electoral.</w:t>
            </w:r>
          </w:p>
          <w:p w14:paraId="35C7E5AD" w14:textId="77777777" w:rsidR="000220D6" w:rsidRDefault="000220D6" w:rsidP="00501DEE">
            <w:pPr>
              <w:jc w:val="both"/>
            </w:pPr>
            <w:r>
              <w:t>[…]</w:t>
            </w:r>
          </w:p>
          <w:p w14:paraId="50C2FA4F" w14:textId="77777777" w:rsidR="000220D6" w:rsidRDefault="000220D6" w:rsidP="00501DEE">
            <w:pPr>
              <w:jc w:val="both"/>
            </w:pPr>
          </w:p>
          <w:p w14:paraId="63098815" w14:textId="77777777" w:rsidR="000220D6" w:rsidRDefault="000220D6" w:rsidP="00501DEE">
            <w:pPr>
              <w:jc w:val="both"/>
            </w:pPr>
            <w:r w:rsidRPr="00501DEE">
              <w:rPr>
                <w:b/>
              </w:rPr>
              <w:t xml:space="preserve">Artículo 201 </w:t>
            </w:r>
            <w:proofErr w:type="gramStart"/>
            <w:r w:rsidRPr="00501DEE">
              <w:rPr>
                <w:b/>
              </w:rPr>
              <w:t>Quinquies.-</w:t>
            </w:r>
            <w:proofErr w:type="gramEnd"/>
            <w:r>
              <w:t xml:space="preserve"> A. Son prerrogativas y derechos de los candidatos independientes registrados:</w:t>
            </w:r>
          </w:p>
          <w:p w14:paraId="7FB6703B" w14:textId="77777777" w:rsidR="000220D6" w:rsidRDefault="000220D6" w:rsidP="00501DEE">
            <w:pPr>
              <w:jc w:val="both"/>
            </w:pPr>
            <w:r>
              <w:t>[…]</w:t>
            </w:r>
          </w:p>
          <w:p w14:paraId="14FC8923" w14:textId="77777777" w:rsidR="000220D6" w:rsidRDefault="000220D6" w:rsidP="00501DEE">
            <w:pPr>
              <w:jc w:val="both"/>
            </w:pPr>
          </w:p>
          <w:p w14:paraId="3725C760" w14:textId="77777777" w:rsidR="000220D6" w:rsidRDefault="000220D6" w:rsidP="00501DEE">
            <w:pPr>
              <w:jc w:val="both"/>
            </w:pPr>
            <w:r>
              <w:t>c) Para el caso de candidatos independientes para el cargo de Gobernador del Estado, las aportaciones que realice cada persona física, tendrán un límite equivalente al 0.20% del tope de gasto de campaña para la elección de Gobernador del Estado aprobado en la elección inmediata anterior.</w:t>
            </w:r>
          </w:p>
          <w:p w14:paraId="3F5E888A" w14:textId="77777777" w:rsidR="000220D6" w:rsidRDefault="000220D6" w:rsidP="00501DEE">
            <w:pPr>
              <w:jc w:val="both"/>
            </w:pPr>
          </w:p>
          <w:p w14:paraId="28A8E7BB" w14:textId="77777777" w:rsidR="000220D6" w:rsidRDefault="000220D6" w:rsidP="00501DEE">
            <w:pPr>
              <w:jc w:val="both"/>
            </w:pPr>
            <w:r>
              <w:t>En la normatividad de fiscalización se determinarán los mecanismos con base en los que se podrán recibir las donaciones en especie para las campañas de candidatos independientes; en lo no previsto, se estará a lo que disponga el Consejo General.</w:t>
            </w:r>
          </w:p>
          <w:p w14:paraId="72CEC35A" w14:textId="77777777" w:rsidR="000220D6" w:rsidRDefault="000220D6" w:rsidP="00501DEE">
            <w:pPr>
              <w:jc w:val="both"/>
            </w:pPr>
            <w:r>
              <w:t>[…]</w:t>
            </w:r>
          </w:p>
          <w:p w14:paraId="01294C69" w14:textId="77777777" w:rsidR="000220D6" w:rsidRDefault="000220D6" w:rsidP="00501DEE">
            <w:pPr>
              <w:jc w:val="both"/>
            </w:pPr>
            <w:r>
              <w:t>La presentación y revisión de los informes que los aspirantes presenten sobre el origen y destino de sus recursos y de actos para el apoyo ciudadano según corresponda, así como la práctica de auditorías sobre el manejo de sus recursos y su situación contable y financiera, se realizará ante y estará a cargo del Instituto Nacional Electoral.</w:t>
            </w:r>
          </w:p>
          <w:p w14:paraId="2864FD3C" w14:textId="77777777" w:rsidR="000220D6" w:rsidRDefault="000220D6" w:rsidP="00501DEE">
            <w:pPr>
              <w:jc w:val="both"/>
            </w:pPr>
          </w:p>
          <w:p w14:paraId="4553BD44" w14:textId="77777777" w:rsidR="000220D6" w:rsidRDefault="000220D6" w:rsidP="00501DEE">
            <w:pPr>
              <w:jc w:val="both"/>
            </w:pPr>
            <w:r>
              <w:lastRenderedPageBreak/>
              <w:t>En caso de que la facultad fiscalizadora le sea delegada al Instituto, ésta será realizada de conformidad con los reglamentos, lineamientos y acuerdos que al efecto se emitan por el Instituto Nacional Electoral.</w:t>
            </w:r>
          </w:p>
          <w:p w14:paraId="3890B035" w14:textId="77777777" w:rsidR="000220D6" w:rsidRDefault="000220D6" w:rsidP="00501DEE">
            <w:pPr>
              <w:jc w:val="both"/>
            </w:pPr>
            <w:r>
              <w:t>[…]</w:t>
            </w:r>
          </w:p>
          <w:p w14:paraId="21C4C2F6" w14:textId="77777777" w:rsidR="000220D6" w:rsidRDefault="000220D6" w:rsidP="00501DEE">
            <w:pPr>
              <w:jc w:val="both"/>
            </w:pPr>
          </w:p>
          <w:p w14:paraId="14782BD0" w14:textId="055E6AA0" w:rsidR="000220D6" w:rsidRDefault="000220D6" w:rsidP="00501DEE">
            <w:pPr>
              <w:jc w:val="both"/>
            </w:pPr>
            <w:r w:rsidRPr="00501DEE">
              <w:rPr>
                <w:b/>
              </w:rPr>
              <w:t>SEXTO.-</w:t>
            </w:r>
            <w:r>
              <w:t xml:space="preserve"> Los procedimientos administrativos, jurisdiccionales y de fiscalización relacionados con los partidos políticos, así como de sus militantes o simpatizantes, que el Instituto y el Tribunal hayan iniciado o se encuentren en trámite a la entrada en vigor de este Decreto, se seguirán atendiendo de conformidad con las disposiciones jurídicas y administrativas que hayan estado vigentes al momento de su inicio.</w:t>
            </w:r>
          </w:p>
        </w:tc>
      </w:tr>
    </w:tbl>
    <w:p w14:paraId="40300B09" w14:textId="77777777" w:rsidR="004F35DF" w:rsidRDefault="00FA18E9">
      <w:pPr>
        <w:spacing w:after="0"/>
        <w:ind w:right="15258"/>
        <w:jc w:val="right"/>
      </w:pPr>
      <w:r>
        <w:rPr>
          <w:rFonts w:ascii="Malgun Gothic" w:eastAsia="Malgun Gothic" w:hAnsi="Malgun Gothic" w:cs="Malgun Gothic"/>
        </w:rPr>
        <w:lastRenderedPageBreak/>
        <w:t xml:space="preserve"> </w:t>
      </w:r>
    </w:p>
    <w:p w14:paraId="0E243B67" w14:textId="77777777" w:rsidR="004F35DF" w:rsidRDefault="00FA18E9">
      <w:pPr>
        <w:spacing w:after="0"/>
        <w:ind w:left="-24"/>
      </w:pPr>
      <w:r>
        <w:t xml:space="preserve">  </w:t>
      </w:r>
    </w:p>
    <w:tbl>
      <w:tblPr>
        <w:tblStyle w:val="TableGrid"/>
        <w:tblW w:w="18156" w:type="dxa"/>
        <w:tblInd w:w="-17" w:type="dxa"/>
        <w:tblCellMar>
          <w:top w:w="61" w:type="dxa"/>
          <w:left w:w="108" w:type="dxa"/>
          <w:right w:w="57" w:type="dxa"/>
        </w:tblCellMar>
        <w:tblLook w:val="04A0" w:firstRow="1" w:lastRow="0" w:firstColumn="1" w:lastColumn="0" w:noHBand="0" w:noVBand="1"/>
      </w:tblPr>
      <w:tblGrid>
        <w:gridCol w:w="1464"/>
        <w:gridCol w:w="2774"/>
        <w:gridCol w:w="4417"/>
        <w:gridCol w:w="9501"/>
      </w:tblGrid>
      <w:tr w:rsidR="004F35DF" w14:paraId="463B6854" w14:textId="77777777" w:rsidTr="00E77FBA">
        <w:trPr>
          <w:trHeight w:val="406"/>
        </w:trPr>
        <w:tc>
          <w:tcPr>
            <w:tcW w:w="1464" w:type="dxa"/>
            <w:tcBorders>
              <w:top w:val="single" w:sz="4" w:space="0" w:color="BFBFBF"/>
              <w:left w:val="single" w:sz="4" w:space="0" w:color="BFBFBF"/>
              <w:bottom w:val="single" w:sz="4" w:space="0" w:color="BFBFBF"/>
              <w:right w:val="single" w:sz="4" w:space="0" w:color="BFBFBF"/>
            </w:tcBorders>
            <w:shd w:val="clear" w:color="auto" w:fill="76923C"/>
          </w:tcPr>
          <w:p w14:paraId="1F079DCF" w14:textId="77777777" w:rsidR="004F35DF" w:rsidRDefault="00FA18E9">
            <w:pPr>
              <w:ind w:left="197"/>
              <w:jc w:val="center"/>
            </w:pPr>
            <w:r>
              <w:rPr>
                <w:rFonts w:ascii="Century Gothic" w:eastAsia="Century Gothic" w:hAnsi="Century Gothic" w:cs="Century Gothic"/>
                <w:b/>
                <w:color w:val="FFFFFF"/>
                <w:sz w:val="20"/>
              </w:rPr>
              <w:t xml:space="preserve"> </w:t>
            </w:r>
          </w:p>
        </w:tc>
        <w:tc>
          <w:tcPr>
            <w:tcW w:w="2774" w:type="dxa"/>
            <w:tcBorders>
              <w:top w:val="single" w:sz="4" w:space="0" w:color="BFBFBF"/>
              <w:left w:val="single" w:sz="4" w:space="0" w:color="BFBFBF"/>
              <w:bottom w:val="single" w:sz="4" w:space="0" w:color="BFBFBF"/>
              <w:right w:val="single" w:sz="4" w:space="0" w:color="BFBFBF"/>
            </w:tcBorders>
            <w:shd w:val="clear" w:color="auto" w:fill="76923C"/>
          </w:tcPr>
          <w:p w14:paraId="023DDB4E" w14:textId="77777777" w:rsidR="004F35DF" w:rsidRDefault="00FA18E9">
            <w:pPr>
              <w:ind w:right="54"/>
              <w:jc w:val="center"/>
            </w:pPr>
            <w:r>
              <w:rPr>
                <w:rFonts w:ascii="Century Gothic" w:eastAsia="Century Gothic" w:hAnsi="Century Gothic" w:cs="Century Gothic"/>
                <w:b/>
                <w:color w:val="FFFFFF"/>
                <w:sz w:val="20"/>
              </w:rPr>
              <w:t xml:space="preserve">ESTADO </w:t>
            </w:r>
          </w:p>
        </w:tc>
        <w:tc>
          <w:tcPr>
            <w:tcW w:w="4417" w:type="dxa"/>
            <w:tcBorders>
              <w:top w:val="single" w:sz="4" w:space="0" w:color="BFBFBF"/>
              <w:left w:val="single" w:sz="4" w:space="0" w:color="BFBFBF"/>
              <w:bottom w:val="single" w:sz="4" w:space="0" w:color="BFBFBF"/>
              <w:right w:val="single" w:sz="4" w:space="0" w:color="BFBFBF"/>
            </w:tcBorders>
            <w:shd w:val="clear" w:color="auto" w:fill="76923C"/>
          </w:tcPr>
          <w:p w14:paraId="1A12EF4B" w14:textId="77777777" w:rsidR="004F35DF" w:rsidRDefault="00FA18E9">
            <w:pPr>
              <w:ind w:right="52"/>
              <w:jc w:val="center"/>
            </w:pPr>
            <w:r>
              <w:rPr>
                <w:rFonts w:ascii="Century Gothic" w:eastAsia="Century Gothic" w:hAnsi="Century Gothic" w:cs="Century Gothic"/>
                <w:b/>
                <w:color w:val="FFFFFF"/>
                <w:sz w:val="20"/>
              </w:rPr>
              <w:t xml:space="preserve">LEY </w:t>
            </w:r>
          </w:p>
        </w:tc>
        <w:tc>
          <w:tcPr>
            <w:tcW w:w="9501" w:type="dxa"/>
            <w:tcBorders>
              <w:top w:val="single" w:sz="4" w:space="0" w:color="BFBFBF"/>
              <w:left w:val="single" w:sz="4" w:space="0" w:color="BFBFBF"/>
              <w:bottom w:val="single" w:sz="4" w:space="0" w:color="BFBFBF"/>
              <w:right w:val="single" w:sz="4" w:space="0" w:color="BFBFBF"/>
            </w:tcBorders>
            <w:shd w:val="clear" w:color="auto" w:fill="76923C"/>
          </w:tcPr>
          <w:p w14:paraId="6372CD50" w14:textId="77777777" w:rsidR="004F35DF" w:rsidRDefault="00FA18E9">
            <w:pPr>
              <w:ind w:right="52"/>
              <w:jc w:val="center"/>
            </w:pPr>
            <w:r>
              <w:rPr>
                <w:rFonts w:ascii="Century Gothic" w:eastAsia="Century Gothic" w:hAnsi="Century Gothic" w:cs="Century Gothic"/>
                <w:b/>
                <w:color w:val="FFFFFF"/>
                <w:sz w:val="20"/>
              </w:rPr>
              <w:t xml:space="preserve">ARTÍCULO (TRANSCRIPCIÓN) </w:t>
            </w:r>
          </w:p>
        </w:tc>
      </w:tr>
      <w:tr w:rsidR="00D049C6" w14:paraId="2DEF5259" w14:textId="77777777" w:rsidTr="00E77FBA">
        <w:trPr>
          <w:trHeight w:val="479"/>
        </w:trPr>
        <w:tc>
          <w:tcPr>
            <w:tcW w:w="1464" w:type="dxa"/>
            <w:tcBorders>
              <w:top w:val="single" w:sz="4" w:space="0" w:color="BFBFBF"/>
              <w:left w:val="single" w:sz="4" w:space="0" w:color="BFBFBF"/>
              <w:bottom w:val="single" w:sz="4" w:space="0" w:color="BFBFBF"/>
              <w:right w:val="single" w:sz="4" w:space="0" w:color="BFBFBF"/>
            </w:tcBorders>
            <w:shd w:val="clear" w:color="auto" w:fill="F2F2F2"/>
          </w:tcPr>
          <w:p w14:paraId="701E386D" w14:textId="77777777" w:rsidR="00D049C6" w:rsidRPr="00D049C6" w:rsidRDefault="00FE0BC3" w:rsidP="00FE0BC3">
            <w:pPr>
              <w:rPr>
                <w:b/>
              </w:rPr>
            </w:pPr>
            <w:r>
              <w:rPr>
                <w:b/>
              </w:rPr>
              <w:t xml:space="preserve">          </w:t>
            </w:r>
            <w:r w:rsidR="00D049C6" w:rsidRPr="00D049C6">
              <w:rPr>
                <w:b/>
              </w:rPr>
              <w:t>3.</w:t>
            </w:r>
          </w:p>
        </w:tc>
        <w:tc>
          <w:tcPr>
            <w:tcW w:w="2774" w:type="dxa"/>
            <w:tcBorders>
              <w:top w:val="single" w:sz="4" w:space="0" w:color="BFBFBF"/>
              <w:left w:val="single" w:sz="4" w:space="0" w:color="BFBFBF"/>
              <w:bottom w:val="single" w:sz="4" w:space="0" w:color="BFBFBF"/>
              <w:right w:val="single" w:sz="4" w:space="0" w:color="BFBFBF"/>
            </w:tcBorders>
            <w:shd w:val="clear" w:color="auto" w:fill="F2F2F2"/>
          </w:tcPr>
          <w:p w14:paraId="5267AC9A" w14:textId="4AD9ACF9" w:rsidR="00D049C6" w:rsidRPr="00D049C6" w:rsidRDefault="00D049C6" w:rsidP="000220D6">
            <w:pPr>
              <w:jc w:val="center"/>
              <w:rPr>
                <w:b/>
              </w:rPr>
            </w:pPr>
            <w:r w:rsidRPr="00D049C6">
              <w:rPr>
                <w:b/>
              </w:rPr>
              <w:t>PUEBLA</w:t>
            </w:r>
          </w:p>
        </w:tc>
        <w:tc>
          <w:tcPr>
            <w:tcW w:w="13918" w:type="dxa"/>
            <w:gridSpan w:val="2"/>
            <w:tcBorders>
              <w:top w:val="single" w:sz="4" w:space="0" w:color="BFBFBF"/>
              <w:left w:val="single" w:sz="4" w:space="0" w:color="BFBFBF"/>
              <w:bottom w:val="single" w:sz="4" w:space="0" w:color="BFBFBF"/>
              <w:right w:val="single" w:sz="4" w:space="0" w:color="BFBFBF"/>
            </w:tcBorders>
            <w:shd w:val="clear" w:color="auto" w:fill="F2F2F2"/>
          </w:tcPr>
          <w:p w14:paraId="5619E470" w14:textId="347AEC95" w:rsidR="00F869E4" w:rsidRPr="00F861AF" w:rsidRDefault="000220D6" w:rsidP="00D049C6">
            <w:pPr>
              <w:rPr>
                <w:rStyle w:val="Hipervnculo"/>
                <w:b/>
                <w:bCs/>
                <w:color w:val="auto"/>
              </w:rPr>
            </w:pPr>
            <w:hyperlink r:id="rId9" w:history="1">
              <w:r w:rsidR="009D3F24" w:rsidRPr="00F861AF">
                <w:rPr>
                  <w:rStyle w:val="Hipervnculo"/>
                  <w:b/>
                  <w:bCs/>
                  <w:color w:val="auto"/>
                </w:rPr>
                <w:t>Reglamento de Fiscalización del Instituto Electoral del Estado, aplicable a las organizaciones de ciudadanos que pretendan obtener el registro como partido político local y a las organizaciones de observadores en elecciones locales</w:t>
              </w:r>
            </w:hyperlink>
            <w:r w:rsidR="009D3F24" w:rsidRPr="00F861AF">
              <w:rPr>
                <w:rStyle w:val="Hipervnculo"/>
                <w:b/>
                <w:bCs/>
                <w:color w:val="auto"/>
              </w:rPr>
              <w:t xml:space="preserve"> </w:t>
            </w:r>
          </w:p>
          <w:p w14:paraId="6AD2D00A" w14:textId="34840D83" w:rsidR="00F861AF" w:rsidRPr="00F861AF" w:rsidRDefault="00F861AF" w:rsidP="00D049C6">
            <w:pPr>
              <w:rPr>
                <w:rStyle w:val="Hipervnculo"/>
                <w:b/>
                <w:bCs/>
                <w:color w:val="auto"/>
              </w:rPr>
            </w:pPr>
          </w:p>
          <w:p w14:paraId="49073A6C" w14:textId="62F4E098" w:rsidR="00F861AF" w:rsidRPr="00F861AF" w:rsidRDefault="000220D6" w:rsidP="00D049C6">
            <w:pPr>
              <w:rPr>
                <w:rStyle w:val="Hipervnculo"/>
                <w:b/>
                <w:bCs/>
                <w:color w:val="auto"/>
              </w:rPr>
            </w:pPr>
            <w:hyperlink r:id="rId10" w:history="1">
              <w:r w:rsidR="00F861AF" w:rsidRPr="00F861AF">
                <w:rPr>
                  <w:rStyle w:val="Hipervnculo"/>
                  <w:b/>
                  <w:bCs/>
                  <w:color w:val="auto"/>
                </w:rPr>
                <w:t>Reglamento para la liquidación de los partidos políticos locales que pierdan su registro ante el Instituto Electoral del Estado</w:t>
              </w:r>
            </w:hyperlink>
          </w:p>
          <w:p w14:paraId="3A5D721B" w14:textId="77777777" w:rsidR="009D3F24" w:rsidRPr="00F861AF" w:rsidRDefault="009D3F24" w:rsidP="00F869E4">
            <w:pPr>
              <w:rPr>
                <w:b/>
                <w:bCs/>
                <w:color w:val="auto"/>
              </w:rPr>
            </w:pPr>
          </w:p>
        </w:tc>
      </w:tr>
      <w:tr w:rsidR="00D049C6" w14:paraId="199C0252" w14:textId="77777777" w:rsidTr="00E77FBA">
        <w:trPr>
          <w:trHeight w:val="332"/>
        </w:trPr>
        <w:tc>
          <w:tcPr>
            <w:tcW w:w="14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136E052" w14:textId="04FD2BA2" w:rsidR="00D049C6" w:rsidRPr="00FE0BC3" w:rsidRDefault="00FE0BC3" w:rsidP="00FE0BC3">
            <w:pPr>
              <w:ind w:right="413"/>
              <w:rPr>
                <w:rFonts w:ascii="Century Gothic" w:eastAsia="Century Gothic" w:hAnsi="Century Gothic" w:cs="Century Gothic"/>
                <w:b/>
                <w:sz w:val="20"/>
              </w:rPr>
            </w:pPr>
            <w:r w:rsidRPr="00FE0BC3">
              <w:rPr>
                <w:b/>
              </w:rPr>
              <w:t xml:space="preserve">          </w:t>
            </w:r>
            <w:r w:rsidR="000220D6">
              <w:rPr>
                <w:b/>
              </w:rPr>
              <w:t>4</w:t>
            </w:r>
            <w:r w:rsidR="00D049C6" w:rsidRPr="00FE0BC3">
              <w:rPr>
                <w:b/>
              </w:rPr>
              <w:t>.</w:t>
            </w:r>
          </w:p>
          <w:p w14:paraId="41488846" w14:textId="77777777" w:rsidR="00D049C6" w:rsidRPr="00FE0BC3" w:rsidRDefault="00D049C6" w:rsidP="00FE0BC3">
            <w:pPr>
              <w:ind w:right="413"/>
              <w:jc w:val="center"/>
              <w:rPr>
                <w:rFonts w:ascii="Century Gothic" w:eastAsia="Century Gothic" w:hAnsi="Century Gothic" w:cs="Century Gothic"/>
                <w:b/>
                <w:sz w:val="20"/>
              </w:rPr>
            </w:pPr>
          </w:p>
        </w:tc>
        <w:tc>
          <w:tcPr>
            <w:tcW w:w="277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6A0C125" w14:textId="77777777" w:rsidR="00D049C6" w:rsidRDefault="00D049C6" w:rsidP="000220D6">
            <w:pPr>
              <w:ind w:right="54"/>
              <w:jc w:val="center"/>
              <w:rPr>
                <w:rFonts w:ascii="Century Gothic" w:eastAsia="Century Gothic" w:hAnsi="Century Gothic" w:cs="Century Gothic"/>
                <w:b/>
                <w:sz w:val="20"/>
              </w:rPr>
            </w:pPr>
            <w:r>
              <w:rPr>
                <w:rFonts w:ascii="Century Gothic" w:eastAsia="Century Gothic" w:hAnsi="Century Gothic" w:cs="Century Gothic"/>
                <w:b/>
                <w:sz w:val="20"/>
              </w:rPr>
              <w:t>PUEBLA</w:t>
            </w:r>
          </w:p>
        </w:tc>
        <w:tc>
          <w:tcPr>
            <w:tcW w:w="13918"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14:paraId="301E6882" w14:textId="77777777" w:rsidR="00D049C6" w:rsidRPr="00F861AF" w:rsidRDefault="000220D6">
            <w:pPr>
              <w:rPr>
                <w:b/>
                <w:color w:val="auto"/>
              </w:rPr>
            </w:pPr>
            <w:hyperlink r:id="rId11" w:history="1">
              <w:r w:rsidR="00D049C6" w:rsidRPr="00F861AF">
                <w:rPr>
                  <w:rStyle w:val="Hipervnculo"/>
                  <w:b/>
                  <w:color w:val="auto"/>
                </w:rPr>
                <w:t>Lineamientos para la presentación y fiscalización de informes de precampañas electorales</w:t>
              </w:r>
            </w:hyperlink>
            <w:r w:rsidR="00D049C6" w:rsidRPr="00F861AF">
              <w:rPr>
                <w:b/>
                <w:color w:val="auto"/>
              </w:rPr>
              <w:t xml:space="preserve"> </w:t>
            </w:r>
          </w:p>
        </w:tc>
      </w:tr>
      <w:tr w:rsidR="00FE0BC3" w14:paraId="5430EC17" w14:textId="77777777" w:rsidTr="00E77FBA">
        <w:trPr>
          <w:trHeight w:val="365"/>
        </w:trPr>
        <w:tc>
          <w:tcPr>
            <w:tcW w:w="1464" w:type="dxa"/>
            <w:tcBorders>
              <w:top w:val="single" w:sz="4" w:space="0" w:color="BFBFBF"/>
              <w:left w:val="single" w:sz="4" w:space="0" w:color="BFBFBF"/>
              <w:bottom w:val="single" w:sz="4" w:space="0" w:color="BFBFBF"/>
              <w:right w:val="single" w:sz="4" w:space="0" w:color="BFBFBF"/>
            </w:tcBorders>
            <w:shd w:val="clear" w:color="auto" w:fill="F2F2F2"/>
          </w:tcPr>
          <w:p w14:paraId="1111B505" w14:textId="5ACB7879" w:rsidR="00FE0BC3" w:rsidRPr="00FE0BC3" w:rsidRDefault="00FE0BC3" w:rsidP="0010728E">
            <w:pPr>
              <w:rPr>
                <w:b/>
              </w:rPr>
            </w:pPr>
            <w:r w:rsidRPr="00FE0BC3">
              <w:rPr>
                <w:b/>
              </w:rPr>
              <w:t xml:space="preserve">          </w:t>
            </w:r>
            <w:r w:rsidR="000220D6">
              <w:rPr>
                <w:b/>
              </w:rPr>
              <w:t>5</w:t>
            </w:r>
            <w:r w:rsidRPr="00FE0BC3">
              <w:rPr>
                <w:b/>
              </w:rPr>
              <w:t>.</w:t>
            </w:r>
          </w:p>
        </w:tc>
        <w:tc>
          <w:tcPr>
            <w:tcW w:w="2774" w:type="dxa"/>
            <w:tcBorders>
              <w:top w:val="single" w:sz="4" w:space="0" w:color="BFBFBF"/>
              <w:left w:val="single" w:sz="4" w:space="0" w:color="BFBFBF"/>
              <w:bottom w:val="single" w:sz="4" w:space="0" w:color="BFBFBF"/>
              <w:right w:val="single" w:sz="4" w:space="0" w:color="BFBFBF"/>
            </w:tcBorders>
            <w:shd w:val="clear" w:color="auto" w:fill="F2F2F2"/>
          </w:tcPr>
          <w:p w14:paraId="6F5A4141" w14:textId="77777777" w:rsidR="00FE0BC3" w:rsidRPr="00C45D5E" w:rsidRDefault="00FE0BC3" w:rsidP="000220D6">
            <w:pPr>
              <w:jc w:val="center"/>
              <w:rPr>
                <w:b/>
              </w:rPr>
            </w:pPr>
            <w:r w:rsidRPr="00C45D5E">
              <w:rPr>
                <w:b/>
              </w:rPr>
              <w:t>PUEBLA</w:t>
            </w:r>
          </w:p>
        </w:tc>
        <w:tc>
          <w:tcPr>
            <w:tcW w:w="13918"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14:paraId="74863C8B" w14:textId="335776B6" w:rsidR="00F869E4" w:rsidRPr="00F861AF" w:rsidRDefault="000220D6" w:rsidP="00FE0BC3">
            <w:pPr>
              <w:rPr>
                <w:b/>
                <w:color w:val="auto"/>
              </w:rPr>
            </w:pPr>
            <w:hyperlink r:id="rId12" w:history="1">
              <w:r w:rsidR="00C45D5E" w:rsidRPr="00F861AF">
                <w:rPr>
                  <w:rStyle w:val="Hipervnculo"/>
                  <w:b/>
                  <w:color w:val="auto"/>
                </w:rPr>
                <w:t>Manual del Usuario del Sistema de Apoyo para la Fiscalización de las Organizaciones de Observadores Electorales</w:t>
              </w:r>
            </w:hyperlink>
          </w:p>
          <w:p w14:paraId="5CCD89EB" w14:textId="77777777" w:rsidR="00F869E4" w:rsidRPr="00F861AF" w:rsidRDefault="00F869E4" w:rsidP="00F869E4">
            <w:pPr>
              <w:rPr>
                <w:b/>
                <w:color w:val="auto"/>
              </w:rPr>
            </w:pPr>
          </w:p>
        </w:tc>
      </w:tr>
    </w:tbl>
    <w:p w14:paraId="398E7EE7" w14:textId="77777777" w:rsidR="004F35DF" w:rsidRDefault="00FA18E9">
      <w:pPr>
        <w:spacing w:after="0"/>
        <w:ind w:left="-24"/>
      </w:pPr>
      <w:r>
        <w:rPr>
          <w:rFonts w:ascii="Century Gothic" w:eastAsia="Century Gothic" w:hAnsi="Century Gothic" w:cs="Century Gothic"/>
          <w:b/>
          <w:sz w:val="20"/>
        </w:rPr>
        <w:t xml:space="preserve"> </w:t>
      </w:r>
    </w:p>
    <w:sectPr w:rsidR="004F35DF">
      <w:headerReference w:type="even" r:id="rId13"/>
      <w:headerReference w:type="default" r:id="rId14"/>
      <w:headerReference w:type="first" r:id="rId15"/>
      <w:pgSz w:w="20160" w:h="12240" w:orient="landscape"/>
      <w:pgMar w:top="1440" w:right="1440" w:bottom="646" w:left="144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65A0" w14:textId="77777777" w:rsidR="004100F5" w:rsidRDefault="004100F5">
      <w:pPr>
        <w:spacing w:after="0" w:line="240" w:lineRule="auto"/>
      </w:pPr>
      <w:r>
        <w:separator/>
      </w:r>
    </w:p>
  </w:endnote>
  <w:endnote w:type="continuationSeparator" w:id="0">
    <w:p w14:paraId="73E9CB95" w14:textId="77777777" w:rsidR="004100F5" w:rsidRDefault="0041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2C00" w14:textId="77777777" w:rsidR="004100F5" w:rsidRDefault="004100F5">
      <w:pPr>
        <w:spacing w:after="0" w:line="240" w:lineRule="auto"/>
      </w:pPr>
      <w:r>
        <w:separator/>
      </w:r>
    </w:p>
  </w:footnote>
  <w:footnote w:type="continuationSeparator" w:id="0">
    <w:p w14:paraId="124A3C1C" w14:textId="77777777" w:rsidR="004100F5" w:rsidRDefault="00410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8D6C" w14:textId="77777777" w:rsidR="004F35DF" w:rsidRDefault="00FA18E9">
    <w:pPr>
      <w:spacing w:after="95"/>
      <w:ind w:right="80"/>
      <w:jc w:val="right"/>
    </w:pPr>
    <w:r>
      <w:rPr>
        <w:rFonts w:ascii="Malgun Gothic" w:eastAsia="Malgun Gothic" w:hAnsi="Malgun Gothic" w:cs="Malgun Gothic"/>
        <w:b/>
        <w:sz w:val="10"/>
      </w:rPr>
      <w:t xml:space="preserve"> </w:t>
    </w:r>
  </w:p>
  <w:p w14:paraId="46CF3FAD" w14:textId="77777777" w:rsidR="004F35DF" w:rsidRDefault="00FA18E9">
    <w:pPr>
      <w:spacing w:after="0"/>
      <w:ind w:right="115"/>
      <w:jc w:val="right"/>
    </w:pPr>
    <w:r>
      <w:rPr>
        <w:rFonts w:ascii="Arial" w:eastAsia="Arial" w:hAnsi="Arial" w:cs="Arial"/>
        <w:b/>
        <w:i/>
      </w:rPr>
      <w:t>C</w:t>
    </w:r>
    <w:r>
      <w:rPr>
        <w:rFonts w:ascii="Arial" w:eastAsia="Arial" w:hAnsi="Arial" w:cs="Arial"/>
        <w:b/>
        <w:i/>
        <w:sz w:val="18"/>
      </w:rPr>
      <w:t xml:space="preserve">OORDINACIÓN 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r>
      <w:rPr>
        <w:rFonts w:ascii="Arial" w:eastAsia="Arial" w:hAnsi="Arial" w:cs="Arial"/>
        <w:b/>
        <w:i/>
      </w:rPr>
      <w:t xml:space="preserve"> </w:t>
    </w:r>
  </w:p>
  <w:p w14:paraId="17CAA8B7" w14:textId="77777777" w:rsidR="004F35DF" w:rsidRDefault="00FA18E9">
    <w:r>
      <w:rPr>
        <w:noProof/>
      </w:rPr>
      <mc:AlternateContent>
        <mc:Choice Requires="wpg">
          <w:drawing>
            <wp:anchor distT="0" distB="0" distL="114300" distR="114300" simplePos="0" relativeHeight="251658240" behindDoc="1" locked="0" layoutInCell="1" allowOverlap="1" wp14:anchorId="26E2D690" wp14:editId="674E0CAE">
              <wp:simplePos x="0" y="0"/>
              <wp:positionH relativeFrom="page">
                <wp:posOffset>987552</wp:posOffset>
              </wp:positionH>
              <wp:positionV relativeFrom="page">
                <wp:posOffset>449580</wp:posOffset>
              </wp:positionV>
              <wp:extent cx="1162812" cy="1178052"/>
              <wp:effectExtent l="0" t="0" r="0" b="0"/>
              <wp:wrapNone/>
              <wp:docPr id="5341" name="Group 5341"/>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5342" name="Picture 5342"/>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5341" style="width:91.56pt;height:92.76pt;position:absolute;z-index:-2147483648;mso-position-horizontal-relative:page;mso-position-horizontal:absolute;margin-left:77.76pt;mso-position-vertical-relative:page;margin-top:35.4pt;" coordsize="11628,11780">
              <v:shape id="Picture 5342" style="position:absolute;width:11628;height:11780;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577C" w14:textId="77777777" w:rsidR="004F35DF" w:rsidRDefault="00FA18E9">
    <w:pPr>
      <w:spacing w:after="95"/>
      <w:ind w:right="80"/>
      <w:jc w:val="right"/>
    </w:pPr>
    <w:r>
      <w:rPr>
        <w:rFonts w:ascii="Malgun Gothic" w:eastAsia="Malgun Gothic" w:hAnsi="Malgun Gothic" w:cs="Malgun Gothic"/>
        <w:b/>
        <w:sz w:val="10"/>
      </w:rPr>
      <w:t xml:space="preserve"> </w:t>
    </w:r>
  </w:p>
  <w:p w14:paraId="12E3F968" w14:textId="77777777" w:rsidR="00E77FBA" w:rsidRDefault="00E77FBA">
    <w:pPr>
      <w:spacing w:after="0"/>
      <w:ind w:right="115"/>
      <w:jc w:val="right"/>
      <w:rPr>
        <w:rFonts w:ascii="Arial" w:eastAsia="Arial" w:hAnsi="Arial" w:cs="Arial"/>
        <w:b/>
        <w:i/>
        <w:sz w:val="18"/>
      </w:rPr>
    </w:pPr>
    <w:r>
      <w:rPr>
        <w:rFonts w:ascii="Arial" w:eastAsia="Arial" w:hAnsi="Arial" w:cs="Arial"/>
        <w:b/>
        <w:i/>
      </w:rPr>
      <w:t>D</w:t>
    </w:r>
    <w:r w:rsidRPr="00E77FBA">
      <w:rPr>
        <w:rFonts w:ascii="Arial" w:eastAsia="Arial" w:hAnsi="Arial" w:cs="Arial"/>
        <w:b/>
        <w:i/>
        <w:sz w:val="18"/>
        <w:szCs w:val="18"/>
      </w:rPr>
      <w:t>IRECCIÓN</w:t>
    </w:r>
    <w:r>
      <w:rPr>
        <w:rFonts w:ascii="Arial" w:eastAsia="Arial" w:hAnsi="Arial" w:cs="Arial"/>
        <w:b/>
        <w:i/>
      </w:rPr>
      <w:t xml:space="preserve"> G</w:t>
    </w:r>
    <w:r w:rsidRPr="00E77FBA">
      <w:rPr>
        <w:rFonts w:ascii="Arial" w:eastAsia="Arial" w:hAnsi="Arial" w:cs="Arial"/>
        <w:b/>
        <w:i/>
        <w:sz w:val="18"/>
        <w:szCs w:val="18"/>
      </w:rPr>
      <w:t>ENERAL</w:t>
    </w:r>
    <w:r>
      <w:rPr>
        <w:rFonts w:ascii="Arial" w:eastAsia="Arial" w:hAnsi="Arial" w:cs="Arial"/>
        <w:b/>
        <w:i/>
      </w:rPr>
      <w:t xml:space="preserve"> </w:t>
    </w:r>
    <w:r w:rsidR="00FA18E9">
      <w:rPr>
        <w:rFonts w:ascii="Arial" w:eastAsia="Arial" w:hAnsi="Arial" w:cs="Arial"/>
        <w:b/>
        <w:i/>
        <w:sz w:val="18"/>
      </w:rPr>
      <w:t xml:space="preserve">DE </w:t>
    </w:r>
    <w:r w:rsidR="00FA18E9">
      <w:rPr>
        <w:rFonts w:ascii="Arial" w:eastAsia="Arial" w:hAnsi="Arial" w:cs="Arial"/>
        <w:b/>
        <w:i/>
      </w:rPr>
      <w:t>J</w:t>
    </w:r>
    <w:r w:rsidR="00FA18E9">
      <w:rPr>
        <w:rFonts w:ascii="Arial" w:eastAsia="Arial" w:hAnsi="Arial" w:cs="Arial"/>
        <w:b/>
        <w:i/>
        <w:sz w:val="18"/>
      </w:rPr>
      <w:t>URISPRUDENCIA</w:t>
    </w:r>
    <w:r w:rsidR="00FA18E9">
      <w:rPr>
        <w:rFonts w:ascii="Arial" w:eastAsia="Arial" w:hAnsi="Arial" w:cs="Arial"/>
        <w:b/>
        <w:i/>
      </w:rPr>
      <w:t>,</w:t>
    </w:r>
    <w:r w:rsidR="00FA18E9">
      <w:rPr>
        <w:rFonts w:ascii="Arial" w:eastAsia="Arial" w:hAnsi="Arial" w:cs="Arial"/>
        <w:b/>
        <w:i/>
        <w:sz w:val="18"/>
      </w:rPr>
      <w:t xml:space="preserve"> SEGUIMIENTO Y CONSULTA</w:t>
    </w:r>
  </w:p>
  <w:p w14:paraId="4EE3B796" w14:textId="77777777" w:rsidR="00E77FBA" w:rsidRDefault="00E77FBA">
    <w:pPr>
      <w:spacing w:after="0"/>
      <w:ind w:right="115"/>
      <w:jc w:val="right"/>
      <w:rPr>
        <w:rFonts w:ascii="Arial" w:eastAsia="Arial" w:hAnsi="Arial" w:cs="Arial"/>
        <w:b/>
        <w:i/>
        <w:sz w:val="18"/>
      </w:rPr>
    </w:pPr>
  </w:p>
  <w:p w14:paraId="1106E729" w14:textId="77777777" w:rsidR="004F35DF" w:rsidRDefault="00E77FBA">
    <w:pPr>
      <w:spacing w:after="0"/>
      <w:ind w:right="115"/>
      <w:jc w:val="right"/>
      <w:rPr>
        <w:rFonts w:ascii="Arial" w:eastAsia="Arial" w:hAnsi="Arial" w:cs="Arial"/>
        <w:b/>
        <w:i/>
      </w:rPr>
    </w:pPr>
    <w:r w:rsidRPr="00E77FBA">
      <w:rPr>
        <w:rFonts w:ascii="Arial" w:eastAsia="Arial" w:hAnsi="Arial" w:cs="Arial"/>
        <w:b/>
        <w:i/>
      </w:rPr>
      <w:t>D</w:t>
    </w:r>
    <w:r>
      <w:rPr>
        <w:rFonts w:ascii="Arial" w:eastAsia="Arial" w:hAnsi="Arial" w:cs="Arial"/>
        <w:b/>
        <w:i/>
        <w:sz w:val="18"/>
      </w:rPr>
      <w:t xml:space="preserve">IRECCIÓN DE </w:t>
    </w:r>
    <w:r w:rsidRPr="00E77FBA">
      <w:rPr>
        <w:rFonts w:ascii="Arial" w:eastAsia="Arial" w:hAnsi="Arial" w:cs="Arial"/>
        <w:b/>
        <w:i/>
      </w:rPr>
      <w:t>C</w:t>
    </w:r>
    <w:r>
      <w:rPr>
        <w:rFonts w:ascii="Arial" w:eastAsia="Arial" w:hAnsi="Arial" w:cs="Arial"/>
        <w:b/>
        <w:i/>
        <w:sz w:val="18"/>
      </w:rPr>
      <w:t xml:space="preserve">ONSULTA Y </w:t>
    </w:r>
    <w:r w:rsidRPr="00E77FBA">
      <w:rPr>
        <w:rFonts w:ascii="Arial" w:eastAsia="Arial" w:hAnsi="Arial" w:cs="Arial"/>
        <w:b/>
        <w:i/>
      </w:rPr>
      <w:t>D</w:t>
    </w:r>
    <w:r>
      <w:rPr>
        <w:rFonts w:ascii="Arial" w:eastAsia="Arial" w:hAnsi="Arial" w:cs="Arial"/>
        <w:b/>
        <w:i/>
        <w:sz w:val="18"/>
      </w:rPr>
      <w:t xml:space="preserve">IFUSIÓN </w:t>
    </w:r>
    <w:r w:rsidR="00FA18E9">
      <w:rPr>
        <w:rFonts w:ascii="Arial" w:eastAsia="Arial" w:hAnsi="Arial" w:cs="Arial"/>
        <w:b/>
        <w:i/>
      </w:rPr>
      <w:t xml:space="preserve"> </w:t>
    </w:r>
  </w:p>
  <w:p w14:paraId="50DED86D" w14:textId="77777777" w:rsidR="00501DEE" w:rsidRDefault="00501DEE">
    <w:pPr>
      <w:spacing w:after="0"/>
      <w:ind w:right="115"/>
      <w:jc w:val="right"/>
      <w:rPr>
        <w:rFonts w:ascii="Arial" w:eastAsia="Arial" w:hAnsi="Arial" w:cs="Arial"/>
        <w:b/>
        <w:i/>
      </w:rPr>
    </w:pPr>
  </w:p>
  <w:p w14:paraId="1021A0D9" w14:textId="77777777" w:rsidR="00501DEE" w:rsidRDefault="00501DEE">
    <w:pPr>
      <w:spacing w:after="0"/>
      <w:ind w:right="115"/>
      <w:jc w:val="right"/>
      <w:rPr>
        <w:rFonts w:ascii="Arial" w:eastAsia="Arial" w:hAnsi="Arial" w:cs="Arial"/>
        <w:b/>
        <w:i/>
      </w:rPr>
    </w:pPr>
  </w:p>
  <w:p w14:paraId="752450BD" w14:textId="77777777" w:rsidR="004F35DF" w:rsidRDefault="00FA18E9">
    <w:r>
      <w:rPr>
        <w:noProof/>
      </w:rPr>
      <mc:AlternateContent>
        <mc:Choice Requires="wpg">
          <w:drawing>
            <wp:anchor distT="0" distB="0" distL="114300" distR="114300" simplePos="0" relativeHeight="251659264" behindDoc="1" locked="0" layoutInCell="1" allowOverlap="1" wp14:anchorId="38495C28" wp14:editId="7161486A">
              <wp:simplePos x="0" y="0"/>
              <wp:positionH relativeFrom="page">
                <wp:posOffset>987552</wp:posOffset>
              </wp:positionH>
              <wp:positionV relativeFrom="page">
                <wp:posOffset>449580</wp:posOffset>
              </wp:positionV>
              <wp:extent cx="1162812" cy="1178052"/>
              <wp:effectExtent l="0" t="0" r="0" b="0"/>
              <wp:wrapNone/>
              <wp:docPr id="5322" name="Group 5322"/>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5323" name="Picture 5323"/>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5322" style="width:91.56pt;height:92.76pt;position:absolute;z-index:-2147483648;mso-position-horizontal-relative:page;mso-position-horizontal:absolute;margin-left:77.76pt;mso-position-vertical-relative:page;margin-top:35.4pt;" coordsize="11628,11780">
              <v:shape id="Picture 5323" style="position:absolute;width:11628;height:11780;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6F06" w14:textId="77777777" w:rsidR="004F35DF" w:rsidRDefault="00FA18E9">
    <w:pPr>
      <w:spacing w:after="95"/>
      <w:ind w:right="80"/>
      <w:jc w:val="right"/>
    </w:pPr>
    <w:r>
      <w:rPr>
        <w:rFonts w:ascii="Malgun Gothic" w:eastAsia="Malgun Gothic" w:hAnsi="Malgun Gothic" w:cs="Malgun Gothic"/>
        <w:b/>
        <w:sz w:val="10"/>
      </w:rPr>
      <w:t xml:space="preserve"> </w:t>
    </w:r>
  </w:p>
  <w:p w14:paraId="34E4E889" w14:textId="77777777" w:rsidR="004F35DF" w:rsidRDefault="00FA18E9">
    <w:pPr>
      <w:spacing w:after="0"/>
      <w:ind w:right="115"/>
      <w:jc w:val="right"/>
    </w:pPr>
    <w:r>
      <w:rPr>
        <w:rFonts w:ascii="Arial" w:eastAsia="Arial" w:hAnsi="Arial" w:cs="Arial"/>
        <w:b/>
        <w:i/>
      </w:rPr>
      <w:t>C</w:t>
    </w:r>
    <w:r>
      <w:rPr>
        <w:rFonts w:ascii="Arial" w:eastAsia="Arial" w:hAnsi="Arial" w:cs="Arial"/>
        <w:b/>
        <w:i/>
        <w:sz w:val="18"/>
      </w:rPr>
      <w:t xml:space="preserve">OORDINACIÓN 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r>
      <w:rPr>
        <w:rFonts w:ascii="Arial" w:eastAsia="Arial" w:hAnsi="Arial" w:cs="Arial"/>
        <w:b/>
        <w:i/>
      </w:rPr>
      <w:t xml:space="preserve"> </w:t>
    </w:r>
  </w:p>
  <w:p w14:paraId="4CB9A1D1" w14:textId="77777777" w:rsidR="004F35DF" w:rsidRDefault="00FA18E9">
    <w:r>
      <w:rPr>
        <w:noProof/>
      </w:rPr>
      <mc:AlternateContent>
        <mc:Choice Requires="wpg">
          <w:drawing>
            <wp:anchor distT="0" distB="0" distL="114300" distR="114300" simplePos="0" relativeHeight="251660288" behindDoc="1" locked="0" layoutInCell="1" allowOverlap="1" wp14:anchorId="3C23FB33" wp14:editId="4B68B48F">
              <wp:simplePos x="0" y="0"/>
              <wp:positionH relativeFrom="page">
                <wp:posOffset>987552</wp:posOffset>
              </wp:positionH>
              <wp:positionV relativeFrom="page">
                <wp:posOffset>449580</wp:posOffset>
              </wp:positionV>
              <wp:extent cx="1162812" cy="1178052"/>
              <wp:effectExtent l="0" t="0" r="0" b="0"/>
              <wp:wrapNone/>
              <wp:docPr id="5303" name="Group 5303"/>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5304" name="Picture 5304"/>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5303" style="width:91.56pt;height:92.76pt;position:absolute;z-index:-2147483648;mso-position-horizontal-relative:page;mso-position-horizontal:absolute;margin-left:77.76pt;mso-position-vertical-relative:page;margin-top:35.4pt;" coordsize="11628,11780">
              <v:shape id="Picture 5304" style="position:absolute;width:11628;height:11780;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185B"/>
    <w:multiLevelType w:val="hybridMultilevel"/>
    <w:tmpl w:val="15BC2004"/>
    <w:lvl w:ilvl="0" w:tplc="8508EE76">
      <w:start w:val="3"/>
      <w:numFmt w:val="upperRoman"/>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B362B00">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2F09B26">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5D87364">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39A83EA">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1225AD6">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3A8EDA">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0646FEE">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09A1FBA">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856658"/>
    <w:multiLevelType w:val="hybridMultilevel"/>
    <w:tmpl w:val="2D22F3CA"/>
    <w:lvl w:ilvl="0" w:tplc="17E637EC">
      <w:start w:val="1"/>
      <w:numFmt w:val="decimal"/>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B04A1DE">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49A8004">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1F67ED2">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4527F7C">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B1013B2">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8EA7E60">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41875EA">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8C8BD4A">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B8D1298"/>
    <w:multiLevelType w:val="hybridMultilevel"/>
    <w:tmpl w:val="2F9CFD2A"/>
    <w:lvl w:ilvl="0" w:tplc="CBB6B01E">
      <w:start w:val="1"/>
      <w:numFmt w:val="decimal"/>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A6F656">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5BC650A">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0B6EF66">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C881838">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10286EE">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8C8E80A">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CCB84C">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EC25470">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281306487">
    <w:abstractNumId w:val="1"/>
  </w:num>
  <w:num w:numId="2" w16cid:durableId="2123069243">
    <w:abstractNumId w:val="0"/>
  </w:num>
  <w:num w:numId="3" w16cid:durableId="264193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5DF"/>
    <w:rsid w:val="000220D6"/>
    <w:rsid w:val="00052C0F"/>
    <w:rsid w:val="00063301"/>
    <w:rsid w:val="00103009"/>
    <w:rsid w:val="0010728E"/>
    <w:rsid w:val="00155697"/>
    <w:rsid w:val="00296B76"/>
    <w:rsid w:val="002D649F"/>
    <w:rsid w:val="003D20A0"/>
    <w:rsid w:val="004100F5"/>
    <w:rsid w:val="004479D3"/>
    <w:rsid w:val="004A6A73"/>
    <w:rsid w:val="004F35DF"/>
    <w:rsid w:val="00501DEE"/>
    <w:rsid w:val="00511E81"/>
    <w:rsid w:val="00530597"/>
    <w:rsid w:val="005A01A4"/>
    <w:rsid w:val="005B664E"/>
    <w:rsid w:val="00654522"/>
    <w:rsid w:val="006B3317"/>
    <w:rsid w:val="0075406E"/>
    <w:rsid w:val="007833E6"/>
    <w:rsid w:val="007D1938"/>
    <w:rsid w:val="007D629B"/>
    <w:rsid w:val="00896685"/>
    <w:rsid w:val="008B47FB"/>
    <w:rsid w:val="00926D01"/>
    <w:rsid w:val="00954131"/>
    <w:rsid w:val="009C5309"/>
    <w:rsid w:val="009D3F24"/>
    <w:rsid w:val="00A37F48"/>
    <w:rsid w:val="00AB2A4E"/>
    <w:rsid w:val="00AD3DDC"/>
    <w:rsid w:val="00B1020A"/>
    <w:rsid w:val="00B87487"/>
    <w:rsid w:val="00BE09F8"/>
    <w:rsid w:val="00BE182D"/>
    <w:rsid w:val="00C45D5E"/>
    <w:rsid w:val="00C70BE5"/>
    <w:rsid w:val="00D049C6"/>
    <w:rsid w:val="00E52EE0"/>
    <w:rsid w:val="00E77FBA"/>
    <w:rsid w:val="00E878D4"/>
    <w:rsid w:val="00F20F0A"/>
    <w:rsid w:val="00F861AF"/>
    <w:rsid w:val="00F869E4"/>
    <w:rsid w:val="00F94E2C"/>
    <w:rsid w:val="00FA18E9"/>
    <w:rsid w:val="00FE0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C72E"/>
  <w15:docId w15:val="{FE05B40C-7C4B-4514-8C01-0A239BE2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C45D5E"/>
    <w:rPr>
      <w:color w:val="0563C1" w:themeColor="hyperlink"/>
      <w:u w:val="single"/>
    </w:rPr>
  </w:style>
  <w:style w:type="character" w:styleId="Hipervnculovisitado">
    <w:name w:val="FollowedHyperlink"/>
    <w:basedOn w:val="Fuentedeprrafopredeter"/>
    <w:uiPriority w:val="99"/>
    <w:semiHidden/>
    <w:unhideWhenUsed/>
    <w:rsid w:val="00C45D5E"/>
    <w:rPr>
      <w:color w:val="954F72" w:themeColor="followedHyperlink"/>
      <w:u w:val="single"/>
    </w:rPr>
  </w:style>
  <w:style w:type="paragraph" w:styleId="Prrafodelista">
    <w:name w:val="List Paragraph"/>
    <w:basedOn w:val="Normal"/>
    <w:uiPriority w:val="34"/>
    <w:qFormat/>
    <w:rsid w:val="00896685"/>
    <w:pPr>
      <w:ind w:left="720"/>
      <w:contextualSpacing/>
    </w:pPr>
  </w:style>
  <w:style w:type="paragraph" w:styleId="Piedepgina">
    <w:name w:val="footer"/>
    <w:basedOn w:val="Normal"/>
    <w:link w:val="PiedepginaCar"/>
    <w:uiPriority w:val="99"/>
    <w:unhideWhenUsed/>
    <w:rsid w:val="00501D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DEE"/>
    <w:rPr>
      <w:rFonts w:ascii="Calibri" w:eastAsia="Calibri" w:hAnsi="Calibri" w:cs="Calibri"/>
      <w:color w:val="000000"/>
    </w:rPr>
  </w:style>
  <w:style w:type="character" w:styleId="Mencinsinresolver">
    <w:name w:val="Unresolved Mention"/>
    <w:basedOn w:val="Fuentedeprrafopredeter"/>
    <w:uiPriority w:val="99"/>
    <w:semiHidden/>
    <w:unhideWhenUsed/>
    <w:rsid w:val="00BE0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458059">
      <w:bodyDiv w:val="1"/>
      <w:marLeft w:val="0"/>
      <w:marRight w:val="0"/>
      <w:marTop w:val="0"/>
      <w:marBottom w:val="0"/>
      <w:divBdr>
        <w:top w:val="none" w:sz="0" w:space="0" w:color="auto"/>
        <w:left w:val="none" w:sz="0" w:space="0" w:color="auto"/>
        <w:bottom w:val="none" w:sz="0" w:space="0" w:color="auto"/>
        <w:right w:val="none" w:sz="0" w:space="0" w:color="auto"/>
      </w:divBdr>
    </w:div>
    <w:div w:id="825247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ovmsilap.scjn.pjf.gob.mx/Buscador/Paginas/AbrirDocArticulo.aspx?q=T6qxC5OFkfuXYGm6eb+OmUSwo4d1xN0MJKzOO+XsrSeuwDMXZotPPTYO3vha68OJxzj9zRKnmcGIxIICe+JCrQ=="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ovmsilap.scjn.pjf.gob.mx/Buscador/Paginas/AbrirDocArticulo.aspx?q=tIFEvy7+QsLyzc4S0sTNHqokApVCfKnAqMCRbtQ7FduDjfkxJYW7Z1FZPowk+H7wyHHQ4/yvyVr2chT3Hc3ZjA==" TargetMode="External"/><Relationship Id="rId12" Type="http://schemas.openxmlformats.org/officeDocument/2006/relationships/hyperlink" Target="http://www.ieepuebla.org.mx/2018/utaip/normatividad/Manual_Sistema_de_Apoyo_2017_2018.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ee-puebla.org.mx/prevfiles/normatividad/LINEAMIENTO_FISCALIZACION_INFORMES_PRECAMP_10NOV09.pdf"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eepuebla.org.mx/2018/utaip/normatividad/Reglamento_de_Liquidacion_pp_locales_reformas_de_CG_191017.pdf" TargetMode="External"/><Relationship Id="rId4" Type="http://schemas.openxmlformats.org/officeDocument/2006/relationships/webSettings" Target="webSettings.xml"/><Relationship Id="rId9" Type="http://schemas.openxmlformats.org/officeDocument/2006/relationships/hyperlink" Target="https://www.ieepuebla.org.mx/2019/utaip/normatividad/Reglamento_de_fiscalizacion_Org_Obs_y_Gpo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1654</Words>
  <Characters>9099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Isay Martínez Flores</dc:creator>
  <cp:keywords/>
  <cp:lastModifiedBy>Herman Hernández Sánchez</cp:lastModifiedBy>
  <cp:revision>257</cp:revision>
  <dcterms:created xsi:type="dcterms:W3CDTF">2018-08-09T17:31:00Z</dcterms:created>
  <dcterms:modified xsi:type="dcterms:W3CDTF">2023-06-13T20:18:00Z</dcterms:modified>
</cp:coreProperties>
</file>