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0A5B" w14:textId="4CA27D25" w:rsidR="0052774E" w:rsidRPr="00B70D7B" w:rsidRDefault="003A214C" w:rsidP="00B70D7B">
      <w:pPr>
        <w:pStyle w:val="Textoindependiente"/>
        <w:spacing w:before="120" w:after="120"/>
        <w:ind w:left="170" w:right="198"/>
        <w:jc w:val="center"/>
        <w:rPr>
          <w:rFonts w:ascii="Arial" w:hAnsi="Arial" w:cs="Arial"/>
          <w:b/>
          <w:color w:val="23135D"/>
          <w:sz w:val="24"/>
          <w:szCs w:val="24"/>
          <w:lang w:val="es-MX"/>
        </w:rPr>
      </w:pPr>
      <w:r w:rsidRPr="00B70D7B">
        <w:rPr>
          <w:rFonts w:ascii="Arial" w:hAnsi="Arial" w:cs="Arial"/>
          <w:b/>
          <w:color w:val="23135D"/>
          <w:sz w:val="24"/>
          <w:szCs w:val="24"/>
          <w:lang w:val="es-MX"/>
        </w:rPr>
        <w:t xml:space="preserve">ACCIONES DE </w:t>
      </w:r>
      <w:r w:rsidR="00882D95" w:rsidRPr="00B70D7B">
        <w:rPr>
          <w:rFonts w:ascii="Arial" w:hAnsi="Arial" w:cs="Arial"/>
          <w:b/>
          <w:color w:val="23135D"/>
          <w:sz w:val="24"/>
          <w:szCs w:val="24"/>
          <w:lang w:val="es-MX"/>
        </w:rPr>
        <w:t>INCONSTITUCIONALIDAD EN MATERIA DE FISCALIZACIÓN</w:t>
      </w:r>
    </w:p>
    <w:tbl>
      <w:tblPr>
        <w:tblStyle w:val="TableNormal"/>
        <w:tblW w:w="14171"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877"/>
        <w:gridCol w:w="12294"/>
      </w:tblGrid>
      <w:tr w:rsidR="00534A19" w:rsidRPr="00ED2D84" w14:paraId="27220A5E" w14:textId="77777777" w:rsidTr="00C75296">
        <w:trPr>
          <w:trHeight w:val="283"/>
          <w:tblHeader/>
        </w:trPr>
        <w:tc>
          <w:tcPr>
            <w:tcW w:w="1877" w:type="dxa"/>
            <w:shd w:val="clear" w:color="auto" w:fill="A6A6A6"/>
            <w:vAlign w:val="center"/>
          </w:tcPr>
          <w:p w14:paraId="27220A5C" w14:textId="77777777" w:rsidR="00534A19" w:rsidRPr="00ED2D84" w:rsidRDefault="00534A19" w:rsidP="00C75296">
            <w:pPr>
              <w:ind w:left="170" w:right="198"/>
              <w:jc w:val="center"/>
              <w:rPr>
                <w:rFonts w:ascii="Arial" w:hAnsi="Arial" w:cs="Arial"/>
                <w:b/>
                <w:color w:val="FFFFFF" w:themeColor="background1"/>
                <w:sz w:val="20"/>
                <w:szCs w:val="20"/>
                <w:lang w:val="es-MX"/>
              </w:rPr>
            </w:pPr>
            <w:r w:rsidRPr="00ED2D84">
              <w:rPr>
                <w:rFonts w:ascii="Arial" w:hAnsi="Arial" w:cs="Arial"/>
                <w:b/>
                <w:color w:val="FFFFFF" w:themeColor="background1"/>
                <w:sz w:val="20"/>
                <w:szCs w:val="20"/>
                <w:lang w:val="es-MX"/>
              </w:rPr>
              <w:br/>
              <w:t>AI</w:t>
            </w:r>
          </w:p>
        </w:tc>
        <w:tc>
          <w:tcPr>
            <w:tcW w:w="12294" w:type="dxa"/>
            <w:shd w:val="clear" w:color="auto" w:fill="A6A6A6"/>
          </w:tcPr>
          <w:p w14:paraId="27220A5D" w14:textId="77777777" w:rsidR="00534A19" w:rsidRPr="00ED2D84" w:rsidRDefault="00534A19" w:rsidP="00ED2D84">
            <w:pPr>
              <w:pStyle w:val="TableParagraph"/>
              <w:spacing w:before="240" w:after="240"/>
              <w:ind w:left="170" w:right="198"/>
              <w:contextualSpacing/>
              <w:jc w:val="center"/>
              <w:rPr>
                <w:rFonts w:ascii="Arial" w:hAnsi="Arial" w:cs="Arial"/>
                <w:b/>
                <w:color w:val="FFFFFF"/>
                <w:w w:val="105"/>
                <w:sz w:val="20"/>
                <w:szCs w:val="20"/>
                <w:lang w:val="es-MX"/>
              </w:rPr>
            </w:pPr>
            <w:r w:rsidRPr="00ED2D84">
              <w:rPr>
                <w:rFonts w:ascii="Arial" w:hAnsi="Arial" w:cs="Arial"/>
                <w:b/>
                <w:color w:val="FFFFFF"/>
                <w:w w:val="105"/>
                <w:sz w:val="20"/>
                <w:szCs w:val="20"/>
                <w:lang w:val="es-MX"/>
              </w:rPr>
              <w:t>Síntesis</w:t>
            </w:r>
          </w:p>
        </w:tc>
      </w:tr>
      <w:tr w:rsidR="00CE7639" w:rsidRPr="00ED2D84" w14:paraId="743781AC" w14:textId="77777777" w:rsidTr="00C75296">
        <w:trPr>
          <w:trHeight w:val="283"/>
        </w:trPr>
        <w:tc>
          <w:tcPr>
            <w:tcW w:w="1877" w:type="dxa"/>
            <w:vAlign w:val="center"/>
          </w:tcPr>
          <w:p w14:paraId="1DB03C1C" w14:textId="77777777" w:rsidR="008D2967" w:rsidRDefault="008D2967" w:rsidP="00C75296">
            <w:pPr>
              <w:ind w:left="170" w:right="198"/>
              <w:jc w:val="center"/>
              <w:rPr>
                <w:rFonts w:ascii="Arial" w:hAnsi="Arial" w:cs="Arial"/>
                <w:sz w:val="20"/>
                <w:szCs w:val="20"/>
              </w:rPr>
            </w:pPr>
          </w:p>
          <w:p w14:paraId="28DF1C79" w14:textId="46B5581C" w:rsidR="00CE7639" w:rsidRPr="008D2967" w:rsidRDefault="00AF100A" w:rsidP="00C75296">
            <w:pPr>
              <w:ind w:left="170" w:right="198"/>
              <w:jc w:val="center"/>
              <w:rPr>
                <w:rFonts w:ascii="Arial" w:hAnsi="Arial" w:cs="Arial"/>
                <w:b/>
                <w:bCs/>
                <w:sz w:val="20"/>
                <w:szCs w:val="20"/>
              </w:rPr>
            </w:pPr>
            <w:hyperlink r:id="rId8" w:history="1">
              <w:r w:rsidR="008D2967" w:rsidRPr="00D73D44">
                <w:rPr>
                  <w:rStyle w:val="Hipervnculo"/>
                  <w:rFonts w:ascii="Arial" w:hAnsi="Arial" w:cs="Arial"/>
                  <w:b/>
                  <w:bCs/>
                  <w:sz w:val="20"/>
                  <w:szCs w:val="20"/>
                </w:rPr>
                <w:t>90/2022 y acumuladas</w:t>
              </w:r>
            </w:hyperlink>
          </w:p>
          <w:p w14:paraId="3FD6F23F" w14:textId="77777777" w:rsidR="008D2967" w:rsidRDefault="008D2967" w:rsidP="00C75296">
            <w:pPr>
              <w:ind w:left="170" w:right="198"/>
              <w:jc w:val="center"/>
              <w:rPr>
                <w:rFonts w:ascii="Arial" w:hAnsi="Arial" w:cs="Arial"/>
                <w:sz w:val="20"/>
                <w:szCs w:val="20"/>
              </w:rPr>
            </w:pPr>
          </w:p>
          <w:p w14:paraId="222B7C64" w14:textId="1C46F243" w:rsidR="008D2967" w:rsidRDefault="008D2967" w:rsidP="00C75296">
            <w:pPr>
              <w:ind w:left="170" w:right="198"/>
              <w:jc w:val="center"/>
              <w:rPr>
                <w:rFonts w:ascii="Arial" w:hAnsi="Arial" w:cs="Arial"/>
                <w:sz w:val="20"/>
                <w:szCs w:val="20"/>
              </w:rPr>
            </w:pPr>
            <w:r>
              <w:rPr>
                <w:rFonts w:ascii="Arial" w:hAnsi="Arial" w:cs="Arial"/>
                <w:sz w:val="20"/>
                <w:szCs w:val="20"/>
              </w:rPr>
              <w:t>Ciudad de México</w:t>
            </w:r>
          </w:p>
          <w:p w14:paraId="378B2E6C" w14:textId="0CFEB326" w:rsidR="008D2967" w:rsidRPr="008D2967" w:rsidRDefault="008D2967" w:rsidP="00C75296">
            <w:pPr>
              <w:ind w:left="170" w:right="198"/>
              <w:jc w:val="center"/>
              <w:rPr>
                <w:rFonts w:ascii="Arial" w:hAnsi="Arial" w:cs="Arial"/>
                <w:sz w:val="20"/>
                <w:szCs w:val="20"/>
              </w:rPr>
            </w:pPr>
          </w:p>
        </w:tc>
        <w:tc>
          <w:tcPr>
            <w:tcW w:w="12294" w:type="dxa"/>
          </w:tcPr>
          <w:p w14:paraId="06BE89C6" w14:textId="77777777" w:rsidR="00CE7639" w:rsidRPr="00D80F5F" w:rsidRDefault="00CE7639" w:rsidP="00594A26">
            <w:pPr>
              <w:pStyle w:val="Ttulo1"/>
              <w:spacing w:before="1"/>
              <w:ind w:left="252" w:right="176"/>
              <w:rPr>
                <w:bCs w:val="0"/>
                <w:sz w:val="20"/>
                <w:szCs w:val="20"/>
              </w:rPr>
            </w:pPr>
          </w:p>
          <w:p w14:paraId="20147DF6" w14:textId="43F3685A" w:rsidR="00D80F5F" w:rsidRPr="00D80F5F" w:rsidRDefault="00D80F5F" w:rsidP="00D80F5F">
            <w:pPr>
              <w:pStyle w:val="PARRAFOSENTENCIA"/>
              <w:numPr>
                <w:ilvl w:val="0"/>
                <w:numId w:val="13"/>
              </w:numPr>
              <w:spacing w:before="0" w:beforeAutospacing="0" w:after="0" w:afterAutospacing="0" w:line="240" w:lineRule="auto"/>
              <w:ind w:left="252" w:right="198" w:hanging="142"/>
              <w:rPr>
                <w:rFonts w:eastAsia="Times New Roman"/>
                <w:b/>
                <w:bCs/>
                <w:sz w:val="20"/>
                <w:szCs w:val="20"/>
                <w:lang w:val="es-ES_tradnl"/>
              </w:rPr>
            </w:pPr>
            <w:r w:rsidRPr="00D80F5F">
              <w:rPr>
                <w:b/>
                <w:bCs/>
                <w:sz w:val="20"/>
                <w:szCs w:val="20"/>
                <w:lang w:val="es-ES_tradnl"/>
              </w:rPr>
              <w:t>Violación a</w:t>
            </w:r>
            <w:r w:rsidRPr="00D80F5F">
              <w:rPr>
                <w:b/>
                <w:bCs/>
                <w:color w:val="FF0000"/>
                <w:sz w:val="20"/>
                <w:szCs w:val="20"/>
                <w:lang w:val="es-ES_tradnl"/>
              </w:rPr>
              <w:t xml:space="preserve"> </w:t>
            </w:r>
            <w:r w:rsidRPr="00D80F5F">
              <w:rPr>
                <w:b/>
                <w:bCs/>
                <w:sz w:val="20"/>
                <w:szCs w:val="20"/>
                <w:lang w:val="es-ES_tradnl"/>
              </w:rPr>
              <w:t>principios rectores del Instituto Electoral de la Ciudad de México.</w:t>
            </w:r>
          </w:p>
          <w:p w14:paraId="6BF72247" w14:textId="02EAF8FB" w:rsidR="00D80F5F" w:rsidRDefault="00D80F5F" w:rsidP="00D80F5F">
            <w:pPr>
              <w:pStyle w:val="PARRAFOSENTENCIA"/>
              <w:spacing w:before="0" w:beforeAutospacing="0" w:after="0" w:afterAutospacing="0" w:line="240" w:lineRule="auto"/>
              <w:ind w:left="252" w:right="198"/>
              <w:rPr>
                <w:b/>
                <w:bCs/>
                <w:sz w:val="20"/>
                <w:szCs w:val="20"/>
                <w:lang w:val="es-ES_tradnl"/>
              </w:rPr>
            </w:pPr>
          </w:p>
          <w:p w14:paraId="4FB4803E" w14:textId="77777777" w:rsidR="00D23E9F" w:rsidRPr="00D23E9F" w:rsidRDefault="00D23E9F" w:rsidP="00D23E9F">
            <w:pPr>
              <w:pStyle w:val="PARRAFOSENTENCIA"/>
              <w:spacing w:before="0" w:beforeAutospacing="0" w:after="0" w:afterAutospacing="0" w:line="240" w:lineRule="auto"/>
              <w:ind w:left="249" w:right="198"/>
              <w:rPr>
                <w:rFonts w:eastAsia="Times New Roman"/>
                <w:sz w:val="20"/>
                <w:szCs w:val="20"/>
                <w:lang w:val="es-ES_tradnl"/>
              </w:rPr>
            </w:pPr>
          </w:p>
          <w:p w14:paraId="5AA8A077" w14:textId="77777777" w:rsidR="00D23E9F" w:rsidRPr="00D23E9F" w:rsidRDefault="00D23E9F" w:rsidP="00D23E9F">
            <w:pPr>
              <w:pStyle w:val="PARRAFOSENTENCIA"/>
              <w:spacing w:before="0" w:beforeAutospacing="0" w:after="0" w:afterAutospacing="0" w:line="240" w:lineRule="auto"/>
              <w:ind w:left="249" w:right="198"/>
              <w:rPr>
                <w:rFonts w:eastAsia="Times New Roman"/>
                <w:sz w:val="20"/>
                <w:szCs w:val="20"/>
                <w:lang w:val="es-ES_tradnl"/>
              </w:rPr>
            </w:pPr>
            <w:r w:rsidRPr="00D23E9F">
              <w:rPr>
                <w:rFonts w:eastAsia="Times New Roman"/>
                <w:sz w:val="20"/>
                <w:szCs w:val="20"/>
                <w:lang w:val="es-ES_tradnl"/>
              </w:rPr>
              <w:t xml:space="preserve">Los promoventes controvirtieron el Decreto por el cual reformaron diversas disposiciones del CIPECDMX, porque consideran que el legislador local no puede afectar la autonomía funcional, operativa y técnica del IECM, ya que, con la derogación de la facultad para crear unidades técnicas y la desaparición de cinco unidades, afecta el debido desempeño de los fines y atribuciones del Instituto electoral local y, con ello, el pleno ejercicio del cargo de sus integrantes. </w:t>
            </w:r>
          </w:p>
          <w:p w14:paraId="1220DC2F" w14:textId="77777777" w:rsidR="00D23E9F" w:rsidRPr="00D23E9F" w:rsidRDefault="00D23E9F" w:rsidP="00D23E9F">
            <w:pPr>
              <w:pStyle w:val="PARRAFOSENTENCIA"/>
              <w:spacing w:before="0" w:beforeAutospacing="0" w:after="0" w:afterAutospacing="0" w:line="240" w:lineRule="auto"/>
              <w:ind w:left="249" w:right="198"/>
              <w:rPr>
                <w:rFonts w:eastAsia="Times New Roman"/>
                <w:sz w:val="20"/>
                <w:szCs w:val="20"/>
                <w:lang w:val="es-ES_tradnl"/>
              </w:rPr>
            </w:pPr>
          </w:p>
          <w:p w14:paraId="0B5E59FA" w14:textId="21AB3557" w:rsidR="00D80F5F" w:rsidRDefault="00D23E9F" w:rsidP="00D23E9F">
            <w:pPr>
              <w:pStyle w:val="PARRAFOSENTENCIA"/>
              <w:spacing w:before="0" w:beforeAutospacing="0" w:after="0" w:afterAutospacing="0" w:line="240" w:lineRule="auto"/>
              <w:ind w:left="249" w:right="198"/>
              <w:rPr>
                <w:rFonts w:eastAsia="Times New Roman"/>
                <w:sz w:val="20"/>
                <w:szCs w:val="20"/>
                <w:lang w:val="es-ES_tradnl"/>
              </w:rPr>
            </w:pPr>
            <w:r w:rsidRPr="00D23E9F">
              <w:rPr>
                <w:rFonts w:eastAsia="Times New Roman"/>
                <w:sz w:val="20"/>
                <w:szCs w:val="20"/>
                <w:lang w:val="es-ES_tradnl"/>
              </w:rPr>
              <w:t>Asimismo, argumentaron que la política de austeridad no puede anular la autonomía que la norma fundamental ha otorgado al Instituto electoral local, ya que está supeditando los principios rectores de la función electoral a la Ley de Austeridad, por lo que vulnera la autonomía financiera, presupuestal y administrativa, principios de supremacía constitucional y jerarquía normativa, así como los artículos 1º, 4, 14, 16, 41, fracción V, apartados A y C, 49, 116, 122 y 133 de la CPEUM.</w:t>
            </w:r>
          </w:p>
          <w:p w14:paraId="402A03A0" w14:textId="26D9F3BC" w:rsidR="007F4523" w:rsidRDefault="007F4523" w:rsidP="00D23E9F">
            <w:pPr>
              <w:pStyle w:val="PARRAFOSENTENCIA"/>
              <w:spacing w:before="0" w:beforeAutospacing="0" w:after="0" w:afterAutospacing="0" w:line="240" w:lineRule="auto"/>
              <w:ind w:left="249" w:right="198"/>
              <w:rPr>
                <w:rFonts w:eastAsia="Times New Roman"/>
                <w:sz w:val="20"/>
                <w:szCs w:val="20"/>
                <w:lang w:val="es-ES_tradnl"/>
              </w:rPr>
            </w:pPr>
          </w:p>
          <w:p w14:paraId="1D4D4DBB" w14:textId="4783897A" w:rsidR="007F4523" w:rsidRPr="007F4523" w:rsidRDefault="007F4523" w:rsidP="007F4523">
            <w:pPr>
              <w:pStyle w:val="PARRAFOSENTENCIA"/>
              <w:ind w:left="249" w:right="198"/>
              <w:rPr>
                <w:rFonts w:eastAsia="Times New Roman"/>
                <w:sz w:val="20"/>
                <w:szCs w:val="20"/>
                <w:lang w:val="es-ES_tradnl"/>
              </w:rPr>
            </w:pPr>
            <w:r w:rsidRPr="007F4523">
              <w:rPr>
                <w:rFonts w:eastAsia="Times New Roman"/>
                <w:b/>
                <w:bCs/>
                <w:sz w:val="20"/>
                <w:szCs w:val="20"/>
                <w:lang w:val="es-ES_tradnl"/>
              </w:rPr>
              <w:t>Consideraciones.</w:t>
            </w:r>
          </w:p>
          <w:p w14:paraId="12682846" w14:textId="13C2B8CC" w:rsidR="007F4523" w:rsidRDefault="007F4523" w:rsidP="007F4523">
            <w:pPr>
              <w:pStyle w:val="PARRAFOSENTENCIA"/>
              <w:spacing w:before="0" w:beforeAutospacing="0" w:after="0" w:afterAutospacing="0" w:line="240" w:lineRule="auto"/>
              <w:ind w:left="249" w:right="198"/>
              <w:rPr>
                <w:rFonts w:eastAsia="Times New Roman"/>
                <w:sz w:val="20"/>
                <w:szCs w:val="20"/>
                <w:lang w:val="es-ES_tradnl"/>
              </w:rPr>
            </w:pPr>
            <w:r w:rsidRPr="007F4523">
              <w:rPr>
                <w:rFonts w:eastAsia="Times New Roman"/>
                <w:sz w:val="20"/>
                <w:szCs w:val="20"/>
                <w:lang w:val="es-ES_tradnl"/>
              </w:rPr>
              <w:t xml:space="preserve">La SCJN </w:t>
            </w:r>
            <w:r w:rsidR="00F51F91" w:rsidRPr="00F51F91">
              <w:rPr>
                <w:rFonts w:eastAsia="Times New Roman"/>
                <w:b/>
                <w:bCs/>
                <w:sz w:val="20"/>
                <w:szCs w:val="20"/>
                <w:lang w:val="es-ES_tradnl"/>
              </w:rPr>
              <w:t>reconoció la validez</w:t>
            </w:r>
            <w:r w:rsidR="00F51F91" w:rsidRPr="00F51F91">
              <w:rPr>
                <w:rFonts w:eastAsia="Times New Roman"/>
                <w:sz w:val="20"/>
                <w:szCs w:val="20"/>
                <w:lang w:val="es-ES_tradnl"/>
              </w:rPr>
              <w:t xml:space="preserve"> de las normas impugnadas, ya que la desaparición de la Unidad Técnica Especializada de Fiscalización y la asignación de sus funciones a la Dirección Ejecutiva de Asociaciones Políticas y de Fiscalización del Instituto Electoral, no violan su función fiscalizadora, al considerar que son aspectos administrativos que no impiden al Instituto cumplir con sus facultades de fiscalización.</w:t>
            </w:r>
          </w:p>
          <w:p w14:paraId="30382C7F" w14:textId="760FDB6D" w:rsidR="00CA32CE" w:rsidRDefault="00CA32CE" w:rsidP="007F4523">
            <w:pPr>
              <w:pStyle w:val="PARRAFOSENTENCIA"/>
              <w:spacing w:before="0" w:beforeAutospacing="0" w:after="0" w:afterAutospacing="0" w:line="240" w:lineRule="auto"/>
              <w:ind w:left="249" w:right="198"/>
              <w:rPr>
                <w:rFonts w:eastAsia="Times New Roman"/>
                <w:sz w:val="20"/>
                <w:szCs w:val="20"/>
                <w:lang w:val="es-ES_tradnl"/>
              </w:rPr>
            </w:pPr>
          </w:p>
          <w:p w14:paraId="69AC11A0" w14:textId="77777777" w:rsidR="00CA32CE" w:rsidRPr="00CA32CE" w:rsidRDefault="00CA32CE" w:rsidP="00CA32CE">
            <w:pPr>
              <w:pStyle w:val="PARRAFOSENTENCIA"/>
              <w:spacing w:before="0" w:beforeAutospacing="0" w:after="0" w:afterAutospacing="0" w:line="240" w:lineRule="auto"/>
              <w:ind w:left="249" w:right="198"/>
              <w:rPr>
                <w:rFonts w:eastAsia="Times New Roman"/>
                <w:b/>
                <w:sz w:val="20"/>
                <w:szCs w:val="20"/>
                <w:lang w:val="es-MX"/>
              </w:rPr>
            </w:pPr>
            <w:r w:rsidRPr="00CA32CE">
              <w:rPr>
                <w:rFonts w:eastAsia="Times New Roman"/>
                <w:b/>
                <w:sz w:val="20"/>
                <w:szCs w:val="20"/>
                <w:lang w:val="es-MX"/>
              </w:rPr>
              <w:t>Resolutivos:</w:t>
            </w:r>
          </w:p>
          <w:p w14:paraId="092D06AA" w14:textId="77777777" w:rsidR="00CA32CE" w:rsidRPr="00CA32CE" w:rsidRDefault="00CA32CE" w:rsidP="00CA32CE">
            <w:pPr>
              <w:pStyle w:val="PARRAFOSENTENCIA"/>
              <w:spacing w:before="0" w:beforeAutospacing="0" w:after="0" w:afterAutospacing="0" w:line="240" w:lineRule="auto"/>
              <w:ind w:left="249" w:right="198"/>
              <w:rPr>
                <w:rFonts w:eastAsia="Times New Roman"/>
                <w:b/>
                <w:sz w:val="20"/>
                <w:szCs w:val="20"/>
                <w:lang w:val="es-MX"/>
              </w:rPr>
            </w:pPr>
            <w:r w:rsidRPr="00CA32CE">
              <w:rPr>
                <w:rFonts w:eastAsia="Times New Roman"/>
                <w:b/>
                <w:sz w:val="20"/>
                <w:szCs w:val="20"/>
                <w:lang w:val="es-MX"/>
              </w:rPr>
              <w:t>.</w:t>
            </w:r>
          </w:p>
          <w:p w14:paraId="1F654B93" w14:textId="77777777" w:rsidR="00CA32CE" w:rsidRPr="00CA32CE" w:rsidRDefault="00CA32CE" w:rsidP="00CA32CE">
            <w:pPr>
              <w:pStyle w:val="PARRAFOSENTENCIA"/>
              <w:spacing w:before="0" w:beforeAutospacing="0" w:after="0" w:afterAutospacing="0" w:line="240" w:lineRule="auto"/>
              <w:ind w:left="249" w:right="198"/>
              <w:rPr>
                <w:rFonts w:eastAsia="Times New Roman"/>
                <w:b/>
                <w:sz w:val="20"/>
                <w:szCs w:val="20"/>
                <w:lang w:val="es-MX"/>
              </w:rPr>
            </w:pPr>
            <w:r w:rsidRPr="00CA32CE">
              <w:rPr>
                <w:rFonts w:eastAsia="Times New Roman"/>
                <w:b/>
                <w:sz w:val="20"/>
                <w:szCs w:val="20"/>
                <w:lang w:val="es-MX"/>
              </w:rPr>
              <w:t>.</w:t>
            </w:r>
          </w:p>
          <w:p w14:paraId="0C111980" w14:textId="77777777" w:rsidR="00CA32CE" w:rsidRPr="00CA32CE" w:rsidRDefault="00CA32CE" w:rsidP="00CA32CE">
            <w:pPr>
              <w:pStyle w:val="PARRAFOSENTENCIA"/>
              <w:spacing w:before="0" w:beforeAutospacing="0" w:after="0" w:afterAutospacing="0" w:line="240" w:lineRule="auto"/>
              <w:ind w:left="249" w:right="198"/>
              <w:rPr>
                <w:rFonts w:eastAsia="Times New Roman"/>
                <w:b/>
                <w:sz w:val="20"/>
                <w:szCs w:val="20"/>
                <w:lang w:val="es-MX"/>
              </w:rPr>
            </w:pPr>
            <w:r w:rsidRPr="00CA32CE">
              <w:rPr>
                <w:rFonts w:eastAsia="Times New Roman"/>
                <w:b/>
                <w:sz w:val="20"/>
                <w:szCs w:val="20"/>
                <w:lang w:val="es-MX"/>
              </w:rPr>
              <w:t xml:space="preserve">. </w:t>
            </w:r>
          </w:p>
          <w:p w14:paraId="35FAF2CA" w14:textId="77777777" w:rsidR="00A0074D" w:rsidRDefault="00CA32CE" w:rsidP="00A0074D">
            <w:pPr>
              <w:pStyle w:val="PARRAFOSENTENCIA"/>
              <w:spacing w:before="0" w:beforeAutospacing="0" w:after="0" w:afterAutospacing="0" w:line="240" w:lineRule="auto"/>
              <w:ind w:left="249" w:right="198"/>
              <w:rPr>
                <w:rFonts w:eastAsia="Times New Roman"/>
                <w:b/>
                <w:sz w:val="20"/>
                <w:szCs w:val="20"/>
                <w:lang w:val="es-MX"/>
              </w:rPr>
            </w:pPr>
            <w:r w:rsidRPr="00CA32CE">
              <w:rPr>
                <w:rFonts w:eastAsia="Times New Roman"/>
                <w:b/>
                <w:sz w:val="20"/>
                <w:szCs w:val="20"/>
                <w:lang w:val="es-MX"/>
              </w:rPr>
              <w:t>(…)</w:t>
            </w:r>
          </w:p>
          <w:p w14:paraId="14EEE2AD" w14:textId="77777777" w:rsidR="00A0074D" w:rsidRDefault="00A0074D" w:rsidP="00A0074D">
            <w:pPr>
              <w:pStyle w:val="PARRAFOSENTENCIA"/>
              <w:spacing w:before="0" w:beforeAutospacing="0" w:after="0" w:afterAutospacing="0" w:line="240" w:lineRule="auto"/>
              <w:ind w:left="249" w:right="198"/>
              <w:rPr>
                <w:rFonts w:eastAsia="Times New Roman"/>
                <w:b/>
                <w:sz w:val="20"/>
                <w:szCs w:val="20"/>
                <w:lang w:val="es-MX"/>
              </w:rPr>
            </w:pPr>
          </w:p>
          <w:p w14:paraId="6B37FEBB" w14:textId="77410878" w:rsidR="00A0074D" w:rsidRPr="00A0074D" w:rsidRDefault="00A0074D" w:rsidP="00A0074D">
            <w:pPr>
              <w:pStyle w:val="PARRAFOSENTENCIA"/>
              <w:spacing w:before="0" w:beforeAutospacing="0" w:after="0" w:afterAutospacing="0" w:line="240" w:lineRule="auto"/>
              <w:ind w:left="249" w:right="198"/>
              <w:rPr>
                <w:rFonts w:eastAsia="Times New Roman"/>
                <w:bCs/>
                <w:sz w:val="20"/>
                <w:szCs w:val="20"/>
                <w:lang w:val="es-MX"/>
              </w:rPr>
            </w:pPr>
            <w:r w:rsidRPr="00A0074D">
              <w:rPr>
                <w:rFonts w:eastAsia="Times New Roman"/>
                <w:b/>
                <w:sz w:val="20"/>
                <w:szCs w:val="20"/>
                <w:lang w:val="es-MX"/>
              </w:rPr>
              <w:t xml:space="preserve">SEGUNDO. </w:t>
            </w:r>
            <w:r w:rsidRPr="00A0074D">
              <w:rPr>
                <w:rFonts w:eastAsia="Times New Roman"/>
                <w:bCs/>
                <w:sz w:val="20"/>
                <w:szCs w:val="20"/>
                <w:lang w:val="es-MX"/>
              </w:rPr>
              <w:t>Se reconoce la validez del decreto por el que se reforman diversos artículos del Código de Instituciones y Procedimientos Electorales de la Ciudad de México, publicado el dos de junio de dos mil veintidós, en la Gaceta Oficial de la Ciudad de México, con excepción del inciso n) de la fracción II del numeral 83 del referido Código de Instituciones y Procedimientos Electorales de la Ciudad de México.</w:t>
            </w:r>
          </w:p>
          <w:p w14:paraId="0328D430" w14:textId="77777777" w:rsidR="00CA32CE" w:rsidRPr="00CA32CE" w:rsidRDefault="00CA32CE" w:rsidP="00CA32CE">
            <w:pPr>
              <w:pStyle w:val="PARRAFOSENTENCIA"/>
              <w:spacing w:before="0" w:beforeAutospacing="0" w:after="0" w:afterAutospacing="0" w:line="240" w:lineRule="auto"/>
              <w:ind w:left="249" w:right="198"/>
              <w:rPr>
                <w:rFonts w:eastAsia="Times New Roman"/>
                <w:b/>
                <w:sz w:val="20"/>
                <w:szCs w:val="20"/>
                <w:lang w:val="es-MX"/>
              </w:rPr>
            </w:pPr>
            <w:r w:rsidRPr="00CA32CE">
              <w:rPr>
                <w:rFonts w:eastAsia="Times New Roman"/>
                <w:b/>
                <w:sz w:val="20"/>
                <w:szCs w:val="20"/>
                <w:lang w:val="es-MX"/>
              </w:rPr>
              <w:lastRenderedPageBreak/>
              <w:t>.</w:t>
            </w:r>
          </w:p>
          <w:p w14:paraId="5060D548" w14:textId="77777777" w:rsidR="00CA32CE" w:rsidRPr="00CA32CE" w:rsidRDefault="00CA32CE" w:rsidP="00CA32CE">
            <w:pPr>
              <w:pStyle w:val="PARRAFOSENTENCIA"/>
              <w:spacing w:before="0" w:beforeAutospacing="0" w:after="0" w:afterAutospacing="0" w:line="240" w:lineRule="auto"/>
              <w:ind w:left="249" w:right="198"/>
              <w:rPr>
                <w:rFonts w:eastAsia="Times New Roman"/>
                <w:b/>
                <w:sz w:val="20"/>
                <w:szCs w:val="20"/>
                <w:lang w:val="es-MX"/>
              </w:rPr>
            </w:pPr>
            <w:r w:rsidRPr="00CA32CE">
              <w:rPr>
                <w:rFonts w:eastAsia="Times New Roman"/>
                <w:b/>
                <w:sz w:val="20"/>
                <w:szCs w:val="20"/>
                <w:lang w:val="es-MX"/>
              </w:rPr>
              <w:t>.</w:t>
            </w:r>
          </w:p>
          <w:p w14:paraId="2DE30C91" w14:textId="77777777" w:rsidR="00CA32CE" w:rsidRPr="00CA32CE" w:rsidRDefault="00CA32CE" w:rsidP="00CA32CE">
            <w:pPr>
              <w:pStyle w:val="PARRAFOSENTENCIA"/>
              <w:spacing w:before="0" w:beforeAutospacing="0" w:after="0" w:afterAutospacing="0" w:line="240" w:lineRule="auto"/>
              <w:ind w:left="249" w:right="198"/>
              <w:rPr>
                <w:rFonts w:eastAsia="Times New Roman"/>
                <w:b/>
                <w:sz w:val="20"/>
                <w:szCs w:val="20"/>
                <w:lang w:val="es-MX"/>
              </w:rPr>
            </w:pPr>
            <w:r w:rsidRPr="00CA32CE">
              <w:rPr>
                <w:rFonts w:eastAsia="Times New Roman"/>
                <w:b/>
                <w:sz w:val="20"/>
                <w:szCs w:val="20"/>
                <w:lang w:val="es-MX"/>
              </w:rPr>
              <w:t xml:space="preserve">. </w:t>
            </w:r>
          </w:p>
          <w:p w14:paraId="7A65E63F" w14:textId="77777777" w:rsidR="00CA32CE" w:rsidRPr="00CA32CE" w:rsidRDefault="00CA32CE" w:rsidP="00CA32CE">
            <w:pPr>
              <w:pStyle w:val="PARRAFOSENTENCIA"/>
              <w:spacing w:before="0" w:beforeAutospacing="0" w:after="0" w:afterAutospacing="0" w:line="240" w:lineRule="auto"/>
              <w:ind w:left="249" w:right="198"/>
              <w:rPr>
                <w:rFonts w:eastAsia="Times New Roman"/>
                <w:b/>
                <w:sz w:val="20"/>
                <w:szCs w:val="20"/>
                <w:lang w:val="es-MX"/>
              </w:rPr>
            </w:pPr>
            <w:r w:rsidRPr="00CA32CE">
              <w:rPr>
                <w:rFonts w:eastAsia="Times New Roman"/>
                <w:b/>
                <w:sz w:val="20"/>
                <w:szCs w:val="20"/>
                <w:lang w:val="es-MX"/>
              </w:rPr>
              <w:t>(…)</w:t>
            </w:r>
          </w:p>
          <w:p w14:paraId="323EFB58" w14:textId="77777777" w:rsidR="00CA32CE" w:rsidRPr="00CA32CE" w:rsidRDefault="00CA32CE" w:rsidP="00CA32CE">
            <w:pPr>
              <w:pStyle w:val="PARRAFOSENTENCIA"/>
              <w:spacing w:before="0" w:beforeAutospacing="0" w:after="0" w:afterAutospacing="0" w:line="240" w:lineRule="auto"/>
              <w:ind w:left="249" w:right="198"/>
              <w:rPr>
                <w:rFonts w:eastAsia="Times New Roman"/>
                <w:b/>
                <w:sz w:val="20"/>
                <w:szCs w:val="20"/>
                <w:lang w:val="es-ES_tradnl"/>
              </w:rPr>
            </w:pPr>
          </w:p>
          <w:p w14:paraId="353D2D92" w14:textId="77FB056B" w:rsidR="00CA32CE" w:rsidRPr="00CA32CE" w:rsidRDefault="00CA32CE" w:rsidP="00CA32CE">
            <w:pPr>
              <w:pStyle w:val="PARRAFOSENTENCIA"/>
              <w:spacing w:before="0" w:beforeAutospacing="0" w:after="0" w:afterAutospacing="0" w:line="240" w:lineRule="auto"/>
              <w:ind w:left="249" w:right="198"/>
              <w:rPr>
                <w:rFonts w:eastAsia="Times New Roman"/>
                <w:b/>
                <w:sz w:val="20"/>
                <w:szCs w:val="20"/>
                <w:lang w:val="es-ES_tradnl"/>
              </w:rPr>
            </w:pPr>
            <w:r w:rsidRPr="00CA32CE">
              <w:rPr>
                <w:rFonts w:eastAsia="Times New Roman"/>
                <w:b/>
                <w:sz w:val="20"/>
                <w:szCs w:val="20"/>
                <w:lang w:val="es-ES_tradnl"/>
              </w:rPr>
              <w:t xml:space="preserve">En relación con el punto </w:t>
            </w:r>
            <w:r w:rsidR="007F4858">
              <w:rPr>
                <w:rFonts w:eastAsia="Times New Roman"/>
                <w:b/>
                <w:sz w:val="20"/>
                <w:szCs w:val="20"/>
                <w:lang w:val="es-ES_tradnl"/>
              </w:rPr>
              <w:t>segundo</w:t>
            </w:r>
            <w:r w:rsidRPr="00CA32CE">
              <w:rPr>
                <w:rFonts w:eastAsia="Times New Roman"/>
                <w:b/>
                <w:sz w:val="20"/>
                <w:szCs w:val="20"/>
                <w:lang w:val="es-ES_tradnl"/>
              </w:rPr>
              <w:t>:</w:t>
            </w:r>
          </w:p>
          <w:p w14:paraId="070A0246" w14:textId="77777777" w:rsidR="00CA32CE" w:rsidRPr="00CA32CE" w:rsidRDefault="00CA32CE" w:rsidP="00CA32CE">
            <w:pPr>
              <w:pStyle w:val="PARRAFOSENTENCIA"/>
              <w:spacing w:before="0" w:beforeAutospacing="0" w:after="0" w:afterAutospacing="0" w:line="240" w:lineRule="auto"/>
              <w:ind w:left="249" w:right="198"/>
              <w:rPr>
                <w:rFonts w:eastAsia="Times New Roman"/>
                <w:b/>
                <w:sz w:val="20"/>
                <w:szCs w:val="20"/>
                <w:lang w:val="es-MX"/>
              </w:rPr>
            </w:pPr>
            <w:r w:rsidRPr="00CA32CE">
              <w:rPr>
                <w:rFonts w:eastAsia="Times New Roman"/>
                <w:b/>
                <w:sz w:val="20"/>
                <w:szCs w:val="20"/>
                <w:lang w:val="es-MX"/>
              </w:rPr>
              <w:t>.</w:t>
            </w:r>
          </w:p>
          <w:p w14:paraId="2605EECE" w14:textId="77777777" w:rsidR="00CA32CE" w:rsidRPr="00CA32CE" w:rsidRDefault="00CA32CE" w:rsidP="00CA32CE">
            <w:pPr>
              <w:pStyle w:val="PARRAFOSENTENCIA"/>
              <w:spacing w:before="0" w:beforeAutospacing="0" w:after="0" w:afterAutospacing="0" w:line="240" w:lineRule="auto"/>
              <w:ind w:left="249" w:right="198"/>
              <w:rPr>
                <w:rFonts w:eastAsia="Times New Roman"/>
                <w:b/>
                <w:sz w:val="20"/>
                <w:szCs w:val="20"/>
                <w:lang w:val="es-MX"/>
              </w:rPr>
            </w:pPr>
            <w:r w:rsidRPr="00CA32CE">
              <w:rPr>
                <w:rFonts w:eastAsia="Times New Roman"/>
                <w:b/>
                <w:sz w:val="20"/>
                <w:szCs w:val="20"/>
                <w:lang w:val="es-MX"/>
              </w:rPr>
              <w:t>.</w:t>
            </w:r>
          </w:p>
          <w:p w14:paraId="4CA7113A" w14:textId="77777777" w:rsidR="00CA32CE" w:rsidRPr="00CA32CE" w:rsidRDefault="00CA32CE" w:rsidP="00CA32CE">
            <w:pPr>
              <w:pStyle w:val="PARRAFOSENTENCIA"/>
              <w:spacing w:before="0" w:beforeAutospacing="0" w:after="0" w:afterAutospacing="0" w:line="240" w:lineRule="auto"/>
              <w:ind w:left="249" w:right="198"/>
              <w:rPr>
                <w:rFonts w:eastAsia="Times New Roman"/>
                <w:b/>
                <w:sz w:val="20"/>
                <w:szCs w:val="20"/>
                <w:lang w:val="es-MX"/>
              </w:rPr>
            </w:pPr>
            <w:r w:rsidRPr="00CA32CE">
              <w:rPr>
                <w:rFonts w:eastAsia="Times New Roman"/>
                <w:b/>
                <w:sz w:val="20"/>
                <w:szCs w:val="20"/>
                <w:lang w:val="es-MX"/>
              </w:rPr>
              <w:t xml:space="preserve">. </w:t>
            </w:r>
          </w:p>
          <w:p w14:paraId="404CC758" w14:textId="77777777" w:rsidR="00CA32CE" w:rsidRPr="00CA32CE" w:rsidRDefault="00CA32CE" w:rsidP="00CA32CE">
            <w:pPr>
              <w:pStyle w:val="PARRAFOSENTENCIA"/>
              <w:spacing w:before="0" w:beforeAutospacing="0" w:after="0" w:afterAutospacing="0" w:line="240" w:lineRule="auto"/>
              <w:ind w:left="249" w:right="198"/>
              <w:rPr>
                <w:rFonts w:eastAsia="Times New Roman"/>
                <w:b/>
                <w:sz w:val="20"/>
                <w:szCs w:val="20"/>
                <w:lang w:val="es-MX"/>
              </w:rPr>
            </w:pPr>
            <w:r w:rsidRPr="00CA32CE">
              <w:rPr>
                <w:rFonts w:eastAsia="Times New Roman"/>
                <w:b/>
                <w:sz w:val="20"/>
                <w:szCs w:val="20"/>
                <w:lang w:val="es-MX"/>
              </w:rPr>
              <w:t>(…)</w:t>
            </w:r>
          </w:p>
          <w:p w14:paraId="5C885CAC" w14:textId="77777777" w:rsidR="00CA32CE" w:rsidRPr="00CA32CE" w:rsidRDefault="00CA32CE" w:rsidP="00CA32CE">
            <w:pPr>
              <w:pStyle w:val="PARRAFOSENTENCIA"/>
              <w:spacing w:before="0" w:beforeAutospacing="0" w:after="0" w:afterAutospacing="0" w:line="240" w:lineRule="auto"/>
              <w:ind w:left="249" w:right="198"/>
              <w:rPr>
                <w:rFonts w:eastAsia="Times New Roman"/>
                <w:b/>
                <w:sz w:val="20"/>
                <w:szCs w:val="20"/>
                <w:lang w:val="es-ES_tradnl"/>
              </w:rPr>
            </w:pPr>
          </w:p>
          <w:p w14:paraId="2A1B3752" w14:textId="431427ED" w:rsidR="000C3FCA" w:rsidRPr="000C3FCA" w:rsidRDefault="00CA32CE" w:rsidP="000C3FCA">
            <w:pPr>
              <w:pStyle w:val="PARRAFOSENTENCIA"/>
              <w:spacing w:before="0" w:beforeAutospacing="0" w:after="0" w:afterAutospacing="0" w:line="240" w:lineRule="auto"/>
              <w:ind w:left="249" w:right="198"/>
              <w:rPr>
                <w:rFonts w:eastAsia="Times New Roman"/>
                <w:sz w:val="20"/>
                <w:szCs w:val="20"/>
                <w:lang w:val="es-ES_tradnl"/>
              </w:rPr>
            </w:pPr>
            <w:r w:rsidRPr="00CA32CE">
              <w:rPr>
                <w:rFonts w:eastAsia="Times New Roman"/>
                <w:sz w:val="20"/>
                <w:szCs w:val="20"/>
                <w:lang w:val="es-ES_tradnl"/>
              </w:rPr>
              <w:t xml:space="preserve">Se expresó una </w:t>
            </w:r>
            <w:r w:rsidR="000C3FCA" w:rsidRPr="000C3FCA">
              <w:rPr>
                <w:rFonts w:eastAsia="Times New Roman"/>
                <w:sz w:val="20"/>
                <w:szCs w:val="20"/>
                <w:lang w:val="es-ES_tradnl"/>
              </w:rPr>
              <w:t>mayoría de 9 votos a favor de la propuesta de validez del proyecto; con voto en contra y por la invalidez total del Ministro Pérez Dayán y de la Ministra Presidenta Piña Hernández; por lo que se refiere a la propuesta de invalidez de la reforma del artículo 37, existe una mayoría de 6 votos a favor de su validez, al igual que por lo que se refiere a la modificación del artículo 350, en la porción normativa correspondiente y; por lo que se refiere a la derogación del artículo 98, párrafo último, existe una mayoría de 7 votos en contra de la propuesta del proyecto, del Ministro González Alcántara Carrancá, el Ministro Gutiérrez Ortiz Mena, el Ministro Aguilar Morales,  el Ministro Laynez Potisek, el Ministro Pardo Rebolledo, el Ministro Pérez Dayán y a la Ministra Presidenta Piña Hernández, por lo que se desestimaría respecto de este párrafo último.</w:t>
            </w:r>
          </w:p>
          <w:p w14:paraId="712603F3" w14:textId="77777777" w:rsidR="000C3FCA" w:rsidRPr="000C3FCA" w:rsidRDefault="000C3FCA" w:rsidP="000C3FCA">
            <w:pPr>
              <w:pStyle w:val="PARRAFOSENTENCIA"/>
              <w:spacing w:before="0" w:beforeAutospacing="0" w:after="0" w:afterAutospacing="0" w:line="240" w:lineRule="auto"/>
              <w:ind w:left="249" w:right="198"/>
              <w:rPr>
                <w:rFonts w:eastAsia="Times New Roman"/>
                <w:sz w:val="20"/>
                <w:szCs w:val="20"/>
                <w:lang w:val="es-ES_tradnl"/>
              </w:rPr>
            </w:pPr>
          </w:p>
          <w:p w14:paraId="5961D5E3" w14:textId="5A728633" w:rsidR="00CA32CE" w:rsidRPr="00D23E9F" w:rsidRDefault="000C3FCA" w:rsidP="000C3FCA">
            <w:pPr>
              <w:pStyle w:val="PARRAFOSENTENCIA"/>
              <w:spacing w:before="0" w:beforeAutospacing="0" w:after="0" w:afterAutospacing="0" w:line="240" w:lineRule="auto"/>
              <w:ind w:left="249" w:right="198"/>
              <w:rPr>
                <w:rFonts w:eastAsia="Times New Roman"/>
                <w:sz w:val="20"/>
                <w:szCs w:val="20"/>
                <w:lang w:val="es-ES_tradnl"/>
              </w:rPr>
            </w:pPr>
            <w:r w:rsidRPr="000C3FCA">
              <w:rPr>
                <w:rFonts w:eastAsia="Times New Roman"/>
                <w:sz w:val="20"/>
                <w:szCs w:val="20"/>
                <w:lang w:val="es-ES_tradnl"/>
              </w:rPr>
              <w:t xml:space="preserve">Se aprobó por una mayoría de 9 votos a favor de la propuesta del proyecto, salvo por lo que se refiere a los artículos 37, fracción IV; 350 en la porción normativa; y 324, respecto de los cuales existe una mayoría de 7 votos a favor del reconocimiento de validez; con voto en contra del </w:t>
            </w:r>
            <w:proofErr w:type="gramStart"/>
            <w:r w:rsidRPr="000C3FCA">
              <w:rPr>
                <w:rFonts w:eastAsia="Times New Roman"/>
                <w:sz w:val="20"/>
                <w:szCs w:val="20"/>
                <w:lang w:val="es-ES_tradnl"/>
              </w:rPr>
              <w:t>Ministro</w:t>
            </w:r>
            <w:proofErr w:type="gramEnd"/>
            <w:r w:rsidRPr="000C3FCA">
              <w:rPr>
                <w:rFonts w:eastAsia="Times New Roman"/>
                <w:sz w:val="20"/>
                <w:szCs w:val="20"/>
                <w:lang w:val="es-ES_tradnl"/>
              </w:rPr>
              <w:t xml:space="preserve"> González Alcántara Carrancá, del Ministro Laynez Potisek y de la Ministra Presidenta Piña Hernández.</w:t>
            </w:r>
          </w:p>
          <w:p w14:paraId="7180C5F7" w14:textId="6F901D3C" w:rsidR="00D80F5F" w:rsidRPr="00D80F5F" w:rsidRDefault="00D80F5F" w:rsidP="00D80F5F">
            <w:pPr>
              <w:pStyle w:val="Ttulo1"/>
              <w:spacing w:before="1"/>
              <w:ind w:left="972" w:right="176"/>
              <w:rPr>
                <w:bCs w:val="0"/>
                <w:sz w:val="20"/>
                <w:szCs w:val="20"/>
              </w:rPr>
            </w:pPr>
          </w:p>
        </w:tc>
      </w:tr>
      <w:tr w:rsidR="00594A26" w:rsidRPr="00ED2D84" w14:paraId="0941913D" w14:textId="77777777" w:rsidTr="00C75296">
        <w:trPr>
          <w:trHeight w:val="283"/>
        </w:trPr>
        <w:tc>
          <w:tcPr>
            <w:tcW w:w="1877" w:type="dxa"/>
            <w:vAlign w:val="center"/>
          </w:tcPr>
          <w:p w14:paraId="25762766" w14:textId="77777777" w:rsidR="00594A26" w:rsidRPr="001802D9" w:rsidRDefault="00AF100A" w:rsidP="00C75296">
            <w:pPr>
              <w:ind w:left="170" w:right="198"/>
              <w:jc w:val="center"/>
              <w:rPr>
                <w:rStyle w:val="Hipervnculo"/>
                <w:rFonts w:ascii="Arial" w:hAnsi="Arial" w:cs="Arial"/>
                <w:b/>
                <w:sz w:val="20"/>
                <w:szCs w:val="20"/>
                <w:lang w:val="es-MX"/>
              </w:rPr>
            </w:pPr>
            <w:hyperlink r:id="rId9" w:history="1">
              <w:r w:rsidR="00594A26" w:rsidRPr="001802D9">
                <w:rPr>
                  <w:rStyle w:val="Hipervnculo"/>
                  <w:rFonts w:ascii="Arial" w:hAnsi="Arial" w:cs="Arial"/>
                  <w:b/>
                  <w:sz w:val="20"/>
                  <w:szCs w:val="20"/>
                  <w:lang w:val="es-MX"/>
                </w:rPr>
                <w:t>241/2020</w:t>
              </w:r>
            </w:hyperlink>
          </w:p>
          <w:p w14:paraId="4C88B938" w14:textId="77777777" w:rsidR="00C4535A" w:rsidRDefault="00C4535A" w:rsidP="00C75296">
            <w:pPr>
              <w:ind w:left="170" w:right="198"/>
              <w:jc w:val="center"/>
              <w:rPr>
                <w:rStyle w:val="Hipervnculo"/>
                <w:color w:val="5555FF"/>
              </w:rPr>
            </w:pPr>
          </w:p>
          <w:p w14:paraId="4CC6620F" w14:textId="00E9243C" w:rsidR="00C4535A" w:rsidRPr="00C4535A" w:rsidRDefault="00C4535A" w:rsidP="00C75296">
            <w:pPr>
              <w:ind w:left="170" w:right="198"/>
              <w:jc w:val="center"/>
              <w:rPr>
                <w:rFonts w:ascii="Arial" w:hAnsi="Arial" w:cs="Arial"/>
                <w:b/>
                <w:bCs/>
                <w:sz w:val="20"/>
                <w:szCs w:val="20"/>
                <w:lang w:val="es-MX"/>
              </w:rPr>
            </w:pPr>
            <w:r w:rsidRPr="00C4535A">
              <w:rPr>
                <w:rStyle w:val="Hipervnculo"/>
                <w:rFonts w:ascii="Arial" w:hAnsi="Arial" w:cs="Arial"/>
                <w:b/>
                <w:bCs/>
                <w:color w:val="0D0D0D" w:themeColor="text1" w:themeTint="F2"/>
                <w:sz w:val="20"/>
                <w:szCs w:val="20"/>
                <w:u w:val="none"/>
              </w:rPr>
              <w:t>Veracruz</w:t>
            </w:r>
          </w:p>
        </w:tc>
        <w:tc>
          <w:tcPr>
            <w:tcW w:w="12294" w:type="dxa"/>
          </w:tcPr>
          <w:p w14:paraId="71E56DEE" w14:textId="77777777" w:rsidR="00594A26" w:rsidRDefault="00594A26" w:rsidP="00594A26">
            <w:pPr>
              <w:pStyle w:val="Ttulo1"/>
              <w:spacing w:before="1"/>
              <w:ind w:left="252" w:right="176"/>
              <w:rPr>
                <w:bCs w:val="0"/>
                <w:sz w:val="20"/>
                <w:szCs w:val="20"/>
              </w:rPr>
            </w:pPr>
          </w:p>
          <w:p w14:paraId="09B73548" w14:textId="77777777" w:rsidR="00594A26" w:rsidRPr="007A48BC" w:rsidRDefault="00594A26" w:rsidP="00594A26">
            <w:pPr>
              <w:pStyle w:val="Ttulo1"/>
              <w:numPr>
                <w:ilvl w:val="0"/>
                <w:numId w:val="9"/>
              </w:numPr>
              <w:spacing w:before="1"/>
              <w:ind w:left="252" w:right="176" w:hanging="142"/>
              <w:rPr>
                <w:bCs w:val="0"/>
                <w:sz w:val="20"/>
                <w:szCs w:val="20"/>
              </w:rPr>
            </w:pPr>
            <w:r w:rsidRPr="007A48BC">
              <w:rPr>
                <w:bCs w:val="0"/>
                <w:sz w:val="20"/>
                <w:szCs w:val="20"/>
              </w:rPr>
              <w:t>Obstáculos innecesarios en el proceso de fiscalización.</w:t>
            </w:r>
          </w:p>
          <w:p w14:paraId="5483BB56" w14:textId="77777777" w:rsidR="00594A26" w:rsidRPr="007A48BC" w:rsidRDefault="00594A26" w:rsidP="00594A26">
            <w:pPr>
              <w:pStyle w:val="Ttulo1"/>
              <w:spacing w:before="1"/>
              <w:ind w:left="170" w:right="176"/>
              <w:rPr>
                <w:bCs w:val="0"/>
                <w:sz w:val="20"/>
                <w:szCs w:val="20"/>
              </w:rPr>
            </w:pPr>
          </w:p>
          <w:p w14:paraId="5CB6A436" w14:textId="77777777" w:rsidR="00594A26" w:rsidRDefault="00594A26" w:rsidP="00594A26">
            <w:pPr>
              <w:ind w:left="170" w:right="176"/>
              <w:jc w:val="both"/>
              <w:rPr>
                <w:rFonts w:ascii="Arial" w:eastAsia="Arial" w:hAnsi="Arial" w:cs="Arial"/>
                <w:sz w:val="20"/>
                <w:szCs w:val="20"/>
                <w:lang w:eastAsia="es-MX" w:bidi="es-MX"/>
              </w:rPr>
            </w:pPr>
            <w:r w:rsidRPr="007A48BC">
              <w:rPr>
                <w:rFonts w:ascii="Arial" w:eastAsia="Arial" w:hAnsi="Arial" w:cs="Arial"/>
                <w:sz w:val="20"/>
                <w:szCs w:val="20"/>
                <w:lang w:eastAsia="es-MX" w:bidi="es-MX"/>
              </w:rPr>
              <w:t xml:space="preserve">El partido MC impugnó el artículo 65, del Código Electoral del Estado de Veracruz, por considerar que el </w:t>
            </w:r>
            <w:r w:rsidRPr="00E935FA">
              <w:rPr>
                <w:rFonts w:ascii="Arial" w:eastAsia="Arial" w:hAnsi="Arial" w:cs="Arial"/>
                <w:sz w:val="20"/>
                <w:szCs w:val="20"/>
                <w:lang w:eastAsia="es-MX" w:bidi="es-MX"/>
              </w:rPr>
              <w:t>OPLE debe señalar el tope de gastos de precampaña para cada elección en el mes de enero, entorpece el buen desarrollo de la contienda y, disminuye la función de los partidos políticos como entidades de interés público</w:t>
            </w:r>
            <w:r w:rsidRPr="007A48BC">
              <w:rPr>
                <w:rFonts w:ascii="Arial" w:eastAsia="Arial" w:hAnsi="Arial" w:cs="Arial"/>
                <w:sz w:val="20"/>
                <w:szCs w:val="20"/>
                <w:lang w:eastAsia="es-MX" w:bidi="es-MX"/>
              </w:rPr>
              <w:t>.</w:t>
            </w:r>
          </w:p>
          <w:p w14:paraId="53D45C01" w14:textId="77777777" w:rsidR="00594A26" w:rsidRDefault="00594A26" w:rsidP="00594A26">
            <w:pPr>
              <w:pStyle w:val="Prrafodelista"/>
              <w:shd w:val="clear" w:color="auto" w:fill="FFFFFF"/>
              <w:ind w:left="170" w:right="198"/>
              <w:jc w:val="both"/>
              <w:rPr>
                <w:rFonts w:ascii="Arial" w:eastAsia="Times New Roman" w:hAnsi="Arial" w:cs="Arial"/>
                <w:b/>
                <w:bCs/>
                <w:sz w:val="20"/>
                <w:szCs w:val="20"/>
                <w:lang w:eastAsia="es-MX"/>
              </w:rPr>
            </w:pPr>
          </w:p>
          <w:p w14:paraId="1A985703" w14:textId="77777777" w:rsidR="00594A26" w:rsidRDefault="00594A26" w:rsidP="00594A26">
            <w:pPr>
              <w:pStyle w:val="Prrafodelista"/>
              <w:shd w:val="clear" w:color="auto" w:fill="FFFFFF"/>
              <w:ind w:left="170" w:right="198"/>
              <w:jc w:val="both"/>
              <w:rPr>
                <w:rFonts w:ascii="Arial" w:hAnsi="Arial" w:cs="Arial"/>
                <w:bCs/>
                <w:sz w:val="20"/>
                <w:szCs w:val="20"/>
              </w:rPr>
            </w:pPr>
            <w:r w:rsidRPr="00B41274">
              <w:rPr>
                <w:rFonts w:ascii="Arial" w:eastAsia="Times New Roman" w:hAnsi="Arial" w:cs="Arial"/>
                <w:b/>
                <w:bCs/>
                <w:sz w:val="20"/>
                <w:szCs w:val="20"/>
                <w:lang w:eastAsia="es-MX"/>
              </w:rPr>
              <w:t>La SCJN no analizó</w:t>
            </w:r>
            <w:r w:rsidRPr="00C6687B">
              <w:rPr>
                <w:rFonts w:ascii="Arial" w:eastAsia="Times New Roman" w:hAnsi="Arial" w:cs="Arial"/>
                <w:b/>
                <w:bCs/>
                <w:sz w:val="20"/>
                <w:szCs w:val="20"/>
                <w:lang w:eastAsia="es-MX"/>
              </w:rPr>
              <w:t xml:space="preserve"> </w:t>
            </w:r>
            <w:r>
              <w:rPr>
                <w:rFonts w:ascii="Arial" w:eastAsia="Times New Roman" w:hAnsi="Arial" w:cs="Arial"/>
                <w:b/>
                <w:bCs/>
                <w:sz w:val="20"/>
                <w:szCs w:val="20"/>
                <w:lang w:eastAsia="es-MX"/>
              </w:rPr>
              <w:t>el</w:t>
            </w:r>
            <w:r w:rsidRPr="00C6687B">
              <w:rPr>
                <w:rFonts w:ascii="Arial" w:eastAsia="Times New Roman" w:hAnsi="Arial" w:cs="Arial"/>
                <w:b/>
                <w:bCs/>
                <w:sz w:val="20"/>
                <w:szCs w:val="20"/>
                <w:lang w:eastAsia="es-MX"/>
              </w:rPr>
              <w:t xml:space="preserve"> concepto de invalidez referido, debido a que se </w:t>
            </w:r>
            <w:r w:rsidRPr="007A48BC">
              <w:rPr>
                <w:rFonts w:ascii="Arial" w:hAnsi="Arial" w:cs="Arial"/>
                <w:b/>
                <w:bCs/>
                <w:sz w:val="20"/>
                <w:szCs w:val="20"/>
              </w:rPr>
              <w:t>invalidó</w:t>
            </w:r>
            <w:r w:rsidRPr="007A48BC">
              <w:rPr>
                <w:rFonts w:ascii="Arial" w:hAnsi="Arial" w:cs="Arial"/>
                <w:bCs/>
                <w:sz w:val="20"/>
                <w:szCs w:val="20"/>
              </w:rPr>
              <w:t xml:space="preserve"> </w:t>
            </w:r>
            <w:r w:rsidRPr="00C540B7">
              <w:rPr>
                <w:rFonts w:ascii="Arial" w:hAnsi="Arial" w:cs="Arial"/>
                <w:b/>
                <w:bCs/>
                <w:sz w:val="20"/>
                <w:szCs w:val="20"/>
              </w:rPr>
              <w:t>el Decreto 580</w:t>
            </w:r>
            <w:r w:rsidRPr="007A48BC">
              <w:rPr>
                <w:rFonts w:ascii="Arial" w:hAnsi="Arial" w:cs="Arial"/>
                <w:bCs/>
                <w:sz w:val="20"/>
                <w:szCs w:val="20"/>
              </w:rPr>
              <w:t>, ante la omisión de consultar a los pueblos y comunidades indígenas y afromexicanas, en relación con la supresión de los consejos municipales</w:t>
            </w:r>
            <w:r>
              <w:rPr>
                <w:rFonts w:ascii="Arial" w:hAnsi="Arial" w:cs="Arial"/>
                <w:bCs/>
                <w:sz w:val="20"/>
                <w:szCs w:val="20"/>
              </w:rPr>
              <w:t>.</w:t>
            </w:r>
          </w:p>
          <w:p w14:paraId="71ACB250" w14:textId="14DA6D1B" w:rsidR="00594A26" w:rsidRPr="00ED2D84" w:rsidRDefault="00594A26" w:rsidP="00594A26">
            <w:pPr>
              <w:pStyle w:val="Prrafodelista"/>
              <w:shd w:val="clear" w:color="auto" w:fill="FFFFFF"/>
              <w:ind w:left="170" w:right="198"/>
              <w:jc w:val="both"/>
              <w:rPr>
                <w:rFonts w:ascii="Arial" w:hAnsi="Arial" w:cs="Arial"/>
                <w:b/>
                <w:sz w:val="20"/>
                <w:szCs w:val="20"/>
              </w:rPr>
            </w:pPr>
          </w:p>
        </w:tc>
      </w:tr>
      <w:tr w:rsidR="00556DB0" w:rsidRPr="00ED2D84" w14:paraId="6B599193" w14:textId="77777777" w:rsidTr="00C75296">
        <w:trPr>
          <w:trHeight w:val="283"/>
        </w:trPr>
        <w:tc>
          <w:tcPr>
            <w:tcW w:w="1877" w:type="dxa"/>
            <w:vAlign w:val="center"/>
          </w:tcPr>
          <w:p w14:paraId="27A67DE9" w14:textId="77777777" w:rsidR="00556DB0" w:rsidRPr="0056070E" w:rsidRDefault="00AF100A" w:rsidP="00C75296">
            <w:pPr>
              <w:jc w:val="center"/>
              <w:rPr>
                <w:rStyle w:val="Hipervnculo"/>
                <w:rFonts w:ascii="Arial" w:hAnsi="Arial" w:cs="Arial"/>
                <w:b/>
                <w:sz w:val="20"/>
                <w:szCs w:val="20"/>
                <w:lang w:val="es-MX"/>
              </w:rPr>
            </w:pPr>
            <w:hyperlink r:id="rId10" w:history="1">
              <w:r w:rsidR="00556DB0" w:rsidRPr="00B05EF2">
                <w:rPr>
                  <w:rStyle w:val="Hipervnculo"/>
                  <w:rFonts w:ascii="Arial" w:hAnsi="Arial" w:cs="Arial"/>
                  <w:b/>
                  <w:sz w:val="20"/>
                  <w:szCs w:val="20"/>
                  <w:lang w:val="es-MX"/>
                </w:rPr>
                <w:t>48/2017</w:t>
              </w:r>
            </w:hyperlink>
          </w:p>
          <w:p w14:paraId="393908C5" w14:textId="77777777" w:rsidR="00556DB0" w:rsidRPr="00556DB0" w:rsidRDefault="00556DB0" w:rsidP="00C75296">
            <w:pPr>
              <w:jc w:val="center"/>
              <w:rPr>
                <w:rStyle w:val="Hipervnculo"/>
                <w:rFonts w:ascii="Arial" w:hAnsi="Arial" w:cs="Arial"/>
                <w:b/>
                <w:bCs/>
                <w:sz w:val="20"/>
                <w:szCs w:val="20"/>
              </w:rPr>
            </w:pPr>
          </w:p>
          <w:p w14:paraId="5C123F16" w14:textId="77777777" w:rsidR="00556DB0" w:rsidRPr="00556DB0" w:rsidRDefault="00556DB0" w:rsidP="00C75296">
            <w:pPr>
              <w:jc w:val="center"/>
              <w:rPr>
                <w:rFonts w:ascii="Arial" w:hAnsi="Arial" w:cs="Arial"/>
                <w:b/>
                <w:bCs/>
                <w:color w:val="0D0D0D" w:themeColor="text1" w:themeTint="F2"/>
                <w:sz w:val="20"/>
                <w:szCs w:val="20"/>
                <w:lang w:val="es-MX"/>
              </w:rPr>
            </w:pPr>
            <w:r w:rsidRPr="00556DB0">
              <w:rPr>
                <w:rStyle w:val="Hipervnculo"/>
                <w:rFonts w:ascii="Arial" w:hAnsi="Arial" w:cs="Arial"/>
                <w:b/>
                <w:bCs/>
                <w:color w:val="0D0D0D" w:themeColor="text1" w:themeTint="F2"/>
                <w:sz w:val="20"/>
                <w:szCs w:val="20"/>
                <w:u w:val="none"/>
              </w:rPr>
              <w:lastRenderedPageBreak/>
              <w:t>Aguascalientes</w:t>
            </w:r>
          </w:p>
          <w:p w14:paraId="1FD2A2E9" w14:textId="77777777" w:rsidR="00556DB0" w:rsidRPr="001802D9" w:rsidRDefault="00556DB0" w:rsidP="00C75296">
            <w:pPr>
              <w:ind w:left="170" w:right="198"/>
              <w:jc w:val="center"/>
              <w:rPr>
                <w:rStyle w:val="Hipervnculo"/>
                <w:b/>
                <w:lang w:val="es-MX"/>
              </w:rPr>
            </w:pPr>
          </w:p>
        </w:tc>
        <w:tc>
          <w:tcPr>
            <w:tcW w:w="12294" w:type="dxa"/>
          </w:tcPr>
          <w:p w14:paraId="430B20CF" w14:textId="77777777" w:rsidR="00556DB0" w:rsidRPr="0056070E" w:rsidRDefault="00556DB0" w:rsidP="00556DB0">
            <w:pPr>
              <w:jc w:val="both"/>
              <w:rPr>
                <w:rFonts w:ascii="Arial" w:hAnsi="Arial" w:cs="Arial"/>
                <w:color w:val="000000"/>
                <w:sz w:val="20"/>
                <w:szCs w:val="20"/>
                <w:lang w:val="es-MX"/>
              </w:rPr>
            </w:pPr>
          </w:p>
          <w:p w14:paraId="1CF67BAB" w14:textId="77777777" w:rsidR="00556DB0" w:rsidRPr="007D3D04" w:rsidRDefault="00556DB0" w:rsidP="00556DB0">
            <w:pPr>
              <w:pStyle w:val="Prrafodelista"/>
              <w:numPr>
                <w:ilvl w:val="0"/>
                <w:numId w:val="12"/>
              </w:numPr>
              <w:ind w:left="252" w:right="144" w:hanging="142"/>
              <w:jc w:val="both"/>
              <w:rPr>
                <w:rFonts w:ascii="Arial" w:hAnsi="Arial" w:cs="Arial"/>
                <w:color w:val="000000"/>
                <w:sz w:val="20"/>
                <w:szCs w:val="20"/>
                <w:lang w:val="es-MX"/>
              </w:rPr>
            </w:pPr>
            <w:r w:rsidRPr="007D3D04">
              <w:rPr>
                <w:rFonts w:ascii="Arial" w:eastAsia="Calibri" w:hAnsi="Arial" w:cs="Arial"/>
                <w:b/>
                <w:sz w:val="20"/>
                <w:szCs w:val="20"/>
              </w:rPr>
              <w:t xml:space="preserve">Sobre la facultad para fiscalizar a los partidos políticos, sus coaliciones, candidaturas comunes y de los candidatos a cargos </w:t>
            </w:r>
            <w:r w:rsidRPr="007D3D04">
              <w:rPr>
                <w:rFonts w:ascii="Arial" w:eastAsia="Calibri" w:hAnsi="Arial" w:cs="Arial"/>
                <w:b/>
                <w:sz w:val="20"/>
                <w:szCs w:val="20"/>
              </w:rPr>
              <w:lastRenderedPageBreak/>
              <w:t>de elección popular.</w:t>
            </w:r>
          </w:p>
          <w:p w14:paraId="36F31A20" w14:textId="77777777" w:rsidR="00556DB0" w:rsidRPr="0056070E" w:rsidRDefault="00556DB0" w:rsidP="00556DB0">
            <w:pPr>
              <w:jc w:val="both"/>
              <w:rPr>
                <w:rFonts w:ascii="Arial" w:hAnsi="Arial" w:cs="Arial"/>
                <w:color w:val="000000"/>
                <w:sz w:val="20"/>
                <w:szCs w:val="20"/>
                <w:lang w:val="es-MX"/>
              </w:rPr>
            </w:pPr>
          </w:p>
          <w:p w14:paraId="273E10A6" w14:textId="77777777" w:rsidR="00556DB0" w:rsidRPr="0056070E" w:rsidRDefault="00556DB0" w:rsidP="00556DB0">
            <w:pPr>
              <w:ind w:left="144" w:right="144"/>
              <w:jc w:val="both"/>
              <w:rPr>
                <w:rFonts w:ascii="Arial" w:hAnsi="Arial" w:cs="Arial"/>
                <w:sz w:val="20"/>
                <w:szCs w:val="20"/>
                <w:lang w:val="es-MX"/>
              </w:rPr>
            </w:pPr>
            <w:r w:rsidRPr="0056070E">
              <w:rPr>
                <w:rFonts w:ascii="Arial" w:hAnsi="Arial" w:cs="Arial"/>
                <w:color w:val="000000"/>
                <w:sz w:val="20"/>
                <w:szCs w:val="20"/>
                <w:lang w:val="es-MX"/>
              </w:rPr>
              <w:t>El partido político MORENA, sostuvo que es inconstitucional el párrafo primero del artículo 45 del Código Electoral del Estado de Aguascalientes, al determinar que es la Contraloría Interna del Organismo Público Local Electoral la que fiscalizará los recursos de los partidos políticos, ya que se pone en riesgo la función de fiscalización que pudiera realizar el Organismo Público Local, en caso de que exista una delegación de la función del INE. Por otra parte, alegó</w:t>
            </w:r>
            <w:r w:rsidRPr="0056070E">
              <w:rPr>
                <w:rFonts w:ascii="Arial" w:hAnsi="Arial" w:cs="Arial"/>
                <w:sz w:val="20"/>
                <w:szCs w:val="20"/>
                <w:lang w:val="es-MX"/>
              </w:rPr>
              <w:t xml:space="preserve"> que el Congreso del Estado, es quien designa al titular de dicha contraloría, y el INE al realizar la fiscalización de los recursos, implica que función se ejerza, </w:t>
            </w:r>
            <w:r w:rsidRPr="0056070E">
              <w:rPr>
                <w:rFonts w:ascii="Arial" w:hAnsi="Arial" w:cs="Arial"/>
                <w:i/>
                <w:sz w:val="20"/>
                <w:szCs w:val="20"/>
                <w:lang w:val="es-MX"/>
              </w:rPr>
              <w:t>de manera indirecta,</w:t>
            </w:r>
            <w:r w:rsidRPr="0056070E">
              <w:rPr>
                <w:rFonts w:ascii="Arial" w:hAnsi="Arial" w:cs="Arial"/>
                <w:sz w:val="20"/>
                <w:szCs w:val="20"/>
                <w:lang w:val="es-MX"/>
              </w:rPr>
              <w:t xml:space="preserve"> más no el </w:t>
            </w:r>
            <w:r w:rsidRPr="0056070E">
              <w:rPr>
                <w:rFonts w:ascii="Arial" w:hAnsi="Arial" w:cs="Arial"/>
                <w:sz w:val="20"/>
                <w:szCs w:val="20"/>
                <w:lang w:val="es-MX" w:eastAsia="es-MX"/>
              </w:rPr>
              <w:t>Organismo Público Local Electoral</w:t>
            </w:r>
            <w:r w:rsidRPr="0056070E">
              <w:rPr>
                <w:rFonts w:ascii="Arial" w:hAnsi="Arial" w:cs="Arial"/>
                <w:sz w:val="20"/>
                <w:szCs w:val="20"/>
                <w:lang w:val="es-MX"/>
              </w:rPr>
              <w:t>, lo que trastoca a la Constitución General.</w:t>
            </w:r>
          </w:p>
          <w:p w14:paraId="13116DAD" w14:textId="77777777" w:rsidR="00556DB0" w:rsidRPr="0056070E" w:rsidRDefault="00556DB0" w:rsidP="00556DB0">
            <w:pPr>
              <w:pStyle w:val="Prrafodelista"/>
              <w:jc w:val="both"/>
              <w:rPr>
                <w:rFonts w:ascii="Arial" w:hAnsi="Arial" w:cs="Arial"/>
                <w:color w:val="000000"/>
                <w:sz w:val="20"/>
                <w:szCs w:val="20"/>
                <w:lang w:val="es-MX"/>
              </w:rPr>
            </w:pPr>
          </w:p>
          <w:p w14:paraId="1EA93042" w14:textId="77777777" w:rsidR="00556DB0" w:rsidRPr="0056070E" w:rsidRDefault="00556DB0" w:rsidP="00556DB0">
            <w:pPr>
              <w:ind w:left="144" w:right="144"/>
              <w:jc w:val="both"/>
              <w:rPr>
                <w:rFonts w:ascii="Arial" w:hAnsi="Arial" w:cs="Arial"/>
                <w:color w:val="000000"/>
                <w:sz w:val="20"/>
                <w:szCs w:val="20"/>
                <w:lang w:val="es-MX"/>
              </w:rPr>
            </w:pPr>
            <w:r w:rsidRPr="0056070E">
              <w:rPr>
                <w:rFonts w:ascii="Arial" w:hAnsi="Arial" w:cs="Arial"/>
                <w:color w:val="000000"/>
                <w:sz w:val="20"/>
                <w:szCs w:val="20"/>
                <w:lang w:val="es-MX"/>
              </w:rPr>
              <w:t>Asimismo, el partido actor argumentó que era inconstitucional el artículo 48 del Código Electoral del Estado de Aguascalientes, al establecer que el INE delega al Organismo Público Local Electoral la facultad de fiscalización de los partidos políticos,</w:t>
            </w:r>
            <w:r>
              <w:rPr>
                <w:rFonts w:ascii="Arial" w:hAnsi="Arial" w:cs="Arial"/>
                <w:color w:val="000000"/>
                <w:sz w:val="20"/>
                <w:szCs w:val="20"/>
                <w:lang w:val="es-MX"/>
              </w:rPr>
              <w:t xml:space="preserve"> y que </w:t>
            </w:r>
            <w:r w:rsidRPr="0056070E">
              <w:rPr>
                <w:rFonts w:ascii="Arial" w:hAnsi="Arial" w:cs="Arial"/>
                <w:color w:val="000000"/>
                <w:sz w:val="20"/>
                <w:szCs w:val="20"/>
                <w:lang w:val="es-MX"/>
              </w:rPr>
              <w:t>el Contralor Interno deberá rendir cuentas al Consejo del Instituto local.</w:t>
            </w:r>
          </w:p>
          <w:p w14:paraId="5BAD2679" w14:textId="77777777" w:rsidR="00556DB0" w:rsidRPr="0056070E" w:rsidRDefault="00556DB0" w:rsidP="00556DB0">
            <w:pPr>
              <w:jc w:val="both"/>
              <w:rPr>
                <w:rFonts w:ascii="Arial" w:hAnsi="Arial" w:cs="Arial"/>
                <w:color w:val="000000"/>
                <w:sz w:val="20"/>
                <w:szCs w:val="20"/>
                <w:lang w:val="es-MX"/>
              </w:rPr>
            </w:pPr>
          </w:p>
          <w:p w14:paraId="1CA9C946" w14:textId="77777777" w:rsidR="00556DB0" w:rsidRPr="0056070E" w:rsidRDefault="00556DB0" w:rsidP="00556DB0">
            <w:pPr>
              <w:ind w:left="144" w:right="144"/>
              <w:jc w:val="both"/>
              <w:rPr>
                <w:rFonts w:ascii="Arial" w:hAnsi="Arial" w:cs="Arial"/>
                <w:color w:val="000000"/>
                <w:sz w:val="20"/>
                <w:szCs w:val="20"/>
                <w:lang w:val="es-MX"/>
              </w:rPr>
            </w:pPr>
            <w:r w:rsidRPr="0056070E">
              <w:rPr>
                <w:rFonts w:ascii="Arial" w:hAnsi="Arial" w:cs="Arial"/>
                <w:color w:val="000000"/>
                <w:sz w:val="20"/>
                <w:szCs w:val="20"/>
                <w:lang w:val="es-MX"/>
              </w:rPr>
              <w:t>Finalmente, impugnó el artículo 60, párrafo sexto,</w:t>
            </w:r>
            <w:r w:rsidRPr="0056070E">
              <w:rPr>
                <w:rFonts w:ascii="Arial" w:hAnsi="Arial" w:cs="Arial"/>
                <w:sz w:val="20"/>
                <w:szCs w:val="20"/>
              </w:rPr>
              <w:t xml:space="preserve"> </w:t>
            </w:r>
            <w:r w:rsidRPr="0056070E">
              <w:rPr>
                <w:rFonts w:ascii="Arial" w:hAnsi="Arial" w:cs="Arial"/>
                <w:color w:val="000000"/>
                <w:sz w:val="20"/>
                <w:szCs w:val="20"/>
                <w:lang w:val="es-MX"/>
              </w:rPr>
              <w:t>del Código Electoral del Estado de Aguascalientes, ya que consideró que es inconstitucional que el legislador establezca que la Contraloría Interna podrá seguir fiscalizando a las asociaciones políticas con base en las normas del propio Código, así como lo establecido en las leyes en materia de transparencia.</w:t>
            </w:r>
          </w:p>
          <w:p w14:paraId="19B27A51" w14:textId="77777777" w:rsidR="00556DB0" w:rsidRDefault="00556DB0" w:rsidP="00556DB0">
            <w:pPr>
              <w:ind w:left="144" w:right="144"/>
              <w:jc w:val="both"/>
              <w:rPr>
                <w:rFonts w:ascii="Arial" w:hAnsi="Arial" w:cs="Arial"/>
                <w:b/>
                <w:color w:val="000000"/>
                <w:sz w:val="20"/>
                <w:szCs w:val="20"/>
                <w:lang w:val="es-MX"/>
              </w:rPr>
            </w:pPr>
          </w:p>
          <w:p w14:paraId="6F0B33FD" w14:textId="7D950F66" w:rsidR="00556DB0" w:rsidRDefault="00556DB0" w:rsidP="00556DB0">
            <w:pPr>
              <w:ind w:left="144" w:right="144"/>
              <w:jc w:val="both"/>
              <w:rPr>
                <w:rFonts w:ascii="Arial" w:hAnsi="Arial" w:cs="Arial"/>
                <w:b/>
                <w:color w:val="000000"/>
                <w:sz w:val="20"/>
                <w:szCs w:val="20"/>
                <w:lang w:val="es-MX"/>
              </w:rPr>
            </w:pPr>
            <w:r w:rsidRPr="0056070E">
              <w:rPr>
                <w:rFonts w:ascii="Arial" w:hAnsi="Arial" w:cs="Arial"/>
                <w:b/>
                <w:color w:val="000000"/>
                <w:sz w:val="20"/>
                <w:szCs w:val="20"/>
                <w:lang w:val="es-MX"/>
              </w:rPr>
              <w:t>Consideraciones</w:t>
            </w:r>
            <w:r w:rsidR="00C75296">
              <w:rPr>
                <w:rFonts w:ascii="Arial" w:hAnsi="Arial" w:cs="Arial"/>
                <w:b/>
                <w:color w:val="000000"/>
                <w:sz w:val="20"/>
                <w:szCs w:val="20"/>
                <w:lang w:val="es-MX"/>
              </w:rPr>
              <w:t>.</w:t>
            </w:r>
          </w:p>
          <w:p w14:paraId="1BD66474" w14:textId="77777777" w:rsidR="00556DB0" w:rsidRPr="0056070E" w:rsidRDefault="00556DB0" w:rsidP="00556DB0">
            <w:pPr>
              <w:ind w:left="144" w:right="144"/>
              <w:jc w:val="both"/>
              <w:rPr>
                <w:rFonts w:ascii="Arial" w:hAnsi="Arial" w:cs="Arial"/>
                <w:color w:val="000000"/>
                <w:sz w:val="20"/>
                <w:szCs w:val="20"/>
                <w:lang w:val="es-MX"/>
              </w:rPr>
            </w:pPr>
          </w:p>
          <w:p w14:paraId="0AD86D37" w14:textId="77777777" w:rsidR="00556DB0" w:rsidRDefault="00556DB0" w:rsidP="00556DB0">
            <w:pPr>
              <w:ind w:left="144" w:right="144"/>
              <w:jc w:val="both"/>
              <w:rPr>
                <w:rFonts w:ascii="Arial" w:hAnsi="Arial" w:cs="Arial"/>
                <w:sz w:val="20"/>
                <w:szCs w:val="20"/>
                <w:lang w:val="es-MX"/>
              </w:rPr>
            </w:pPr>
            <w:r>
              <w:rPr>
                <w:rFonts w:ascii="Arial" w:hAnsi="Arial" w:cs="Arial"/>
                <w:color w:val="000000"/>
                <w:sz w:val="20"/>
                <w:szCs w:val="20"/>
                <w:lang w:val="es-MX"/>
              </w:rPr>
              <w:t>E</w:t>
            </w:r>
            <w:r w:rsidRPr="0056070E">
              <w:rPr>
                <w:rFonts w:ascii="Arial" w:hAnsi="Arial" w:cs="Arial"/>
                <w:color w:val="000000"/>
                <w:sz w:val="20"/>
                <w:szCs w:val="20"/>
                <w:lang w:val="es-MX"/>
              </w:rPr>
              <w:t xml:space="preserve">l Pleno </w:t>
            </w:r>
            <w:r>
              <w:rPr>
                <w:rFonts w:ascii="Arial" w:hAnsi="Arial" w:cs="Arial"/>
                <w:color w:val="000000"/>
                <w:sz w:val="20"/>
                <w:szCs w:val="20"/>
                <w:lang w:val="es-MX"/>
              </w:rPr>
              <w:t xml:space="preserve">de la SCJN, </w:t>
            </w:r>
            <w:r w:rsidRPr="00A24C86">
              <w:rPr>
                <w:rFonts w:ascii="Arial" w:hAnsi="Arial" w:cs="Arial"/>
                <w:b/>
                <w:color w:val="000000"/>
                <w:sz w:val="20"/>
                <w:szCs w:val="20"/>
                <w:lang w:val="es-MX"/>
              </w:rPr>
              <w:t>reconoció la validez</w:t>
            </w:r>
            <w:r>
              <w:rPr>
                <w:rFonts w:ascii="Arial" w:hAnsi="Arial" w:cs="Arial"/>
                <w:color w:val="000000"/>
                <w:sz w:val="20"/>
                <w:szCs w:val="20"/>
                <w:lang w:val="es-MX"/>
              </w:rPr>
              <w:t xml:space="preserve"> del </w:t>
            </w:r>
            <w:r w:rsidRPr="0056070E">
              <w:rPr>
                <w:rFonts w:ascii="Arial" w:hAnsi="Arial" w:cs="Arial"/>
                <w:color w:val="000000"/>
                <w:sz w:val="20"/>
                <w:szCs w:val="20"/>
                <w:lang w:val="es-MX"/>
              </w:rPr>
              <w:t>artículo 45</w:t>
            </w:r>
            <w:r>
              <w:rPr>
                <w:rFonts w:ascii="Arial" w:hAnsi="Arial" w:cs="Arial"/>
                <w:color w:val="000000"/>
                <w:sz w:val="20"/>
                <w:szCs w:val="20"/>
                <w:lang w:val="es-MX"/>
              </w:rPr>
              <w:t>,</w:t>
            </w:r>
            <w:r w:rsidRPr="0056070E">
              <w:rPr>
                <w:rFonts w:ascii="Arial" w:hAnsi="Arial" w:cs="Arial"/>
                <w:color w:val="000000"/>
                <w:sz w:val="20"/>
                <w:szCs w:val="20"/>
                <w:lang w:val="es-MX"/>
              </w:rPr>
              <w:t xml:space="preserve"> primer párrafo del del Código Electoral para el Estado de Aguascalientes</w:t>
            </w:r>
            <w:r>
              <w:rPr>
                <w:rFonts w:ascii="Arial" w:hAnsi="Arial" w:cs="Arial"/>
                <w:color w:val="000000"/>
                <w:sz w:val="20"/>
                <w:szCs w:val="20"/>
                <w:lang w:val="es-MX"/>
              </w:rPr>
              <w:t xml:space="preserve">, </w:t>
            </w:r>
            <w:r w:rsidRPr="0056070E">
              <w:rPr>
                <w:rFonts w:ascii="Arial" w:hAnsi="Arial" w:cs="Arial"/>
                <w:color w:val="000000"/>
                <w:sz w:val="20"/>
                <w:szCs w:val="20"/>
                <w:lang w:val="es-MX"/>
              </w:rPr>
              <w:t>porque las legislaturas estatales cuentan con un margen de libertad de configuración para nombrar a los titulares de la contraloría interna del Instituto Estatal Electoral</w:t>
            </w:r>
            <w:r>
              <w:rPr>
                <w:rFonts w:ascii="Arial" w:hAnsi="Arial" w:cs="Arial"/>
                <w:color w:val="000000"/>
                <w:sz w:val="20"/>
                <w:szCs w:val="20"/>
                <w:lang w:val="es-MX"/>
              </w:rPr>
              <w:t>, además de tener</w:t>
            </w:r>
            <w:r w:rsidRPr="0056070E">
              <w:rPr>
                <w:rFonts w:ascii="Arial" w:hAnsi="Arial" w:cs="Arial"/>
                <w:sz w:val="20"/>
                <w:szCs w:val="20"/>
                <w:lang w:val="es-MX"/>
              </w:rPr>
              <w:t xml:space="preserve"> autonomía e independencia para llevar a cabo</w:t>
            </w:r>
            <w:r>
              <w:rPr>
                <w:rFonts w:ascii="Arial" w:hAnsi="Arial" w:cs="Arial"/>
                <w:sz w:val="20"/>
                <w:szCs w:val="20"/>
                <w:lang w:val="es-MX"/>
              </w:rPr>
              <w:t xml:space="preserve"> tanto </w:t>
            </w:r>
            <w:r w:rsidRPr="0056070E">
              <w:rPr>
                <w:rFonts w:ascii="Arial" w:hAnsi="Arial" w:cs="Arial"/>
                <w:sz w:val="20"/>
                <w:szCs w:val="20"/>
                <w:lang w:val="es-MX"/>
              </w:rPr>
              <w:t xml:space="preserve">la fiscalización de los recursos asignados a los partidos políticos, como aquella de los recursos del propio Instituto, </w:t>
            </w:r>
            <w:r>
              <w:rPr>
                <w:rFonts w:ascii="Arial" w:hAnsi="Arial" w:cs="Arial"/>
                <w:sz w:val="20"/>
                <w:szCs w:val="20"/>
                <w:lang w:val="es-MX"/>
              </w:rPr>
              <w:t xml:space="preserve">por lo que </w:t>
            </w:r>
            <w:r w:rsidRPr="0056070E">
              <w:rPr>
                <w:rFonts w:ascii="Arial" w:hAnsi="Arial" w:cs="Arial"/>
                <w:sz w:val="20"/>
                <w:szCs w:val="20"/>
                <w:lang w:val="es-MX"/>
              </w:rPr>
              <w:t xml:space="preserve">no se ve trastocada por el hecho de que el Congreso del Estado designe al titular de la Contraloría del </w:t>
            </w:r>
            <w:r w:rsidRPr="0056070E">
              <w:rPr>
                <w:rFonts w:ascii="Arial" w:hAnsi="Arial" w:cs="Arial"/>
                <w:sz w:val="20"/>
                <w:szCs w:val="20"/>
                <w:lang w:val="es-MX" w:eastAsia="es-MX"/>
              </w:rPr>
              <w:t>Organismo Público Local Electoral</w:t>
            </w:r>
            <w:r w:rsidRPr="0056070E">
              <w:rPr>
                <w:rFonts w:ascii="Arial" w:hAnsi="Arial" w:cs="Arial"/>
                <w:sz w:val="20"/>
                <w:szCs w:val="20"/>
                <w:lang w:val="es-MX"/>
              </w:rPr>
              <w:t>.</w:t>
            </w:r>
          </w:p>
          <w:p w14:paraId="2BE29DDD" w14:textId="77777777" w:rsidR="00556DB0" w:rsidRPr="0056070E" w:rsidRDefault="00556DB0" w:rsidP="00556DB0">
            <w:pPr>
              <w:ind w:left="144" w:right="144"/>
              <w:jc w:val="both"/>
              <w:rPr>
                <w:rFonts w:ascii="Arial" w:hAnsi="Arial" w:cs="Arial"/>
                <w:color w:val="000000"/>
                <w:sz w:val="20"/>
                <w:szCs w:val="20"/>
                <w:lang w:val="es-MX"/>
              </w:rPr>
            </w:pPr>
          </w:p>
          <w:p w14:paraId="2FCEFAAF" w14:textId="77777777" w:rsidR="00556DB0" w:rsidRDefault="00556DB0" w:rsidP="00556DB0">
            <w:pPr>
              <w:pStyle w:val="Prrafodelista"/>
              <w:ind w:left="144" w:right="144"/>
              <w:jc w:val="both"/>
              <w:rPr>
                <w:rFonts w:ascii="Arial" w:hAnsi="Arial" w:cs="Arial"/>
                <w:sz w:val="20"/>
                <w:szCs w:val="20"/>
                <w:lang w:val="es-MX" w:eastAsia="es-MX"/>
              </w:rPr>
            </w:pPr>
            <w:r w:rsidRPr="0056070E">
              <w:rPr>
                <w:rFonts w:ascii="Arial" w:hAnsi="Arial" w:cs="Arial"/>
                <w:sz w:val="20"/>
                <w:szCs w:val="20"/>
                <w:lang w:val="es-MX" w:eastAsia="es-MX"/>
              </w:rPr>
              <w:t xml:space="preserve">La SCJN </w:t>
            </w:r>
            <w:r w:rsidRPr="00C55272">
              <w:rPr>
                <w:rFonts w:ascii="Arial" w:hAnsi="Arial" w:cs="Arial"/>
                <w:b/>
                <w:sz w:val="20"/>
                <w:szCs w:val="20"/>
                <w:lang w:val="es-MX" w:eastAsia="es-MX"/>
              </w:rPr>
              <w:t xml:space="preserve">desestimó la </w:t>
            </w:r>
            <w:r>
              <w:rPr>
                <w:rFonts w:ascii="Arial" w:hAnsi="Arial" w:cs="Arial"/>
                <w:b/>
                <w:sz w:val="20"/>
                <w:szCs w:val="20"/>
                <w:lang w:val="es-MX" w:eastAsia="es-MX"/>
              </w:rPr>
              <w:t xml:space="preserve">acción de </w:t>
            </w:r>
            <w:r w:rsidRPr="00C55272">
              <w:rPr>
                <w:rFonts w:ascii="Arial" w:hAnsi="Arial" w:cs="Arial"/>
                <w:b/>
                <w:sz w:val="20"/>
                <w:szCs w:val="20"/>
                <w:lang w:val="es-MX" w:eastAsia="es-MX"/>
              </w:rPr>
              <w:t>inconstitucionalidad</w:t>
            </w:r>
            <w:r w:rsidRPr="0056070E">
              <w:rPr>
                <w:rFonts w:ascii="Arial" w:hAnsi="Arial" w:cs="Arial"/>
                <w:sz w:val="20"/>
                <w:szCs w:val="20"/>
                <w:lang w:val="es-MX" w:eastAsia="es-MX"/>
              </w:rPr>
              <w:t xml:space="preserve"> </w:t>
            </w:r>
            <w:r>
              <w:rPr>
                <w:rFonts w:ascii="Arial" w:hAnsi="Arial" w:cs="Arial"/>
                <w:sz w:val="20"/>
                <w:szCs w:val="20"/>
                <w:lang w:val="es-MX" w:eastAsia="es-MX"/>
              </w:rPr>
              <w:t>respecto del</w:t>
            </w:r>
            <w:r w:rsidRPr="0056070E">
              <w:rPr>
                <w:rFonts w:ascii="Arial" w:hAnsi="Arial" w:cs="Arial"/>
                <w:sz w:val="20"/>
                <w:szCs w:val="20"/>
                <w:lang w:val="es-MX" w:eastAsia="es-MX"/>
              </w:rPr>
              <w:t xml:space="preserve"> artículo 48 del Código Electoral del Estado de Aguascalientes, </w:t>
            </w:r>
            <w:r>
              <w:rPr>
                <w:rFonts w:ascii="Arial" w:hAnsi="Arial" w:cs="Arial"/>
                <w:sz w:val="20"/>
                <w:szCs w:val="20"/>
                <w:lang w:val="es-MX" w:eastAsia="es-MX"/>
              </w:rPr>
              <w:t xml:space="preserve">ya que </w:t>
            </w:r>
            <w:r w:rsidRPr="0056070E">
              <w:rPr>
                <w:rFonts w:ascii="Arial" w:hAnsi="Arial" w:cs="Arial"/>
                <w:sz w:val="20"/>
                <w:szCs w:val="20"/>
                <w:lang w:val="es-MX" w:eastAsia="es-MX"/>
              </w:rPr>
              <w:t xml:space="preserve">en sesión de </w:t>
            </w:r>
            <w:r>
              <w:rPr>
                <w:rFonts w:ascii="Arial" w:hAnsi="Arial" w:cs="Arial"/>
                <w:sz w:val="20"/>
                <w:szCs w:val="20"/>
                <w:lang w:val="es-MX" w:eastAsia="es-MX"/>
              </w:rPr>
              <w:t>25</w:t>
            </w:r>
            <w:r w:rsidRPr="0056070E">
              <w:rPr>
                <w:rFonts w:ascii="Arial" w:hAnsi="Arial" w:cs="Arial"/>
                <w:sz w:val="20"/>
                <w:szCs w:val="20"/>
                <w:lang w:val="es-MX" w:eastAsia="es-MX"/>
              </w:rPr>
              <w:t xml:space="preserve"> de septiembre de</w:t>
            </w:r>
            <w:r>
              <w:rPr>
                <w:rFonts w:ascii="Arial" w:hAnsi="Arial" w:cs="Arial"/>
                <w:sz w:val="20"/>
                <w:szCs w:val="20"/>
                <w:lang w:val="es-MX" w:eastAsia="es-MX"/>
              </w:rPr>
              <w:t xml:space="preserve"> 2017,</w:t>
            </w:r>
            <w:r w:rsidRPr="0056070E">
              <w:rPr>
                <w:rFonts w:ascii="Arial" w:hAnsi="Arial" w:cs="Arial"/>
                <w:sz w:val="20"/>
                <w:szCs w:val="20"/>
                <w:lang w:val="es-MX" w:eastAsia="es-MX"/>
              </w:rPr>
              <w:t xml:space="preserve"> </w:t>
            </w:r>
            <w:r w:rsidRPr="00C55272">
              <w:rPr>
                <w:rFonts w:ascii="Arial" w:hAnsi="Arial" w:cs="Arial"/>
                <w:sz w:val="20"/>
                <w:szCs w:val="20"/>
                <w:lang w:val="es-MX" w:eastAsia="es-MX"/>
              </w:rPr>
              <w:t xml:space="preserve">se conformó una mayoría de </w:t>
            </w:r>
            <w:r>
              <w:rPr>
                <w:rFonts w:ascii="Arial" w:hAnsi="Arial" w:cs="Arial"/>
                <w:sz w:val="20"/>
                <w:szCs w:val="20"/>
                <w:lang w:val="es-MX" w:eastAsia="es-MX"/>
              </w:rPr>
              <w:t>7</w:t>
            </w:r>
            <w:r w:rsidRPr="00C55272">
              <w:rPr>
                <w:rFonts w:ascii="Arial" w:hAnsi="Arial" w:cs="Arial"/>
                <w:sz w:val="20"/>
                <w:szCs w:val="20"/>
                <w:lang w:val="es-MX" w:eastAsia="es-MX"/>
              </w:rPr>
              <w:t xml:space="preserve"> votos por la invalidez del precepto en cuestión, por lo que no se alcanzó la votación necesaria para declarar la invalidez de la norma conforme al artículo 105, fracción II, último párrafo, de la C</w:t>
            </w:r>
            <w:r>
              <w:rPr>
                <w:rFonts w:ascii="Arial" w:hAnsi="Arial" w:cs="Arial"/>
                <w:sz w:val="20"/>
                <w:szCs w:val="20"/>
                <w:lang w:val="es-MX" w:eastAsia="es-MX"/>
              </w:rPr>
              <w:t xml:space="preserve">PEUM, </w:t>
            </w:r>
            <w:r w:rsidRPr="0056070E">
              <w:rPr>
                <w:rFonts w:ascii="Arial" w:hAnsi="Arial" w:cs="Arial"/>
                <w:sz w:val="20"/>
                <w:szCs w:val="20"/>
                <w:lang w:val="es-MX" w:eastAsia="es-MX"/>
              </w:rPr>
              <w:t>el proyecto original presentado al Tribunal de Pleno proponía declarar que asistió razón al partido accionante al exponer que dicho precepto era violatorio de la Constitución Federal, al obligar al Contralor Interno del Instituto Electoral del Estado de Aguascalientes a rendir cuentas al Consejo General de este último respecto de las actividades de fiscalización a los partidos políticos</w:t>
            </w:r>
            <w:r>
              <w:rPr>
                <w:rFonts w:ascii="Arial" w:hAnsi="Arial" w:cs="Arial"/>
                <w:sz w:val="20"/>
                <w:szCs w:val="20"/>
                <w:lang w:val="es-MX" w:eastAsia="es-MX"/>
              </w:rPr>
              <w:t>, ya que</w:t>
            </w:r>
            <w:r w:rsidRPr="0056070E">
              <w:rPr>
                <w:rFonts w:ascii="Arial" w:hAnsi="Arial" w:cs="Arial"/>
                <w:sz w:val="20"/>
                <w:szCs w:val="20"/>
                <w:lang w:val="es-MX"/>
              </w:rPr>
              <w:t xml:space="preserve"> las entidades federativas cuentan con cierta libertad de configuración en cuanto a la materia de fiscalización de partidos políticos, cuando esa facultad sea delegada por el Instituto Nacional Electoral, lo cierto es que carecen de competencia para regular la forma, términos y reglas en que ésta debe llevarse a cabo, pues tal actividad deberá realizarse conforme a los Lineamientos, </w:t>
            </w:r>
            <w:r w:rsidRPr="0056070E">
              <w:rPr>
                <w:rFonts w:ascii="Arial" w:hAnsi="Arial" w:cs="Arial"/>
                <w:sz w:val="20"/>
                <w:szCs w:val="20"/>
                <w:lang w:val="es-MX" w:eastAsia="es-MX"/>
              </w:rPr>
              <w:t xml:space="preserve">Acuerdos Generales, normas técnicas y demás disposiciones que emita el Consejo General del INE. </w:t>
            </w:r>
          </w:p>
          <w:p w14:paraId="3273C56C" w14:textId="77777777" w:rsidR="00556DB0" w:rsidRDefault="00556DB0" w:rsidP="00556DB0">
            <w:pPr>
              <w:pStyle w:val="Prrafodelista"/>
              <w:ind w:left="144" w:right="144"/>
              <w:jc w:val="both"/>
              <w:rPr>
                <w:rFonts w:ascii="Arial" w:hAnsi="Arial" w:cs="Arial"/>
                <w:sz w:val="20"/>
                <w:szCs w:val="20"/>
                <w:lang w:val="es-MX" w:eastAsia="es-MX"/>
              </w:rPr>
            </w:pPr>
          </w:p>
          <w:p w14:paraId="1E697C67" w14:textId="77777777" w:rsidR="00556DB0" w:rsidRPr="0056070E" w:rsidRDefault="00556DB0" w:rsidP="00556DB0">
            <w:pPr>
              <w:pStyle w:val="Prrafodelista"/>
              <w:ind w:left="144" w:right="144"/>
              <w:jc w:val="both"/>
              <w:rPr>
                <w:rFonts w:ascii="Arial" w:hAnsi="Arial" w:cs="Arial"/>
                <w:sz w:val="20"/>
                <w:szCs w:val="20"/>
                <w:lang w:val="es-MX"/>
              </w:rPr>
            </w:pPr>
            <w:r>
              <w:rPr>
                <w:rFonts w:ascii="Arial" w:hAnsi="Arial" w:cs="Arial"/>
                <w:sz w:val="20"/>
                <w:szCs w:val="20"/>
                <w:lang w:val="es-MX" w:eastAsia="es-MX"/>
              </w:rPr>
              <w:lastRenderedPageBreak/>
              <w:t xml:space="preserve">Finalmente, el Pleno de la SCJN </w:t>
            </w:r>
            <w:r w:rsidRPr="00E65895">
              <w:rPr>
                <w:rFonts w:ascii="Arial" w:hAnsi="Arial" w:cs="Arial"/>
                <w:b/>
                <w:sz w:val="20"/>
                <w:szCs w:val="20"/>
                <w:lang w:val="es-MX" w:eastAsia="es-MX"/>
              </w:rPr>
              <w:t>reconoció la validez</w:t>
            </w:r>
            <w:r w:rsidRPr="00E65895">
              <w:rPr>
                <w:rFonts w:ascii="Arial" w:hAnsi="Arial" w:cs="Arial"/>
                <w:sz w:val="20"/>
                <w:szCs w:val="20"/>
                <w:lang w:val="es-MX" w:eastAsia="es-MX"/>
              </w:rPr>
              <w:t xml:space="preserve"> de</w:t>
            </w:r>
            <w:r>
              <w:t xml:space="preserve"> </w:t>
            </w:r>
            <w:r w:rsidRPr="00E65895">
              <w:rPr>
                <w:rFonts w:ascii="Arial" w:hAnsi="Arial" w:cs="Arial"/>
                <w:sz w:val="20"/>
                <w:szCs w:val="20"/>
                <w:lang w:val="es-MX" w:eastAsia="es-MX"/>
              </w:rPr>
              <w:t>artículo 60, párrafo sexto, del Código Electoral del Estado de Aguascalientes</w:t>
            </w:r>
            <w:r>
              <w:rPr>
                <w:rFonts w:ascii="Arial" w:hAnsi="Arial" w:cs="Arial"/>
                <w:sz w:val="20"/>
                <w:szCs w:val="20"/>
                <w:lang w:val="es-MX" w:eastAsia="es-MX"/>
              </w:rPr>
              <w:t xml:space="preserve">, ya que la fiscalización que se advierte de tal precepto, </w:t>
            </w:r>
            <w:r w:rsidRPr="00E65895">
              <w:rPr>
                <w:rFonts w:ascii="Arial" w:hAnsi="Arial" w:cs="Arial"/>
                <w:sz w:val="20"/>
                <w:szCs w:val="20"/>
                <w:lang w:val="es-MX" w:eastAsia="es-MX"/>
              </w:rPr>
              <w:t>no se refiere a partidos políticos, sino a las asociaciones políticas, figuras totalmente distintas, en términos del propio Código</w:t>
            </w:r>
            <w:r>
              <w:rPr>
                <w:rFonts w:ascii="Arial" w:hAnsi="Arial" w:cs="Arial"/>
                <w:sz w:val="20"/>
                <w:szCs w:val="20"/>
                <w:lang w:val="es-MX" w:eastAsia="es-MX"/>
              </w:rPr>
              <w:t>, en decir, las</w:t>
            </w:r>
            <w:r w:rsidRPr="00E65895">
              <w:rPr>
                <w:rFonts w:ascii="Arial" w:hAnsi="Arial" w:cs="Arial"/>
                <w:sz w:val="20"/>
                <w:szCs w:val="20"/>
                <w:lang w:val="es-MX" w:eastAsia="es-MX"/>
              </w:rPr>
              <w:t xml:space="preserve"> asociaciones políticas, en términos del artículo 58 del Código impugnado, son formas de agrupación ciudadana que coadyuvan</w:t>
            </w:r>
            <w:r>
              <w:rPr>
                <w:rFonts w:ascii="Arial" w:hAnsi="Arial" w:cs="Arial"/>
                <w:sz w:val="20"/>
                <w:szCs w:val="20"/>
                <w:lang w:val="es-MX" w:eastAsia="es-MX"/>
              </w:rPr>
              <w:t xml:space="preserve"> en el</w:t>
            </w:r>
            <w:r w:rsidRPr="00E65895">
              <w:rPr>
                <w:rFonts w:ascii="Arial" w:hAnsi="Arial" w:cs="Arial"/>
                <w:sz w:val="20"/>
                <w:szCs w:val="20"/>
                <w:lang w:val="es-MX" w:eastAsia="es-MX"/>
              </w:rPr>
              <w:t xml:space="preserve"> desarrollo de la vida democrática y de la cultura política, así como a la creación de una opinión pública mejor informada</w:t>
            </w:r>
            <w:r>
              <w:rPr>
                <w:rFonts w:ascii="Arial" w:hAnsi="Arial" w:cs="Arial"/>
                <w:sz w:val="20"/>
                <w:szCs w:val="20"/>
                <w:lang w:val="es-MX" w:eastAsia="es-MX"/>
              </w:rPr>
              <w:t>, por lo que</w:t>
            </w:r>
            <w:r w:rsidRPr="00E65895">
              <w:rPr>
                <w:rFonts w:ascii="Arial" w:hAnsi="Arial" w:cs="Arial"/>
                <w:sz w:val="20"/>
                <w:szCs w:val="20"/>
                <w:lang w:val="es-MX" w:eastAsia="es-MX"/>
              </w:rPr>
              <w:t xml:space="preserve"> no p</w:t>
            </w:r>
            <w:r>
              <w:rPr>
                <w:rFonts w:ascii="Arial" w:hAnsi="Arial" w:cs="Arial"/>
                <w:sz w:val="20"/>
                <w:szCs w:val="20"/>
                <w:lang w:val="es-MX" w:eastAsia="es-MX"/>
              </w:rPr>
              <w:t>ueden</w:t>
            </w:r>
            <w:r w:rsidRPr="00E65895">
              <w:rPr>
                <w:rFonts w:ascii="Arial" w:hAnsi="Arial" w:cs="Arial"/>
                <w:sz w:val="20"/>
                <w:szCs w:val="20"/>
                <w:lang w:val="es-MX" w:eastAsia="es-MX"/>
              </w:rPr>
              <w:t xml:space="preserve"> utilizar</w:t>
            </w:r>
            <w:r>
              <w:rPr>
                <w:rFonts w:ascii="Arial" w:hAnsi="Arial" w:cs="Arial"/>
                <w:sz w:val="20"/>
                <w:szCs w:val="20"/>
                <w:lang w:val="es-MX" w:eastAsia="es-MX"/>
              </w:rPr>
              <w:t>se</w:t>
            </w:r>
            <w:r w:rsidRPr="00E65895">
              <w:rPr>
                <w:rFonts w:ascii="Arial" w:hAnsi="Arial" w:cs="Arial"/>
                <w:sz w:val="20"/>
                <w:szCs w:val="20"/>
                <w:lang w:val="es-MX" w:eastAsia="es-MX"/>
              </w:rPr>
              <w:t xml:space="preserve"> bajo ninguna circunstancia las denominaciones de “partido” o “partido político”</w:t>
            </w:r>
            <w:r>
              <w:rPr>
                <w:rFonts w:ascii="Arial" w:hAnsi="Arial" w:cs="Arial"/>
                <w:sz w:val="20"/>
                <w:szCs w:val="20"/>
                <w:lang w:val="es-MX" w:eastAsia="es-MX"/>
              </w:rPr>
              <w:t>.</w:t>
            </w:r>
          </w:p>
          <w:p w14:paraId="4FD64FC9" w14:textId="77777777" w:rsidR="00556DB0" w:rsidRDefault="00556DB0" w:rsidP="00556DB0">
            <w:pPr>
              <w:pStyle w:val="Prrafodelista"/>
              <w:ind w:left="144" w:right="144"/>
              <w:jc w:val="both"/>
              <w:rPr>
                <w:rFonts w:ascii="Arial" w:hAnsi="Arial" w:cs="Arial"/>
                <w:b/>
                <w:sz w:val="20"/>
                <w:szCs w:val="20"/>
                <w:lang w:val="es-MX"/>
              </w:rPr>
            </w:pPr>
          </w:p>
          <w:p w14:paraId="6BBFC016" w14:textId="77777777" w:rsidR="00556DB0" w:rsidRDefault="00556DB0" w:rsidP="00556DB0">
            <w:pPr>
              <w:pStyle w:val="Prrafodelista"/>
              <w:ind w:left="144" w:right="144"/>
              <w:jc w:val="both"/>
              <w:rPr>
                <w:rFonts w:ascii="Arial" w:hAnsi="Arial" w:cs="Arial"/>
                <w:b/>
                <w:sz w:val="20"/>
                <w:szCs w:val="20"/>
                <w:lang w:val="es-MX"/>
              </w:rPr>
            </w:pPr>
          </w:p>
          <w:p w14:paraId="363905AD" w14:textId="77777777" w:rsidR="00556DB0" w:rsidRDefault="00556DB0" w:rsidP="00556DB0">
            <w:pPr>
              <w:pStyle w:val="Prrafodelista"/>
              <w:ind w:left="144" w:right="144"/>
              <w:jc w:val="both"/>
              <w:rPr>
                <w:rFonts w:ascii="Arial" w:hAnsi="Arial" w:cs="Arial"/>
                <w:b/>
                <w:sz w:val="20"/>
                <w:szCs w:val="20"/>
                <w:lang w:val="es-MX"/>
              </w:rPr>
            </w:pPr>
            <w:r>
              <w:rPr>
                <w:rFonts w:ascii="Arial" w:hAnsi="Arial" w:cs="Arial"/>
                <w:b/>
                <w:sz w:val="20"/>
                <w:szCs w:val="20"/>
                <w:lang w:val="es-MX"/>
              </w:rPr>
              <w:t>Resolutivos:</w:t>
            </w:r>
          </w:p>
          <w:p w14:paraId="3D1846F0" w14:textId="77777777" w:rsidR="00556DB0" w:rsidRDefault="00556DB0" w:rsidP="00556DB0">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6766306A" w14:textId="77777777" w:rsidR="00556DB0" w:rsidRDefault="00556DB0" w:rsidP="00556DB0">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22B177FC" w14:textId="77777777" w:rsidR="00C75296" w:rsidRDefault="00556DB0" w:rsidP="00C75296">
            <w:pPr>
              <w:pStyle w:val="Prrafodelista"/>
              <w:ind w:left="144" w:right="144"/>
              <w:jc w:val="both"/>
              <w:rPr>
                <w:rFonts w:ascii="Arial" w:hAnsi="Arial" w:cs="Arial"/>
                <w:b/>
                <w:sz w:val="20"/>
                <w:szCs w:val="20"/>
                <w:lang w:val="es-MX"/>
              </w:rPr>
            </w:pPr>
            <w:r>
              <w:rPr>
                <w:rFonts w:ascii="Arial" w:hAnsi="Arial" w:cs="Arial"/>
                <w:b/>
                <w:sz w:val="20"/>
                <w:szCs w:val="20"/>
                <w:lang w:val="es-MX"/>
              </w:rPr>
              <w:t>.</w:t>
            </w:r>
            <w:r w:rsidR="00C75296">
              <w:rPr>
                <w:rFonts w:ascii="Arial" w:hAnsi="Arial" w:cs="Arial"/>
                <w:b/>
                <w:sz w:val="20"/>
                <w:szCs w:val="20"/>
                <w:lang w:val="es-MX"/>
              </w:rPr>
              <w:t xml:space="preserve"> </w:t>
            </w:r>
          </w:p>
          <w:p w14:paraId="4E0DC9BA" w14:textId="3DC0A61D" w:rsidR="00C75296" w:rsidRDefault="00C75296" w:rsidP="00C75296">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565C3A6F" w14:textId="0200BA71" w:rsidR="00556DB0" w:rsidRDefault="00556DB0" w:rsidP="00556DB0">
            <w:pPr>
              <w:pStyle w:val="Prrafodelista"/>
              <w:ind w:left="144" w:right="144"/>
              <w:jc w:val="both"/>
              <w:rPr>
                <w:rFonts w:ascii="Arial" w:hAnsi="Arial" w:cs="Arial"/>
                <w:b/>
                <w:sz w:val="20"/>
                <w:szCs w:val="20"/>
                <w:lang w:val="es-MX"/>
              </w:rPr>
            </w:pPr>
          </w:p>
          <w:p w14:paraId="2B3A8BB1" w14:textId="77777777" w:rsidR="00556DB0" w:rsidRPr="00B54622" w:rsidRDefault="00556DB0" w:rsidP="00556DB0">
            <w:pPr>
              <w:pStyle w:val="Prrafodelista"/>
              <w:ind w:left="144" w:right="144"/>
              <w:jc w:val="both"/>
              <w:rPr>
                <w:rFonts w:ascii="Arial" w:hAnsi="Arial" w:cs="Arial"/>
                <w:b/>
                <w:sz w:val="20"/>
                <w:szCs w:val="20"/>
                <w:lang w:val="es-MX"/>
              </w:rPr>
            </w:pPr>
            <w:r w:rsidRPr="00B54622">
              <w:rPr>
                <w:rFonts w:ascii="Arial" w:hAnsi="Arial" w:cs="Arial"/>
                <w:b/>
                <w:sz w:val="20"/>
                <w:szCs w:val="20"/>
                <w:lang w:val="es-MX"/>
              </w:rPr>
              <w:t xml:space="preserve">SEGUNDO. </w:t>
            </w:r>
            <w:r w:rsidRPr="00B54622">
              <w:rPr>
                <w:rFonts w:ascii="Arial" w:hAnsi="Arial" w:cs="Arial"/>
                <w:sz w:val="20"/>
                <w:szCs w:val="20"/>
                <w:lang w:val="es-MX"/>
              </w:rPr>
              <w:t>Se desestim</w:t>
            </w:r>
            <w:r>
              <w:rPr>
                <w:rFonts w:ascii="Arial" w:hAnsi="Arial" w:cs="Arial"/>
                <w:sz w:val="20"/>
                <w:szCs w:val="20"/>
                <w:lang w:val="es-MX"/>
              </w:rPr>
              <w:t>ó</w:t>
            </w:r>
            <w:r w:rsidRPr="00B54622">
              <w:rPr>
                <w:rFonts w:ascii="Arial" w:hAnsi="Arial" w:cs="Arial"/>
                <w:sz w:val="20"/>
                <w:szCs w:val="20"/>
                <w:lang w:val="es-MX"/>
              </w:rPr>
              <w:t xml:space="preserve"> la presente acción de inconstitucionalidad respecto de la impugnación de los artículos 45, párrafo quinto, y 48 del Código Electoral del Estado de Aguascalientes, así como del artículo transitorio cuarto del Decreto 91, que reforma ese Código, publicado en el Periódico Oficial de dicha entidad el veintinueve de mayo de dos mil diecisiete</w:t>
            </w:r>
            <w:r w:rsidRPr="00B54622">
              <w:rPr>
                <w:rFonts w:ascii="Arial" w:hAnsi="Arial" w:cs="Arial"/>
                <w:b/>
                <w:sz w:val="20"/>
                <w:szCs w:val="20"/>
                <w:lang w:val="es-MX"/>
              </w:rPr>
              <w:t>.</w:t>
            </w:r>
          </w:p>
          <w:p w14:paraId="000DD734" w14:textId="77777777" w:rsidR="00556DB0" w:rsidRPr="00B54622" w:rsidRDefault="00556DB0" w:rsidP="00556DB0">
            <w:pPr>
              <w:pStyle w:val="Prrafodelista"/>
              <w:ind w:left="144" w:right="144"/>
              <w:jc w:val="both"/>
              <w:rPr>
                <w:rFonts w:ascii="Arial" w:hAnsi="Arial" w:cs="Arial"/>
                <w:b/>
                <w:sz w:val="20"/>
                <w:szCs w:val="20"/>
                <w:lang w:val="es-MX"/>
              </w:rPr>
            </w:pPr>
          </w:p>
          <w:p w14:paraId="2E058776" w14:textId="77777777" w:rsidR="00556DB0" w:rsidRPr="0056070E" w:rsidRDefault="00556DB0" w:rsidP="00556DB0">
            <w:pPr>
              <w:pStyle w:val="Prrafodelista"/>
              <w:ind w:left="144" w:right="144"/>
              <w:jc w:val="both"/>
              <w:rPr>
                <w:rFonts w:ascii="Arial" w:hAnsi="Arial" w:cs="Arial"/>
                <w:b/>
                <w:sz w:val="20"/>
                <w:szCs w:val="20"/>
                <w:lang w:val="es-MX"/>
              </w:rPr>
            </w:pPr>
            <w:r w:rsidRPr="00B54622">
              <w:rPr>
                <w:rFonts w:ascii="Arial" w:hAnsi="Arial" w:cs="Arial"/>
                <w:b/>
                <w:sz w:val="20"/>
                <w:szCs w:val="20"/>
                <w:lang w:val="es-MX"/>
              </w:rPr>
              <w:t xml:space="preserve">TERCERO. </w:t>
            </w:r>
            <w:r w:rsidRPr="00B54622">
              <w:rPr>
                <w:rFonts w:ascii="Arial" w:hAnsi="Arial" w:cs="Arial"/>
                <w:sz w:val="20"/>
                <w:szCs w:val="20"/>
                <w:lang w:val="es-MX"/>
              </w:rPr>
              <w:t>Se reconoc</w:t>
            </w:r>
            <w:r>
              <w:rPr>
                <w:rFonts w:ascii="Arial" w:hAnsi="Arial" w:cs="Arial"/>
                <w:sz w:val="20"/>
                <w:szCs w:val="20"/>
                <w:lang w:val="es-MX"/>
              </w:rPr>
              <w:t>ió</w:t>
            </w:r>
            <w:r w:rsidRPr="00B54622">
              <w:rPr>
                <w:rFonts w:ascii="Arial" w:hAnsi="Arial" w:cs="Arial"/>
                <w:sz w:val="20"/>
                <w:szCs w:val="20"/>
                <w:lang w:val="es-MX"/>
              </w:rPr>
              <w:t xml:space="preserve"> la validez de los artículos 45, párrafo primero, 57 D, fracción II, y 60, párrafo sexto, del Código Electoral del Estado de Aguascalientes, reformado mediante Decreto 91, publicado en el Periódico Oficial de dicha entidad el veintinueve de mayo de dos mil diecisiete</w:t>
            </w:r>
            <w:r>
              <w:rPr>
                <w:rFonts w:ascii="Arial" w:hAnsi="Arial" w:cs="Arial"/>
                <w:sz w:val="20"/>
                <w:szCs w:val="20"/>
                <w:lang w:val="es-MX"/>
              </w:rPr>
              <w:t>.</w:t>
            </w:r>
          </w:p>
          <w:p w14:paraId="5DB63638" w14:textId="77777777" w:rsidR="00C75296" w:rsidRDefault="00C75296" w:rsidP="00C75296">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324AEC39" w14:textId="77777777" w:rsidR="00C75296" w:rsidRDefault="00C75296" w:rsidP="00C75296">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7F550412" w14:textId="77777777" w:rsidR="00C75296" w:rsidRDefault="00C75296" w:rsidP="00C75296">
            <w:pPr>
              <w:pStyle w:val="Prrafodelista"/>
              <w:ind w:left="144" w:right="144"/>
              <w:jc w:val="both"/>
              <w:rPr>
                <w:rFonts w:ascii="Arial" w:hAnsi="Arial" w:cs="Arial"/>
                <w:b/>
                <w:sz w:val="20"/>
                <w:szCs w:val="20"/>
                <w:lang w:val="es-MX"/>
              </w:rPr>
            </w:pPr>
            <w:r>
              <w:rPr>
                <w:rFonts w:ascii="Arial" w:hAnsi="Arial" w:cs="Arial"/>
                <w:b/>
                <w:sz w:val="20"/>
                <w:szCs w:val="20"/>
                <w:lang w:val="es-MX"/>
              </w:rPr>
              <w:t xml:space="preserve">. </w:t>
            </w:r>
          </w:p>
          <w:p w14:paraId="7B8A1DAC" w14:textId="77777777" w:rsidR="00C75296" w:rsidRDefault="00C75296" w:rsidP="00C75296">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5266F119" w14:textId="77777777" w:rsidR="00C75296" w:rsidRDefault="00C75296" w:rsidP="00556DB0">
            <w:pPr>
              <w:pStyle w:val="Prrafodelista"/>
              <w:ind w:left="144" w:right="144"/>
              <w:jc w:val="both"/>
              <w:rPr>
                <w:rFonts w:ascii="Arial" w:hAnsi="Arial" w:cs="Arial"/>
                <w:b/>
                <w:sz w:val="20"/>
                <w:szCs w:val="20"/>
                <w:lang w:val="es-ES_tradnl"/>
              </w:rPr>
            </w:pPr>
          </w:p>
          <w:p w14:paraId="71D8874A" w14:textId="7CA1487D" w:rsidR="00556DB0" w:rsidRDefault="00556DB0" w:rsidP="00556DB0">
            <w:pPr>
              <w:pStyle w:val="Prrafodelista"/>
              <w:ind w:left="144" w:right="144"/>
              <w:jc w:val="both"/>
              <w:rPr>
                <w:rFonts w:ascii="Arial" w:hAnsi="Arial" w:cs="Arial"/>
                <w:b/>
                <w:sz w:val="20"/>
                <w:szCs w:val="20"/>
                <w:lang w:val="es-ES_tradnl"/>
              </w:rPr>
            </w:pPr>
            <w:r w:rsidRPr="00B54622">
              <w:rPr>
                <w:rFonts w:ascii="Arial" w:hAnsi="Arial" w:cs="Arial"/>
                <w:b/>
                <w:sz w:val="20"/>
                <w:szCs w:val="20"/>
                <w:lang w:val="es-ES_tradnl"/>
              </w:rPr>
              <w:t>En relación con el punto resolutivo segundo:</w:t>
            </w:r>
          </w:p>
          <w:p w14:paraId="0B545E5C" w14:textId="77777777" w:rsidR="00C75296" w:rsidRDefault="00C75296" w:rsidP="00C75296">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3EB4A2C0" w14:textId="77777777" w:rsidR="00C75296" w:rsidRDefault="00C75296" w:rsidP="00C75296">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32D4637C" w14:textId="77777777" w:rsidR="00C75296" w:rsidRDefault="00C75296" w:rsidP="00C75296">
            <w:pPr>
              <w:pStyle w:val="Prrafodelista"/>
              <w:ind w:left="144" w:right="144"/>
              <w:jc w:val="both"/>
              <w:rPr>
                <w:rFonts w:ascii="Arial" w:hAnsi="Arial" w:cs="Arial"/>
                <w:b/>
                <w:sz w:val="20"/>
                <w:szCs w:val="20"/>
                <w:lang w:val="es-MX"/>
              </w:rPr>
            </w:pPr>
            <w:r>
              <w:rPr>
                <w:rFonts w:ascii="Arial" w:hAnsi="Arial" w:cs="Arial"/>
                <w:b/>
                <w:sz w:val="20"/>
                <w:szCs w:val="20"/>
                <w:lang w:val="es-MX"/>
              </w:rPr>
              <w:t xml:space="preserve">. </w:t>
            </w:r>
          </w:p>
          <w:p w14:paraId="18F96DAE" w14:textId="77777777" w:rsidR="00C75296" w:rsidRDefault="00C75296" w:rsidP="00C75296">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087472E0" w14:textId="77777777" w:rsidR="00556DB0" w:rsidRDefault="00556DB0" w:rsidP="00556DB0">
            <w:pPr>
              <w:pStyle w:val="Prrafodelista"/>
              <w:ind w:left="144" w:right="144"/>
              <w:jc w:val="both"/>
              <w:rPr>
                <w:rFonts w:ascii="Arial" w:hAnsi="Arial" w:cs="Arial"/>
                <w:b/>
                <w:sz w:val="20"/>
                <w:szCs w:val="20"/>
                <w:lang w:val="es-ES_tradnl"/>
              </w:rPr>
            </w:pPr>
          </w:p>
          <w:p w14:paraId="76679F6A" w14:textId="77777777" w:rsidR="00556DB0" w:rsidRPr="00B54622" w:rsidRDefault="00556DB0" w:rsidP="00556DB0">
            <w:pPr>
              <w:pStyle w:val="Prrafodelista"/>
              <w:ind w:left="144" w:right="144"/>
              <w:jc w:val="both"/>
              <w:rPr>
                <w:rFonts w:ascii="Arial" w:hAnsi="Arial" w:cs="Arial"/>
                <w:sz w:val="20"/>
                <w:szCs w:val="20"/>
                <w:lang w:val="es-ES_tradnl"/>
              </w:rPr>
            </w:pPr>
            <w:r w:rsidRPr="00B54622">
              <w:rPr>
                <w:rFonts w:ascii="Arial" w:hAnsi="Arial" w:cs="Arial"/>
                <w:sz w:val="20"/>
                <w:szCs w:val="20"/>
                <w:lang w:val="es-ES_tradnl"/>
              </w:rPr>
              <w:t>Se expresó una mayoría de</w:t>
            </w:r>
            <w:r>
              <w:rPr>
                <w:rFonts w:ascii="Arial" w:hAnsi="Arial" w:cs="Arial"/>
                <w:sz w:val="20"/>
                <w:szCs w:val="20"/>
                <w:lang w:val="es-ES_tradnl"/>
              </w:rPr>
              <w:t xml:space="preserve"> 7</w:t>
            </w:r>
            <w:r w:rsidRPr="00B54622">
              <w:rPr>
                <w:rFonts w:ascii="Arial" w:hAnsi="Arial" w:cs="Arial"/>
                <w:sz w:val="20"/>
                <w:szCs w:val="20"/>
                <w:lang w:val="es-ES_tradnl"/>
              </w:rPr>
              <w:t xml:space="preserve"> votos de los Ministros Gutiérrez Ortiz Mena, Franco González Salas, Zaldívar Lelo de Larrea, Pardo Rebolledo, Piña Hernández, Pérez Dayán y Presidente en funciones Cossío Díaz apartándose de algunas consideraciones, respecto del considerando quinto, relativo al estudio de fondo, en su tema II, denominado “sobre la facultad para fiscalizar a los partidos políticos, sus coaliciones, candidaturas comunes y de los candidatos a cargos de elección popular”, consistente en declarar la invalidez del artículo </w:t>
            </w:r>
            <w:r w:rsidRPr="00B54622">
              <w:rPr>
                <w:rFonts w:ascii="Arial" w:hAnsi="Arial" w:cs="Arial"/>
                <w:sz w:val="20"/>
                <w:szCs w:val="20"/>
                <w:lang w:val="es-ES_tradnl"/>
              </w:rPr>
              <w:lastRenderedPageBreak/>
              <w:t xml:space="preserve">48 del Código Electoral del Estado de Aguascalientes. Los </w:t>
            </w:r>
            <w:proofErr w:type="gramStart"/>
            <w:r w:rsidRPr="00B54622">
              <w:rPr>
                <w:rFonts w:ascii="Arial" w:hAnsi="Arial" w:cs="Arial"/>
                <w:sz w:val="20"/>
                <w:szCs w:val="20"/>
                <w:lang w:val="es-ES_tradnl"/>
              </w:rPr>
              <w:t>Ministros</w:t>
            </w:r>
            <w:proofErr w:type="gramEnd"/>
            <w:r w:rsidRPr="00B54622">
              <w:rPr>
                <w:rFonts w:ascii="Arial" w:hAnsi="Arial" w:cs="Arial"/>
                <w:sz w:val="20"/>
                <w:szCs w:val="20"/>
                <w:lang w:val="es-ES_tradnl"/>
              </w:rPr>
              <w:t xml:space="preserve"> Luna Ramos y Laynez Potisek votaron en contra. El </w:t>
            </w:r>
            <w:proofErr w:type="gramStart"/>
            <w:r w:rsidRPr="00B54622">
              <w:rPr>
                <w:rFonts w:ascii="Arial" w:hAnsi="Arial" w:cs="Arial"/>
                <w:sz w:val="20"/>
                <w:szCs w:val="20"/>
                <w:lang w:val="es-ES_tradnl"/>
              </w:rPr>
              <w:t>Ministro</w:t>
            </w:r>
            <w:proofErr w:type="gramEnd"/>
            <w:r w:rsidRPr="00B54622">
              <w:rPr>
                <w:rFonts w:ascii="Arial" w:hAnsi="Arial" w:cs="Arial"/>
                <w:sz w:val="20"/>
                <w:szCs w:val="20"/>
                <w:lang w:val="es-ES_tradnl"/>
              </w:rPr>
              <w:t xml:space="preserve"> Laynez Potisek anunció voto particular.</w:t>
            </w:r>
          </w:p>
          <w:p w14:paraId="005B8D83" w14:textId="77777777" w:rsidR="00556DB0" w:rsidRDefault="00556DB0" w:rsidP="00556DB0">
            <w:pPr>
              <w:pStyle w:val="Prrafodelista"/>
              <w:ind w:left="144" w:right="144"/>
              <w:jc w:val="both"/>
              <w:rPr>
                <w:rFonts w:ascii="Arial" w:hAnsi="Arial" w:cs="Arial"/>
                <w:b/>
                <w:sz w:val="20"/>
                <w:szCs w:val="20"/>
                <w:lang w:val="es-ES_tradnl"/>
              </w:rPr>
            </w:pPr>
          </w:p>
          <w:p w14:paraId="5350928F" w14:textId="77777777" w:rsidR="00556DB0" w:rsidRDefault="00556DB0" w:rsidP="00556DB0">
            <w:pPr>
              <w:pStyle w:val="Prrafodelista"/>
              <w:ind w:left="144" w:right="144"/>
              <w:jc w:val="both"/>
              <w:rPr>
                <w:rFonts w:ascii="Arial" w:hAnsi="Arial" w:cs="Arial"/>
                <w:b/>
                <w:sz w:val="20"/>
                <w:szCs w:val="20"/>
                <w:lang w:val="es-ES_tradnl"/>
              </w:rPr>
            </w:pPr>
            <w:r w:rsidRPr="00B54622">
              <w:rPr>
                <w:rFonts w:ascii="Arial" w:hAnsi="Arial" w:cs="Arial"/>
                <w:b/>
                <w:sz w:val="20"/>
                <w:szCs w:val="20"/>
                <w:lang w:val="es-ES_tradnl"/>
              </w:rPr>
              <w:t>En relación con el punto resolutivo tercero:</w:t>
            </w:r>
          </w:p>
          <w:p w14:paraId="33F179B0" w14:textId="77777777" w:rsidR="00C75296" w:rsidRDefault="00C75296" w:rsidP="00C75296">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51D627BC" w14:textId="77777777" w:rsidR="00C75296" w:rsidRDefault="00C75296" w:rsidP="00C75296">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1FBF2620" w14:textId="77777777" w:rsidR="00C75296" w:rsidRDefault="00C75296" w:rsidP="00C75296">
            <w:pPr>
              <w:pStyle w:val="Prrafodelista"/>
              <w:ind w:left="144" w:right="144"/>
              <w:jc w:val="both"/>
              <w:rPr>
                <w:rFonts w:ascii="Arial" w:hAnsi="Arial" w:cs="Arial"/>
                <w:b/>
                <w:sz w:val="20"/>
                <w:szCs w:val="20"/>
                <w:lang w:val="es-MX"/>
              </w:rPr>
            </w:pPr>
            <w:r>
              <w:rPr>
                <w:rFonts w:ascii="Arial" w:hAnsi="Arial" w:cs="Arial"/>
                <w:b/>
                <w:sz w:val="20"/>
                <w:szCs w:val="20"/>
                <w:lang w:val="es-MX"/>
              </w:rPr>
              <w:t xml:space="preserve">. </w:t>
            </w:r>
          </w:p>
          <w:p w14:paraId="03265067" w14:textId="77777777" w:rsidR="00C75296" w:rsidRDefault="00C75296" w:rsidP="00C75296">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55136C17" w14:textId="77777777" w:rsidR="00556DB0" w:rsidRPr="00B54622" w:rsidRDefault="00556DB0" w:rsidP="00556DB0">
            <w:pPr>
              <w:pStyle w:val="Prrafodelista"/>
              <w:ind w:left="144" w:right="144"/>
              <w:jc w:val="both"/>
              <w:rPr>
                <w:rFonts w:ascii="Arial" w:hAnsi="Arial" w:cs="Arial"/>
                <w:sz w:val="20"/>
                <w:szCs w:val="20"/>
                <w:lang w:val="es-ES_tradnl"/>
              </w:rPr>
            </w:pPr>
          </w:p>
          <w:p w14:paraId="6526850C" w14:textId="77777777" w:rsidR="00556DB0" w:rsidRDefault="00556DB0" w:rsidP="00556DB0">
            <w:pPr>
              <w:pStyle w:val="Prrafodelista"/>
              <w:ind w:left="144" w:right="144"/>
              <w:jc w:val="both"/>
              <w:rPr>
                <w:rFonts w:ascii="Arial" w:hAnsi="Arial" w:cs="Arial"/>
                <w:sz w:val="20"/>
                <w:szCs w:val="20"/>
                <w:lang w:val="es-ES_tradnl"/>
              </w:rPr>
            </w:pPr>
            <w:r w:rsidRPr="00B54622">
              <w:rPr>
                <w:rFonts w:ascii="Arial" w:hAnsi="Arial" w:cs="Arial"/>
                <w:sz w:val="20"/>
                <w:szCs w:val="20"/>
                <w:lang w:val="es-ES_tradnl"/>
              </w:rPr>
              <w:t xml:space="preserve">Se aprobó por unanimidad de </w:t>
            </w:r>
            <w:r>
              <w:rPr>
                <w:rFonts w:ascii="Arial" w:hAnsi="Arial" w:cs="Arial"/>
                <w:sz w:val="20"/>
                <w:szCs w:val="20"/>
                <w:lang w:val="es-ES_tradnl"/>
              </w:rPr>
              <w:t>9</w:t>
            </w:r>
            <w:r w:rsidRPr="00B54622">
              <w:rPr>
                <w:rFonts w:ascii="Arial" w:hAnsi="Arial" w:cs="Arial"/>
                <w:sz w:val="20"/>
                <w:szCs w:val="20"/>
                <w:lang w:val="es-ES_tradnl"/>
              </w:rPr>
              <w:t xml:space="preserve"> votos de los Ministros Gutiérrez Ortiz Mena, Luna Ramos, Franco González Salas, Zaldívar Lelo de Larrea, Pardo Rebolledo, Piña Hernández, Laynez Potisek, Pérez Dayán y Presidente en funciones Cossío Díaz, respecto del considerando quinto, relativo al estudio de fondo, en su tema II, denominado “sobre la facultad para fiscalizar a los partidos políticos, sus coaliciones, candidaturas comunes y de los candidatos a cargos de elección popular”, consistente en reconocer la validez de los artículos 45, párrafo primero, y 60, párrafo sexto, del Código Electoral del Estado de Aguascalientes.</w:t>
            </w:r>
          </w:p>
          <w:p w14:paraId="6FE72A6D" w14:textId="77777777" w:rsidR="00C75296" w:rsidRDefault="00C75296" w:rsidP="00C75296">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12537B7C" w14:textId="77777777" w:rsidR="00C75296" w:rsidRDefault="00C75296" w:rsidP="00C75296">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27B4ED09" w14:textId="77777777" w:rsidR="00C75296" w:rsidRDefault="00C75296" w:rsidP="00C75296">
            <w:pPr>
              <w:pStyle w:val="Prrafodelista"/>
              <w:ind w:left="144" w:right="144"/>
              <w:jc w:val="both"/>
              <w:rPr>
                <w:rFonts w:ascii="Arial" w:hAnsi="Arial" w:cs="Arial"/>
                <w:b/>
                <w:sz w:val="20"/>
                <w:szCs w:val="20"/>
                <w:lang w:val="es-MX"/>
              </w:rPr>
            </w:pPr>
            <w:r>
              <w:rPr>
                <w:rFonts w:ascii="Arial" w:hAnsi="Arial" w:cs="Arial"/>
                <w:b/>
                <w:sz w:val="20"/>
                <w:szCs w:val="20"/>
                <w:lang w:val="es-MX"/>
              </w:rPr>
              <w:t xml:space="preserve">. </w:t>
            </w:r>
          </w:p>
          <w:p w14:paraId="62F63375" w14:textId="77777777" w:rsidR="00C75296" w:rsidRDefault="00C75296" w:rsidP="00C75296">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11CAFD45" w14:textId="77777777" w:rsidR="00556DB0" w:rsidRDefault="00556DB0" w:rsidP="00556DB0">
            <w:pPr>
              <w:pStyle w:val="Prrafodelista"/>
              <w:ind w:left="144" w:right="144"/>
              <w:jc w:val="both"/>
              <w:rPr>
                <w:rFonts w:ascii="Arial" w:hAnsi="Arial" w:cs="Arial"/>
                <w:sz w:val="20"/>
                <w:szCs w:val="20"/>
                <w:lang w:val="es-ES_tradnl"/>
              </w:rPr>
            </w:pPr>
          </w:p>
          <w:p w14:paraId="6EC08920" w14:textId="77777777" w:rsidR="00556DB0" w:rsidRDefault="00556DB0" w:rsidP="00556DB0">
            <w:pPr>
              <w:pStyle w:val="Ttulo1"/>
              <w:spacing w:before="1"/>
              <w:ind w:left="252" w:right="176"/>
              <w:rPr>
                <w:bCs w:val="0"/>
                <w:sz w:val="20"/>
                <w:szCs w:val="20"/>
              </w:rPr>
            </w:pPr>
          </w:p>
        </w:tc>
      </w:tr>
      <w:tr w:rsidR="00556DB0" w:rsidRPr="00ED2D84" w14:paraId="27220A6E" w14:textId="77777777" w:rsidTr="00C75296">
        <w:trPr>
          <w:trHeight w:val="283"/>
        </w:trPr>
        <w:tc>
          <w:tcPr>
            <w:tcW w:w="1877" w:type="dxa"/>
            <w:vAlign w:val="center"/>
          </w:tcPr>
          <w:p w14:paraId="27220A5F" w14:textId="24DA8665" w:rsidR="00556DB0" w:rsidRPr="00ED2D84" w:rsidRDefault="00556DB0" w:rsidP="00C75296">
            <w:pPr>
              <w:ind w:left="170" w:right="198"/>
              <w:jc w:val="center"/>
              <w:rPr>
                <w:rFonts w:ascii="Arial" w:hAnsi="Arial" w:cs="Arial"/>
                <w:b/>
                <w:sz w:val="20"/>
                <w:szCs w:val="20"/>
                <w:lang w:val="es-MX"/>
              </w:rPr>
            </w:pPr>
          </w:p>
          <w:p w14:paraId="299413CC" w14:textId="77777777" w:rsidR="00556DB0" w:rsidRPr="00ED2D84" w:rsidRDefault="00AF100A" w:rsidP="00C75296">
            <w:pPr>
              <w:ind w:left="170" w:right="198"/>
              <w:jc w:val="center"/>
              <w:rPr>
                <w:rStyle w:val="Hipervnculo"/>
                <w:rFonts w:ascii="Arial" w:hAnsi="Arial" w:cs="Arial"/>
                <w:b/>
                <w:sz w:val="20"/>
                <w:szCs w:val="20"/>
                <w:lang w:val="es-MX"/>
              </w:rPr>
            </w:pPr>
            <w:hyperlink r:id="rId11" w:history="1">
              <w:r w:rsidR="00556DB0" w:rsidRPr="00ED2D84">
                <w:rPr>
                  <w:rStyle w:val="Hipervnculo"/>
                  <w:rFonts w:ascii="Arial" w:hAnsi="Arial" w:cs="Arial"/>
                  <w:b/>
                  <w:sz w:val="20"/>
                  <w:szCs w:val="20"/>
                  <w:lang w:val="es-MX"/>
                </w:rPr>
                <w:t>63/2017 y sus acumuladas 65/2017, 66/017, 67/2017, 68/2017, 70/2017, 71/2017, 72/2017, 74/2017 y 75/2017</w:t>
              </w:r>
            </w:hyperlink>
          </w:p>
          <w:p w14:paraId="0F6DEE1A" w14:textId="77777777" w:rsidR="00556DB0" w:rsidRPr="00ED2D84" w:rsidRDefault="00556DB0" w:rsidP="00C75296">
            <w:pPr>
              <w:ind w:left="170" w:right="198"/>
              <w:jc w:val="center"/>
              <w:rPr>
                <w:rStyle w:val="Hipervnculo"/>
                <w:rFonts w:ascii="Arial" w:hAnsi="Arial" w:cs="Arial"/>
                <w:sz w:val="20"/>
                <w:szCs w:val="20"/>
              </w:rPr>
            </w:pPr>
          </w:p>
          <w:p w14:paraId="27220A60" w14:textId="681D399D" w:rsidR="00556DB0" w:rsidRPr="00C4535A" w:rsidRDefault="00556DB0" w:rsidP="00C75296">
            <w:pPr>
              <w:ind w:left="170" w:right="198"/>
              <w:jc w:val="center"/>
              <w:rPr>
                <w:rFonts w:ascii="Arial" w:hAnsi="Arial" w:cs="Arial"/>
                <w:b/>
                <w:bCs/>
                <w:sz w:val="20"/>
                <w:szCs w:val="20"/>
                <w:lang w:val="es-MX"/>
              </w:rPr>
            </w:pPr>
            <w:r w:rsidRPr="00C4535A">
              <w:rPr>
                <w:rStyle w:val="Hipervnculo"/>
                <w:rFonts w:ascii="Arial" w:hAnsi="Arial" w:cs="Arial"/>
                <w:b/>
                <w:bCs/>
                <w:color w:val="auto"/>
                <w:sz w:val="20"/>
                <w:szCs w:val="20"/>
                <w:u w:val="none"/>
              </w:rPr>
              <w:t>CDMX</w:t>
            </w:r>
          </w:p>
        </w:tc>
        <w:tc>
          <w:tcPr>
            <w:tcW w:w="12294" w:type="dxa"/>
          </w:tcPr>
          <w:p w14:paraId="76989475" w14:textId="51975129" w:rsidR="00556DB0" w:rsidRPr="00ED2D84" w:rsidRDefault="00556DB0" w:rsidP="00556DB0">
            <w:pPr>
              <w:pStyle w:val="Prrafodelista"/>
              <w:numPr>
                <w:ilvl w:val="0"/>
                <w:numId w:val="9"/>
              </w:numPr>
              <w:shd w:val="clear" w:color="auto" w:fill="FFFFFF"/>
              <w:ind w:left="170" w:right="198" w:hanging="170"/>
              <w:jc w:val="both"/>
              <w:rPr>
                <w:rFonts w:ascii="Arial" w:hAnsi="Arial" w:cs="Arial"/>
                <w:sz w:val="20"/>
                <w:szCs w:val="20"/>
                <w:lang w:val="es-MX"/>
              </w:rPr>
            </w:pPr>
            <w:r w:rsidRPr="00ED2D84">
              <w:rPr>
                <w:rFonts w:ascii="Arial" w:hAnsi="Arial" w:cs="Arial"/>
                <w:b/>
                <w:sz w:val="20"/>
                <w:szCs w:val="20"/>
              </w:rPr>
              <w:t>Nombramiento, por única ocasión, del titular de la unidad técnica de fiscalización del Instituto Electoral del Distrito Federal, por parte de la asamblea legislativa</w:t>
            </w:r>
            <w:r w:rsidRPr="00ED2D84">
              <w:rPr>
                <w:rFonts w:ascii="Arial" w:hAnsi="Arial" w:cs="Arial"/>
                <w:sz w:val="20"/>
                <w:szCs w:val="20"/>
                <w:lang w:val="es-MX"/>
              </w:rPr>
              <w:t>.</w:t>
            </w:r>
          </w:p>
          <w:p w14:paraId="35117181" w14:textId="77777777" w:rsidR="00556DB0" w:rsidRPr="00ED2D84" w:rsidRDefault="00556DB0" w:rsidP="00556DB0">
            <w:pPr>
              <w:shd w:val="clear" w:color="auto" w:fill="FFFFFF"/>
              <w:ind w:left="170" w:right="198"/>
              <w:jc w:val="both"/>
              <w:rPr>
                <w:rFonts w:ascii="Arial" w:hAnsi="Arial" w:cs="Arial"/>
                <w:sz w:val="20"/>
                <w:szCs w:val="20"/>
                <w:lang w:val="es-MX"/>
              </w:rPr>
            </w:pPr>
          </w:p>
          <w:p w14:paraId="35320ADA" w14:textId="3376FB6F" w:rsidR="00556DB0" w:rsidRPr="00ED2D84" w:rsidRDefault="00556DB0" w:rsidP="00556DB0">
            <w:pPr>
              <w:shd w:val="clear" w:color="auto" w:fill="FFFFFF"/>
              <w:ind w:left="170" w:right="198"/>
              <w:jc w:val="both"/>
              <w:rPr>
                <w:rFonts w:ascii="Arial" w:hAnsi="Arial" w:cs="Arial"/>
                <w:sz w:val="20"/>
                <w:szCs w:val="20"/>
                <w:lang w:val="es-MX"/>
              </w:rPr>
            </w:pPr>
            <w:r w:rsidRPr="00ED2D84">
              <w:rPr>
                <w:rFonts w:ascii="Arial" w:hAnsi="Arial" w:cs="Arial"/>
                <w:sz w:val="20"/>
                <w:szCs w:val="20"/>
                <w:lang w:val="es-MX"/>
              </w:rPr>
              <w:t xml:space="preserve">El Partido Político Morena impugnó el artículo vigésimo séptimo transitorio del Código de Instituciones y Procedimientos Electorales de la Ciudad de México, porque a su consideración violentó los artículos 1, 14, 16, 41, base V, apartado B, numeral 6, 116, párrafos primero y segundo, fracción IV, incisos b) y c), 122, apartado A, fracción IX y 124 de la CPEUM, al autorizar una intromisión indebida del órgano legislativo en detrimento de la autonomía en el funcionamiento y la independencia en las decisiones que las leyes electorales locales deben garantizar en la actuación del organismo público local electoral, en lo relativo a las funciones delegadas o de su propia competencia. </w:t>
            </w:r>
          </w:p>
          <w:p w14:paraId="5BD72768" w14:textId="77777777" w:rsidR="00556DB0" w:rsidRPr="00ED2D84" w:rsidRDefault="00556DB0" w:rsidP="00556DB0">
            <w:pPr>
              <w:shd w:val="clear" w:color="auto" w:fill="FFFFFF"/>
              <w:ind w:left="170" w:right="198"/>
              <w:jc w:val="both"/>
              <w:rPr>
                <w:rFonts w:ascii="Arial" w:hAnsi="Arial" w:cs="Arial"/>
                <w:sz w:val="20"/>
                <w:szCs w:val="20"/>
                <w:lang w:val="es-MX"/>
              </w:rPr>
            </w:pPr>
          </w:p>
          <w:p w14:paraId="27220A65" w14:textId="2B702627" w:rsidR="00556DB0" w:rsidRPr="00ED2D84" w:rsidRDefault="00556DB0" w:rsidP="00556DB0">
            <w:pPr>
              <w:ind w:left="170" w:right="198"/>
              <w:jc w:val="both"/>
              <w:rPr>
                <w:rFonts w:ascii="Arial" w:hAnsi="Arial" w:cs="Arial"/>
                <w:color w:val="000000"/>
                <w:sz w:val="20"/>
                <w:szCs w:val="20"/>
                <w:lang w:val="es-MX"/>
              </w:rPr>
            </w:pPr>
            <w:r w:rsidRPr="00ED2D84">
              <w:rPr>
                <w:rFonts w:ascii="Arial" w:hAnsi="Arial" w:cs="Arial"/>
                <w:b/>
                <w:color w:val="000000"/>
                <w:sz w:val="20"/>
                <w:szCs w:val="20"/>
                <w:lang w:val="es-MX"/>
              </w:rPr>
              <w:t>Consideraciones.</w:t>
            </w:r>
          </w:p>
          <w:p w14:paraId="04D06028" w14:textId="77777777" w:rsidR="00556DB0" w:rsidRPr="00ED2D84" w:rsidRDefault="00556DB0" w:rsidP="00556DB0">
            <w:pPr>
              <w:pStyle w:val="corte4fondo"/>
              <w:spacing w:line="240" w:lineRule="auto"/>
              <w:ind w:left="170" w:right="198" w:firstLine="0"/>
              <w:rPr>
                <w:rFonts w:cs="Arial"/>
                <w:color w:val="000000"/>
                <w:sz w:val="20"/>
                <w:lang w:val="es-MX"/>
              </w:rPr>
            </w:pPr>
          </w:p>
          <w:p w14:paraId="6688ADFF" w14:textId="61167C8B" w:rsidR="00556DB0" w:rsidRPr="00ED2D84" w:rsidRDefault="00556DB0" w:rsidP="00556DB0">
            <w:pPr>
              <w:pStyle w:val="corte4fondo"/>
              <w:spacing w:line="240" w:lineRule="auto"/>
              <w:ind w:left="170" w:right="198" w:firstLine="0"/>
              <w:rPr>
                <w:rFonts w:cs="Arial"/>
                <w:sz w:val="20"/>
                <w:lang w:val="es-MX"/>
              </w:rPr>
            </w:pPr>
            <w:r w:rsidRPr="00ED2D84">
              <w:rPr>
                <w:rFonts w:cs="Arial"/>
                <w:b/>
                <w:bCs/>
                <w:color w:val="000000"/>
                <w:sz w:val="20"/>
                <w:lang w:val="es-MX"/>
              </w:rPr>
              <w:t xml:space="preserve">La SCJN declaró </w:t>
            </w:r>
            <w:r w:rsidRPr="00ED2D84">
              <w:rPr>
                <w:rFonts w:cs="Arial"/>
                <w:b/>
                <w:bCs/>
                <w:sz w:val="20"/>
                <w:lang w:val="es-MX"/>
              </w:rPr>
              <w:t>la invalidez</w:t>
            </w:r>
            <w:r w:rsidRPr="00ED2D84">
              <w:rPr>
                <w:rFonts w:cs="Arial"/>
                <w:sz w:val="20"/>
                <w:lang w:val="es-MX"/>
              </w:rPr>
              <w:t xml:space="preserve"> del artículo impugnado, debido a que el nombramiento del titular de la Unidad de Fiscalización por parte de la Asamblea Legislativa implica una intromisión indebida del órgano legislativo local, que vulnera la autonomía e independencia constitucional del organismo público local electoral en el ejercicio de sus competencias, sean éstas propias o delegadas, en términos de lo establecido en el artículo 116, fracción IV, incisos b) y c), constitucional.</w:t>
            </w:r>
          </w:p>
          <w:p w14:paraId="36B4D768" w14:textId="77777777" w:rsidR="00556DB0" w:rsidRPr="00ED2D84" w:rsidRDefault="00556DB0" w:rsidP="00556DB0">
            <w:pPr>
              <w:pStyle w:val="corte4fondo"/>
              <w:spacing w:line="240" w:lineRule="auto"/>
              <w:ind w:left="170" w:right="198" w:firstLine="0"/>
              <w:rPr>
                <w:rFonts w:cs="Arial"/>
                <w:sz w:val="20"/>
                <w:lang w:val="es-MX"/>
              </w:rPr>
            </w:pPr>
          </w:p>
          <w:p w14:paraId="32424111" w14:textId="07F14A0D" w:rsidR="00556DB0" w:rsidRPr="00ED2D84" w:rsidRDefault="00556DB0" w:rsidP="00556DB0">
            <w:pPr>
              <w:pStyle w:val="corte4fondo"/>
              <w:spacing w:line="240" w:lineRule="auto"/>
              <w:ind w:left="170" w:right="198" w:firstLine="0"/>
              <w:rPr>
                <w:rFonts w:cs="Arial"/>
                <w:sz w:val="20"/>
                <w:lang w:val="es-MX"/>
              </w:rPr>
            </w:pPr>
            <w:r w:rsidRPr="00ED2D84">
              <w:rPr>
                <w:rFonts w:cs="Arial"/>
                <w:sz w:val="20"/>
                <w:lang w:val="es-MX"/>
              </w:rPr>
              <w:t>En este sentido, el Tribunal Pleno consideró que corresponde exclusivamente al Consejo General del Instituto Electoral del Distrito Federal definir el nombramiento del funcionario titular de la Unidad de Fiscalización, al ser el órgano encargado de ejercer las facultades de fiscalización que lleguen a ser delegadas por el Instituto Nacional Electoral.</w:t>
            </w:r>
          </w:p>
          <w:p w14:paraId="2B5A9E66" w14:textId="77777777" w:rsidR="00556DB0" w:rsidRPr="00ED2D84" w:rsidRDefault="00556DB0" w:rsidP="00556DB0">
            <w:pPr>
              <w:pStyle w:val="corte4fondo"/>
              <w:spacing w:line="240" w:lineRule="auto"/>
              <w:ind w:left="170" w:right="198" w:firstLine="0"/>
              <w:rPr>
                <w:rFonts w:cs="Arial"/>
                <w:sz w:val="20"/>
                <w:lang w:val="es-MX"/>
              </w:rPr>
            </w:pPr>
          </w:p>
          <w:p w14:paraId="1FB8B8B4" w14:textId="77777777" w:rsidR="00556DB0" w:rsidRPr="00ED2D84" w:rsidRDefault="00556DB0" w:rsidP="00556DB0">
            <w:pPr>
              <w:pStyle w:val="corte4fondo"/>
              <w:spacing w:line="240" w:lineRule="auto"/>
              <w:ind w:left="170" w:right="198" w:firstLine="0"/>
              <w:rPr>
                <w:rFonts w:cs="Arial"/>
                <w:b/>
                <w:sz w:val="20"/>
              </w:rPr>
            </w:pPr>
            <w:r w:rsidRPr="00ED2D84">
              <w:rPr>
                <w:rFonts w:cs="Arial"/>
                <w:b/>
                <w:sz w:val="20"/>
              </w:rPr>
              <w:t>Resolutivo.</w:t>
            </w:r>
          </w:p>
          <w:p w14:paraId="5EC84B5B" w14:textId="77777777" w:rsidR="00556DB0" w:rsidRPr="00ED2D84" w:rsidRDefault="00556DB0" w:rsidP="00556DB0">
            <w:pPr>
              <w:pStyle w:val="corte4fondo"/>
              <w:spacing w:line="240" w:lineRule="auto"/>
              <w:ind w:left="170" w:right="198" w:firstLine="0"/>
              <w:rPr>
                <w:rFonts w:cs="Arial"/>
                <w:b/>
                <w:sz w:val="20"/>
              </w:rPr>
            </w:pPr>
            <w:r w:rsidRPr="00ED2D84">
              <w:rPr>
                <w:rFonts w:cs="Arial"/>
                <w:b/>
                <w:sz w:val="20"/>
              </w:rPr>
              <w:t>.</w:t>
            </w:r>
          </w:p>
          <w:p w14:paraId="205F0D83" w14:textId="77777777" w:rsidR="00556DB0" w:rsidRPr="00ED2D84" w:rsidRDefault="00556DB0" w:rsidP="00556DB0">
            <w:pPr>
              <w:pStyle w:val="corte4fondo"/>
              <w:spacing w:line="240" w:lineRule="auto"/>
              <w:ind w:left="170" w:right="198" w:firstLine="0"/>
              <w:rPr>
                <w:rFonts w:cs="Arial"/>
                <w:b/>
                <w:sz w:val="20"/>
              </w:rPr>
            </w:pPr>
            <w:r w:rsidRPr="00ED2D84">
              <w:rPr>
                <w:rFonts w:cs="Arial"/>
                <w:b/>
                <w:sz w:val="20"/>
              </w:rPr>
              <w:t>.</w:t>
            </w:r>
          </w:p>
          <w:p w14:paraId="4B36DF8F" w14:textId="77777777" w:rsidR="00556DB0" w:rsidRPr="00ED2D84" w:rsidRDefault="00556DB0" w:rsidP="00556DB0">
            <w:pPr>
              <w:pStyle w:val="corte4fondo"/>
              <w:spacing w:line="240" w:lineRule="auto"/>
              <w:ind w:left="170" w:right="198" w:firstLine="0"/>
              <w:rPr>
                <w:rFonts w:cs="Arial"/>
                <w:b/>
                <w:sz w:val="20"/>
              </w:rPr>
            </w:pPr>
            <w:r w:rsidRPr="00ED2D84">
              <w:rPr>
                <w:rFonts w:cs="Arial"/>
                <w:b/>
                <w:sz w:val="20"/>
              </w:rPr>
              <w:t>.</w:t>
            </w:r>
          </w:p>
          <w:p w14:paraId="7E1AA1FA" w14:textId="77777777" w:rsidR="00556DB0" w:rsidRPr="00ED2D84" w:rsidRDefault="00556DB0" w:rsidP="00556DB0">
            <w:pPr>
              <w:pStyle w:val="corte4fondo"/>
              <w:spacing w:line="240" w:lineRule="auto"/>
              <w:ind w:left="170" w:right="198" w:firstLine="0"/>
              <w:rPr>
                <w:rFonts w:cs="Arial"/>
                <w:b/>
                <w:sz w:val="20"/>
              </w:rPr>
            </w:pPr>
            <w:r w:rsidRPr="00ED2D84">
              <w:rPr>
                <w:rFonts w:cs="Arial"/>
                <w:b/>
                <w:sz w:val="20"/>
              </w:rPr>
              <w:t>(…)</w:t>
            </w:r>
          </w:p>
          <w:p w14:paraId="415FE38E" w14:textId="77777777" w:rsidR="00556DB0" w:rsidRPr="00ED2D84" w:rsidRDefault="00556DB0" w:rsidP="00556DB0">
            <w:pPr>
              <w:pStyle w:val="corte4fondo"/>
              <w:spacing w:line="240" w:lineRule="auto"/>
              <w:ind w:left="170" w:right="198" w:firstLine="0"/>
              <w:rPr>
                <w:rFonts w:cs="Arial"/>
                <w:b/>
                <w:sz w:val="20"/>
              </w:rPr>
            </w:pPr>
          </w:p>
          <w:p w14:paraId="1A083EFA" w14:textId="4031098E" w:rsidR="00556DB0" w:rsidRPr="00ED2D84" w:rsidRDefault="00556DB0" w:rsidP="00556DB0">
            <w:pPr>
              <w:pStyle w:val="corte4fondo"/>
              <w:spacing w:line="240" w:lineRule="auto"/>
              <w:ind w:left="170" w:right="198" w:firstLine="0"/>
              <w:rPr>
                <w:rFonts w:cs="Arial"/>
                <w:sz w:val="20"/>
              </w:rPr>
            </w:pPr>
            <w:r w:rsidRPr="00ED2D84">
              <w:rPr>
                <w:rFonts w:cs="Arial"/>
                <w:b/>
                <w:sz w:val="20"/>
              </w:rPr>
              <w:t>NOVENO.</w:t>
            </w:r>
            <w:r w:rsidRPr="00ED2D84">
              <w:rPr>
                <w:rFonts w:cs="Arial"/>
                <w:sz w:val="20"/>
              </w:rPr>
              <w:t xml:space="preserve"> Se declaró la invalidez de los artículos 27, fracciones I, II, IV y VI -esta última en las porciones normativas “treinta y tres”, previstas en su acápite y en su inciso d), así como “superior al cuatro por ciento de su votación local emitida”, también prevista en su acápite-,</w:t>
            </w:r>
            <w:r w:rsidRPr="00ED2D84">
              <w:rPr>
                <w:rFonts w:cs="Arial"/>
                <w:spacing w:val="-2"/>
                <w:sz w:val="20"/>
              </w:rPr>
              <w:t xml:space="preserve"> 201, párrafo primero y 444, fracción III, en la porción normativa “</w:t>
            </w:r>
            <w:r w:rsidRPr="00ED2D84">
              <w:rPr>
                <w:rFonts w:cs="Arial"/>
                <w:sz w:val="20"/>
              </w:rPr>
              <w:t xml:space="preserve">En el caso de que el elector marque uno o más cuadros o círculos, el voto se asignará al partido postulante.”, del Código de Instituciones y Procedimientos Electorales de la Ciudad de México; de los artículos 353, fracciones III, IV, V, VIII, XII, XIII, XIV, XV, XVI, XVII, XVIII, XIX, XX, XXI, XXII, XXIII, XXIV, XXV, XXVI y XXVII, 354, fracciones VII, IX y X, 356, fracciones I, V, VI, IX, X y XI, 356 bis, 357, 358 bis, 358 ter, 358 </w:t>
            </w:r>
            <w:proofErr w:type="spellStart"/>
            <w:r w:rsidRPr="00ED2D84">
              <w:rPr>
                <w:rFonts w:cs="Arial"/>
                <w:sz w:val="20"/>
              </w:rPr>
              <w:t>quater</w:t>
            </w:r>
            <w:proofErr w:type="spellEnd"/>
            <w:r w:rsidRPr="00ED2D84">
              <w:rPr>
                <w:rFonts w:cs="Arial"/>
                <w:sz w:val="20"/>
              </w:rPr>
              <w:t>, 360 bis y 360 ter del Código Penal para el Distrito Federal; así como de los artículos transitorios vigésimo tercero, en la porción normativa “y del Contralor Interno del Tribunal Electoral del Distrito Federal” y vigésimo séptimo del Código Electoral referido.</w:t>
            </w:r>
          </w:p>
          <w:p w14:paraId="5B892804" w14:textId="77777777" w:rsidR="00556DB0" w:rsidRPr="00ED2D84" w:rsidRDefault="00556DB0" w:rsidP="00556DB0">
            <w:pPr>
              <w:pStyle w:val="corte4fondo"/>
              <w:spacing w:line="240" w:lineRule="auto"/>
              <w:ind w:left="170" w:right="198" w:firstLine="0"/>
              <w:rPr>
                <w:rFonts w:cs="Arial"/>
                <w:b/>
                <w:sz w:val="20"/>
              </w:rPr>
            </w:pPr>
            <w:r w:rsidRPr="00ED2D84">
              <w:rPr>
                <w:rFonts w:cs="Arial"/>
                <w:b/>
                <w:sz w:val="20"/>
              </w:rPr>
              <w:t>.</w:t>
            </w:r>
          </w:p>
          <w:p w14:paraId="37D11225" w14:textId="77777777" w:rsidR="00556DB0" w:rsidRPr="00ED2D84" w:rsidRDefault="00556DB0" w:rsidP="00556DB0">
            <w:pPr>
              <w:pStyle w:val="corte4fondo"/>
              <w:spacing w:line="240" w:lineRule="auto"/>
              <w:ind w:left="170" w:right="198" w:firstLine="0"/>
              <w:rPr>
                <w:rFonts w:cs="Arial"/>
                <w:b/>
                <w:sz w:val="20"/>
              </w:rPr>
            </w:pPr>
            <w:r w:rsidRPr="00ED2D84">
              <w:rPr>
                <w:rFonts w:cs="Arial"/>
                <w:b/>
                <w:sz w:val="20"/>
              </w:rPr>
              <w:t>.</w:t>
            </w:r>
          </w:p>
          <w:p w14:paraId="6AB1F679" w14:textId="77777777" w:rsidR="00556DB0" w:rsidRPr="00ED2D84" w:rsidRDefault="00556DB0" w:rsidP="00556DB0">
            <w:pPr>
              <w:pStyle w:val="corte4fondo"/>
              <w:spacing w:line="240" w:lineRule="auto"/>
              <w:ind w:left="170" w:right="198" w:firstLine="0"/>
              <w:rPr>
                <w:rFonts w:cs="Arial"/>
                <w:b/>
                <w:sz w:val="20"/>
              </w:rPr>
            </w:pPr>
            <w:r w:rsidRPr="00ED2D84">
              <w:rPr>
                <w:rFonts w:cs="Arial"/>
                <w:b/>
                <w:sz w:val="20"/>
              </w:rPr>
              <w:t>.</w:t>
            </w:r>
          </w:p>
          <w:p w14:paraId="3E277F67" w14:textId="77777777" w:rsidR="00556DB0" w:rsidRPr="00ED2D84" w:rsidRDefault="00556DB0" w:rsidP="00556DB0">
            <w:pPr>
              <w:pStyle w:val="corte4fondo"/>
              <w:spacing w:line="240" w:lineRule="auto"/>
              <w:ind w:left="170" w:right="198" w:firstLine="0"/>
              <w:rPr>
                <w:rFonts w:cs="Arial"/>
                <w:b/>
                <w:sz w:val="20"/>
              </w:rPr>
            </w:pPr>
            <w:r w:rsidRPr="00ED2D84">
              <w:rPr>
                <w:rFonts w:cs="Arial"/>
                <w:b/>
                <w:sz w:val="20"/>
              </w:rPr>
              <w:t>(…)</w:t>
            </w:r>
          </w:p>
          <w:p w14:paraId="5DD67333" w14:textId="77777777" w:rsidR="00556DB0" w:rsidRPr="00ED2D84" w:rsidRDefault="00556DB0" w:rsidP="00556DB0">
            <w:pPr>
              <w:pStyle w:val="corte4fondo"/>
              <w:spacing w:line="240" w:lineRule="auto"/>
              <w:ind w:left="170" w:right="198" w:firstLine="0"/>
              <w:rPr>
                <w:rFonts w:cs="Arial"/>
                <w:b/>
                <w:sz w:val="20"/>
              </w:rPr>
            </w:pPr>
          </w:p>
          <w:p w14:paraId="59E5490E" w14:textId="0C4F6B5D" w:rsidR="00556DB0" w:rsidRPr="00ED2D84" w:rsidRDefault="00556DB0" w:rsidP="00556DB0">
            <w:pPr>
              <w:pStyle w:val="corte4fondo"/>
              <w:spacing w:line="240" w:lineRule="auto"/>
              <w:ind w:left="170" w:right="198" w:firstLine="0"/>
              <w:rPr>
                <w:rFonts w:cs="Arial"/>
                <w:b/>
                <w:sz w:val="20"/>
              </w:rPr>
            </w:pPr>
            <w:r w:rsidRPr="00ED2D84">
              <w:rPr>
                <w:rFonts w:cs="Arial"/>
                <w:b/>
                <w:sz w:val="20"/>
              </w:rPr>
              <w:t>En relación con el punto resolutivo noveno:</w:t>
            </w:r>
          </w:p>
          <w:p w14:paraId="1E230549" w14:textId="77777777" w:rsidR="00556DB0" w:rsidRPr="00ED2D84" w:rsidRDefault="00556DB0" w:rsidP="00556DB0">
            <w:pPr>
              <w:pStyle w:val="corte4fondo"/>
              <w:spacing w:line="240" w:lineRule="auto"/>
              <w:ind w:left="170" w:right="198" w:firstLine="0"/>
              <w:rPr>
                <w:rFonts w:cs="Arial"/>
                <w:b/>
                <w:sz w:val="20"/>
              </w:rPr>
            </w:pPr>
            <w:r w:rsidRPr="00ED2D84">
              <w:rPr>
                <w:rFonts w:cs="Arial"/>
                <w:b/>
                <w:sz w:val="20"/>
              </w:rPr>
              <w:t>.</w:t>
            </w:r>
          </w:p>
          <w:p w14:paraId="408E8DF2" w14:textId="77777777" w:rsidR="00556DB0" w:rsidRPr="00ED2D84" w:rsidRDefault="00556DB0" w:rsidP="00556DB0">
            <w:pPr>
              <w:pStyle w:val="corte4fondo"/>
              <w:spacing w:line="240" w:lineRule="auto"/>
              <w:ind w:left="170" w:right="198" w:firstLine="0"/>
              <w:rPr>
                <w:rFonts w:cs="Arial"/>
                <w:b/>
                <w:sz w:val="20"/>
              </w:rPr>
            </w:pPr>
            <w:r w:rsidRPr="00ED2D84">
              <w:rPr>
                <w:rFonts w:cs="Arial"/>
                <w:b/>
                <w:sz w:val="20"/>
              </w:rPr>
              <w:t>.</w:t>
            </w:r>
          </w:p>
          <w:p w14:paraId="37E8613E" w14:textId="77777777" w:rsidR="00556DB0" w:rsidRPr="00ED2D84" w:rsidRDefault="00556DB0" w:rsidP="00556DB0">
            <w:pPr>
              <w:pStyle w:val="corte4fondo"/>
              <w:spacing w:line="240" w:lineRule="auto"/>
              <w:ind w:left="170" w:right="198" w:firstLine="0"/>
              <w:rPr>
                <w:rFonts w:cs="Arial"/>
                <w:b/>
                <w:sz w:val="20"/>
              </w:rPr>
            </w:pPr>
            <w:r w:rsidRPr="00ED2D84">
              <w:rPr>
                <w:rFonts w:cs="Arial"/>
                <w:b/>
                <w:sz w:val="20"/>
              </w:rPr>
              <w:t>.</w:t>
            </w:r>
          </w:p>
          <w:p w14:paraId="68E769AD" w14:textId="159E66B8" w:rsidR="00556DB0" w:rsidRPr="00ED2D84" w:rsidRDefault="00556DB0" w:rsidP="00556DB0">
            <w:pPr>
              <w:pStyle w:val="corte4fondo"/>
              <w:spacing w:line="240" w:lineRule="auto"/>
              <w:ind w:left="170" w:right="198" w:firstLine="0"/>
              <w:rPr>
                <w:rFonts w:cs="Arial"/>
                <w:b/>
                <w:sz w:val="20"/>
              </w:rPr>
            </w:pPr>
            <w:r w:rsidRPr="00ED2D84">
              <w:rPr>
                <w:rFonts w:cs="Arial"/>
                <w:b/>
                <w:sz w:val="20"/>
              </w:rPr>
              <w:t>(…)</w:t>
            </w:r>
          </w:p>
          <w:p w14:paraId="00C8C132" w14:textId="77777777" w:rsidR="00556DB0" w:rsidRPr="00ED2D84" w:rsidRDefault="00556DB0" w:rsidP="00556DB0">
            <w:pPr>
              <w:ind w:left="170" w:right="198"/>
              <w:jc w:val="both"/>
              <w:rPr>
                <w:rFonts w:ascii="Arial" w:hAnsi="Arial" w:cs="Arial"/>
                <w:sz w:val="20"/>
                <w:szCs w:val="20"/>
              </w:rPr>
            </w:pPr>
          </w:p>
          <w:p w14:paraId="13BC0CAE" w14:textId="664BB0C1" w:rsidR="00556DB0" w:rsidRPr="00ED2D84" w:rsidRDefault="00556DB0" w:rsidP="00556DB0">
            <w:pPr>
              <w:ind w:left="170" w:right="198"/>
              <w:jc w:val="both"/>
              <w:rPr>
                <w:rFonts w:ascii="Arial" w:hAnsi="Arial" w:cs="Arial"/>
                <w:sz w:val="20"/>
                <w:szCs w:val="20"/>
              </w:rPr>
            </w:pPr>
            <w:r w:rsidRPr="00ED2D84">
              <w:rPr>
                <w:rFonts w:ascii="Arial" w:hAnsi="Arial" w:cs="Arial"/>
                <w:sz w:val="20"/>
                <w:szCs w:val="20"/>
              </w:rPr>
              <w:t xml:space="preserve">Se aprobó por mayoría de ocho votos de los Señores Ministros Gutiérrez Ortiz Mena, Cossío Díaz, Luna Ramos, Franco González Salas, Zaldívar Lelo de Larrea por razones distintas, Piña Hernández, Laynez Potisek por razones distintas y Presidente Aguilar Morales, respecto del considerando octavo, relativo a las violaciones materiales, en su tema 13, denominado “Nombramiento, por única ocasión, del titular de la Unidad Técnica de Fiscalización del Instituto Electoral del Distrito Federal, por parte de la Asamblea Legislativa”, consistente en declarar la invalidez del artículo transitorio vigésimo séptimo del Código de Instituciones y Procedimientos Electorales de la Ciudad de México. Los Señores Ministros Pardo Rebolledo y Pérez Dayán votaron en contra. Los Señores Ministros Gutiérrez </w:t>
            </w:r>
            <w:r w:rsidRPr="00ED2D84">
              <w:rPr>
                <w:rFonts w:ascii="Arial" w:hAnsi="Arial" w:cs="Arial"/>
                <w:sz w:val="20"/>
                <w:szCs w:val="20"/>
              </w:rPr>
              <w:lastRenderedPageBreak/>
              <w:t>Ortiz Mena y Cossío Díaz anunciaron sendos votos concurrentes.</w:t>
            </w:r>
          </w:p>
          <w:p w14:paraId="10CE101B" w14:textId="77777777" w:rsidR="00556DB0" w:rsidRPr="00ED2D84" w:rsidRDefault="00556DB0" w:rsidP="00556DB0">
            <w:pPr>
              <w:pStyle w:val="corte4fondo"/>
              <w:spacing w:line="240" w:lineRule="auto"/>
              <w:ind w:left="170" w:right="198" w:firstLine="0"/>
              <w:rPr>
                <w:rFonts w:cs="Arial"/>
                <w:b/>
                <w:sz w:val="20"/>
              </w:rPr>
            </w:pPr>
            <w:r w:rsidRPr="00ED2D84">
              <w:rPr>
                <w:rFonts w:cs="Arial"/>
                <w:b/>
                <w:sz w:val="20"/>
              </w:rPr>
              <w:t>.</w:t>
            </w:r>
          </w:p>
          <w:p w14:paraId="4C4C91C2" w14:textId="77777777" w:rsidR="00556DB0" w:rsidRPr="00ED2D84" w:rsidRDefault="00556DB0" w:rsidP="00556DB0">
            <w:pPr>
              <w:pStyle w:val="corte4fondo"/>
              <w:spacing w:line="240" w:lineRule="auto"/>
              <w:ind w:left="170" w:right="198" w:firstLine="0"/>
              <w:rPr>
                <w:rFonts w:cs="Arial"/>
                <w:b/>
                <w:sz w:val="20"/>
              </w:rPr>
            </w:pPr>
            <w:r w:rsidRPr="00ED2D84">
              <w:rPr>
                <w:rFonts w:cs="Arial"/>
                <w:b/>
                <w:sz w:val="20"/>
              </w:rPr>
              <w:t>.</w:t>
            </w:r>
          </w:p>
          <w:p w14:paraId="308090ED" w14:textId="77777777" w:rsidR="00556DB0" w:rsidRPr="00ED2D84" w:rsidRDefault="00556DB0" w:rsidP="00556DB0">
            <w:pPr>
              <w:pStyle w:val="corte4fondo"/>
              <w:spacing w:line="240" w:lineRule="auto"/>
              <w:ind w:left="170" w:right="198" w:firstLine="0"/>
              <w:rPr>
                <w:rFonts w:cs="Arial"/>
                <w:b/>
                <w:sz w:val="20"/>
              </w:rPr>
            </w:pPr>
            <w:r w:rsidRPr="00ED2D84">
              <w:rPr>
                <w:rFonts w:cs="Arial"/>
                <w:b/>
                <w:sz w:val="20"/>
              </w:rPr>
              <w:t>.</w:t>
            </w:r>
          </w:p>
          <w:p w14:paraId="27220A6D" w14:textId="2944D509" w:rsidR="00556DB0" w:rsidRPr="00ED2D84" w:rsidRDefault="00556DB0" w:rsidP="00556DB0">
            <w:pPr>
              <w:pStyle w:val="corte4fondo"/>
              <w:spacing w:line="240" w:lineRule="auto"/>
              <w:ind w:left="170" w:right="198" w:firstLine="0"/>
              <w:rPr>
                <w:rFonts w:cs="Arial"/>
                <w:b/>
                <w:sz w:val="20"/>
              </w:rPr>
            </w:pPr>
            <w:r w:rsidRPr="00ED2D84">
              <w:rPr>
                <w:rFonts w:cs="Arial"/>
                <w:b/>
                <w:sz w:val="20"/>
              </w:rPr>
              <w:t>(…)</w:t>
            </w:r>
          </w:p>
        </w:tc>
      </w:tr>
      <w:tr w:rsidR="007B18DF" w:rsidRPr="00ED2D84" w14:paraId="20A30D99" w14:textId="77777777" w:rsidTr="00C75296">
        <w:trPr>
          <w:trHeight w:val="283"/>
        </w:trPr>
        <w:tc>
          <w:tcPr>
            <w:tcW w:w="1877" w:type="dxa"/>
            <w:vAlign w:val="center"/>
          </w:tcPr>
          <w:p w14:paraId="62685423" w14:textId="77777777" w:rsidR="007B18DF" w:rsidRDefault="00AF100A" w:rsidP="00C75296">
            <w:pPr>
              <w:jc w:val="center"/>
              <w:rPr>
                <w:rStyle w:val="Hipervnculo"/>
                <w:rFonts w:ascii="Arial" w:hAnsi="Arial" w:cs="Arial"/>
                <w:b/>
                <w:sz w:val="20"/>
                <w:szCs w:val="20"/>
                <w:lang w:val="es-MX"/>
              </w:rPr>
            </w:pPr>
            <w:hyperlink r:id="rId12" w:history="1">
              <w:r w:rsidR="007B18DF" w:rsidRPr="006B3B04">
                <w:rPr>
                  <w:rStyle w:val="Hipervnculo"/>
                  <w:rFonts w:ascii="Arial" w:hAnsi="Arial" w:cs="Arial"/>
                  <w:b/>
                  <w:sz w:val="20"/>
                  <w:szCs w:val="20"/>
                  <w:lang w:val="es-MX"/>
                </w:rPr>
                <w:t>92/2015/2015 y sus acumuladas 94/2015 y 96/2015</w:t>
              </w:r>
            </w:hyperlink>
          </w:p>
          <w:p w14:paraId="5770BE0C" w14:textId="77777777" w:rsidR="007B18DF" w:rsidRDefault="007B18DF" w:rsidP="00C75296">
            <w:pPr>
              <w:jc w:val="center"/>
              <w:rPr>
                <w:rStyle w:val="Hipervnculo"/>
                <w:rFonts w:ascii="Arial" w:hAnsi="Arial" w:cs="Arial"/>
                <w:b/>
                <w:sz w:val="20"/>
                <w:szCs w:val="20"/>
                <w:lang w:val="es-MX"/>
              </w:rPr>
            </w:pPr>
          </w:p>
          <w:p w14:paraId="0F9DB4AA" w14:textId="251C70E6" w:rsidR="007B18DF" w:rsidRPr="007B18DF" w:rsidRDefault="007B18DF" w:rsidP="00C75296">
            <w:pPr>
              <w:jc w:val="center"/>
              <w:rPr>
                <w:rFonts w:ascii="Arial" w:hAnsi="Arial" w:cs="Arial"/>
                <w:b/>
                <w:bCs/>
              </w:rPr>
            </w:pPr>
            <w:r w:rsidRPr="007B18DF">
              <w:rPr>
                <w:rStyle w:val="Hipervnculo"/>
                <w:rFonts w:ascii="Arial" w:hAnsi="Arial" w:cs="Arial"/>
                <w:b/>
                <w:bCs/>
                <w:color w:val="0D0D0D" w:themeColor="text1" w:themeTint="F2"/>
                <w:sz w:val="20"/>
                <w:szCs w:val="20"/>
                <w:u w:val="none"/>
              </w:rPr>
              <w:t>Chihuahua</w:t>
            </w:r>
          </w:p>
        </w:tc>
        <w:tc>
          <w:tcPr>
            <w:tcW w:w="12294" w:type="dxa"/>
          </w:tcPr>
          <w:p w14:paraId="41B9337E" w14:textId="77777777" w:rsidR="007B18DF" w:rsidRPr="00F27DA4" w:rsidRDefault="007B18DF" w:rsidP="00C75296">
            <w:pPr>
              <w:pStyle w:val="Prrafodelista"/>
              <w:numPr>
                <w:ilvl w:val="0"/>
                <w:numId w:val="12"/>
              </w:numPr>
              <w:ind w:left="252" w:right="286" w:hanging="142"/>
              <w:jc w:val="both"/>
              <w:rPr>
                <w:rFonts w:ascii="Arial" w:hAnsi="Arial" w:cs="Arial"/>
                <w:b/>
                <w:color w:val="000000"/>
                <w:sz w:val="20"/>
                <w:szCs w:val="20"/>
                <w:lang w:val="es-MX"/>
              </w:rPr>
            </w:pPr>
            <w:r w:rsidRPr="00F27DA4">
              <w:rPr>
                <w:rFonts w:ascii="Arial" w:hAnsi="Arial" w:cs="Arial"/>
                <w:b/>
                <w:color w:val="000000"/>
                <w:sz w:val="20"/>
                <w:szCs w:val="20"/>
                <w:lang w:val="es-MX"/>
              </w:rPr>
              <w:t>Presunta incompetencia para legislar a nivel local en materia de fiscalización de los recursos de agrupaciones políticas estatales y de candidatos independientes</w:t>
            </w:r>
          </w:p>
          <w:p w14:paraId="78F94502" w14:textId="77777777" w:rsidR="007B18DF" w:rsidRDefault="007B18DF" w:rsidP="007B18DF">
            <w:pPr>
              <w:pStyle w:val="Prrafodelista"/>
              <w:ind w:left="144" w:right="286"/>
              <w:jc w:val="both"/>
              <w:rPr>
                <w:rFonts w:ascii="Arial" w:hAnsi="Arial" w:cs="Arial"/>
                <w:color w:val="000000"/>
                <w:sz w:val="20"/>
                <w:szCs w:val="20"/>
                <w:lang w:val="es-MX"/>
              </w:rPr>
            </w:pPr>
          </w:p>
          <w:p w14:paraId="0DD94E92" w14:textId="77777777" w:rsidR="007B18DF" w:rsidRDefault="007B18DF" w:rsidP="007B18DF">
            <w:pPr>
              <w:pStyle w:val="Prrafodelista"/>
              <w:ind w:left="144" w:right="286"/>
              <w:jc w:val="both"/>
              <w:rPr>
                <w:rFonts w:ascii="Arial" w:hAnsi="Arial" w:cs="Arial"/>
                <w:color w:val="000000"/>
                <w:sz w:val="20"/>
                <w:szCs w:val="20"/>
                <w:lang w:val="es-MX"/>
              </w:rPr>
            </w:pPr>
            <w:r w:rsidRPr="00562734">
              <w:rPr>
                <w:rFonts w:ascii="Arial" w:hAnsi="Arial" w:cs="Arial"/>
                <w:color w:val="000000"/>
                <w:sz w:val="20"/>
                <w:szCs w:val="20"/>
                <w:lang w:val="es-MX"/>
              </w:rPr>
              <w:t>El PRD, impugn</w:t>
            </w:r>
            <w:r>
              <w:rPr>
                <w:rFonts w:ascii="Arial" w:hAnsi="Arial" w:cs="Arial"/>
                <w:color w:val="000000"/>
                <w:sz w:val="20"/>
                <w:szCs w:val="20"/>
                <w:lang w:val="es-MX"/>
              </w:rPr>
              <w:t>ó</w:t>
            </w:r>
            <w:r w:rsidRPr="00562734">
              <w:rPr>
                <w:rFonts w:ascii="Arial" w:hAnsi="Arial" w:cs="Arial"/>
                <w:color w:val="000000"/>
                <w:sz w:val="20"/>
                <w:szCs w:val="20"/>
                <w:lang w:val="es-MX"/>
              </w:rPr>
              <w:t xml:space="preserve"> los artículos 27, párrafo 3, inciso f); 29, 35 a 39, 75, párrafos 1, inciso a) y 2; 248, 249 y 266, de la Ley Electoral del Estado de Chihuahua, en los que argument</w:t>
            </w:r>
            <w:r>
              <w:rPr>
                <w:rFonts w:ascii="Arial" w:hAnsi="Arial" w:cs="Arial"/>
                <w:color w:val="000000"/>
                <w:sz w:val="20"/>
                <w:szCs w:val="20"/>
                <w:lang w:val="es-MX"/>
              </w:rPr>
              <w:t>ó</w:t>
            </w:r>
            <w:r w:rsidRPr="00562734">
              <w:rPr>
                <w:rFonts w:ascii="Arial" w:hAnsi="Arial" w:cs="Arial"/>
                <w:color w:val="000000"/>
                <w:sz w:val="20"/>
                <w:szCs w:val="20"/>
                <w:lang w:val="es-MX"/>
              </w:rPr>
              <w:t xml:space="preserve"> que las legislaturas locales carecen de competencia para establecer reglas de fiscalización de los recursos de agrupaciones políticas estatales, como de candidatos independientes, en virtud de que la C</w:t>
            </w:r>
            <w:r>
              <w:rPr>
                <w:rFonts w:ascii="Arial" w:hAnsi="Arial" w:cs="Arial"/>
                <w:color w:val="000000"/>
                <w:sz w:val="20"/>
                <w:szCs w:val="20"/>
                <w:lang w:val="es-MX"/>
              </w:rPr>
              <w:t>PEUM</w:t>
            </w:r>
            <w:r w:rsidRPr="00562734">
              <w:rPr>
                <w:rFonts w:ascii="Arial" w:hAnsi="Arial" w:cs="Arial"/>
                <w:color w:val="000000"/>
                <w:sz w:val="20"/>
                <w:szCs w:val="20"/>
                <w:lang w:val="es-MX"/>
              </w:rPr>
              <w:t xml:space="preserve"> establece un régimen jurídico único para la vigilancia de esos recursos a nivel nacional, régimen que admite la posibilidad de que excepcionalmente esa función se haga cargo las autoridades electorales locales, cuando el INE delegue su función fiscalizadora en favor de los organismos homólogos de las entidades federativas.</w:t>
            </w:r>
          </w:p>
          <w:p w14:paraId="64A7FFCB" w14:textId="77777777" w:rsidR="007B18DF" w:rsidRDefault="007B18DF" w:rsidP="007B18DF">
            <w:pPr>
              <w:pStyle w:val="Prrafodelista"/>
              <w:ind w:left="144" w:right="286"/>
              <w:jc w:val="both"/>
              <w:rPr>
                <w:rFonts w:ascii="Arial" w:hAnsi="Arial" w:cs="Arial"/>
                <w:color w:val="000000"/>
                <w:sz w:val="20"/>
                <w:szCs w:val="20"/>
                <w:lang w:val="es-MX"/>
              </w:rPr>
            </w:pPr>
          </w:p>
          <w:p w14:paraId="1C0CF6E6" w14:textId="77777777" w:rsidR="007B18DF" w:rsidRPr="007E0F11" w:rsidRDefault="007B18DF" w:rsidP="007B18DF">
            <w:pPr>
              <w:pStyle w:val="Prrafodelista"/>
              <w:ind w:left="144" w:right="286"/>
              <w:jc w:val="both"/>
              <w:rPr>
                <w:rFonts w:ascii="Arial" w:hAnsi="Arial" w:cs="Arial"/>
                <w:b/>
                <w:sz w:val="20"/>
                <w:szCs w:val="20"/>
                <w:lang w:val="es-MX"/>
              </w:rPr>
            </w:pPr>
            <w:r w:rsidRPr="007E0F11">
              <w:rPr>
                <w:rFonts w:ascii="Arial" w:hAnsi="Arial" w:cs="Arial"/>
                <w:b/>
                <w:sz w:val="20"/>
                <w:szCs w:val="20"/>
                <w:lang w:val="es-MX"/>
              </w:rPr>
              <w:t>Consideraciones</w:t>
            </w:r>
          </w:p>
          <w:p w14:paraId="38689B77" w14:textId="77777777" w:rsidR="007B18DF" w:rsidRPr="00562734" w:rsidRDefault="007B18DF" w:rsidP="007B18DF">
            <w:pPr>
              <w:pStyle w:val="Prrafodelista"/>
              <w:ind w:left="144" w:right="286"/>
              <w:jc w:val="both"/>
              <w:rPr>
                <w:rFonts w:ascii="Arial" w:hAnsi="Arial" w:cs="Arial"/>
                <w:i/>
                <w:sz w:val="20"/>
                <w:szCs w:val="20"/>
                <w:lang w:val="es-MX"/>
              </w:rPr>
            </w:pPr>
          </w:p>
          <w:p w14:paraId="2020E9C4" w14:textId="77777777" w:rsidR="007B18DF" w:rsidRDefault="007B18DF" w:rsidP="007B18DF">
            <w:pPr>
              <w:pStyle w:val="Prrafodelista"/>
              <w:ind w:left="144" w:right="286"/>
              <w:jc w:val="both"/>
              <w:rPr>
                <w:rFonts w:ascii="Arial" w:hAnsi="Arial" w:cs="Arial"/>
                <w:color w:val="000000"/>
                <w:sz w:val="20"/>
                <w:szCs w:val="20"/>
                <w:lang w:val="es-MX"/>
              </w:rPr>
            </w:pPr>
            <w:r w:rsidRPr="00562734">
              <w:rPr>
                <w:rFonts w:ascii="Arial" w:hAnsi="Arial" w:cs="Arial"/>
                <w:color w:val="000000"/>
                <w:sz w:val="20"/>
                <w:szCs w:val="20"/>
                <w:lang w:val="es-MX"/>
              </w:rPr>
              <w:t xml:space="preserve">La SCJN </w:t>
            </w:r>
            <w:r w:rsidRPr="008E4D54">
              <w:rPr>
                <w:rFonts w:ascii="Arial" w:hAnsi="Arial" w:cs="Arial"/>
                <w:b/>
                <w:color w:val="000000"/>
                <w:sz w:val="20"/>
                <w:szCs w:val="20"/>
                <w:lang w:val="es-MX"/>
              </w:rPr>
              <w:t>reconoció la validez</w:t>
            </w:r>
            <w:r w:rsidRPr="00D165EF">
              <w:rPr>
                <w:rFonts w:ascii="Arial" w:hAnsi="Arial" w:cs="Arial"/>
                <w:color w:val="000000"/>
                <w:sz w:val="20"/>
                <w:szCs w:val="20"/>
                <w:lang w:val="es-MX"/>
              </w:rPr>
              <w:t xml:space="preserve"> de los</w:t>
            </w:r>
            <w:r>
              <w:rPr>
                <w:rFonts w:ascii="Arial" w:hAnsi="Arial" w:cs="Arial"/>
                <w:color w:val="000000"/>
                <w:sz w:val="20"/>
                <w:szCs w:val="20"/>
                <w:lang w:val="es-MX"/>
              </w:rPr>
              <w:t xml:space="preserve"> </w:t>
            </w:r>
            <w:r w:rsidRPr="00D165EF">
              <w:rPr>
                <w:rFonts w:ascii="Arial" w:hAnsi="Arial" w:cs="Arial"/>
                <w:color w:val="000000"/>
                <w:sz w:val="20"/>
                <w:szCs w:val="20"/>
                <w:lang w:val="es-MX"/>
              </w:rPr>
              <w:t>artículos 27, párrafo 3, inciso f); 29, 35 a 39, 75, párrafos 1, inciso a)</w:t>
            </w:r>
            <w:r>
              <w:rPr>
                <w:rFonts w:ascii="Arial" w:hAnsi="Arial" w:cs="Arial"/>
                <w:color w:val="000000"/>
                <w:sz w:val="20"/>
                <w:szCs w:val="20"/>
                <w:lang w:val="es-MX"/>
              </w:rPr>
              <w:t xml:space="preserve"> </w:t>
            </w:r>
            <w:r w:rsidRPr="00D165EF">
              <w:rPr>
                <w:rFonts w:ascii="Arial" w:hAnsi="Arial" w:cs="Arial"/>
                <w:color w:val="000000"/>
                <w:sz w:val="20"/>
                <w:szCs w:val="20"/>
                <w:lang w:val="es-MX"/>
              </w:rPr>
              <w:t>y 2; 248, 249 y 266, de la Ley Electoral del Estado de Chihuahua</w:t>
            </w:r>
            <w:r w:rsidRPr="00562734">
              <w:rPr>
                <w:rFonts w:ascii="Arial" w:hAnsi="Arial" w:cs="Arial"/>
                <w:color w:val="000000"/>
                <w:sz w:val="20"/>
                <w:szCs w:val="20"/>
                <w:lang w:val="es-MX"/>
              </w:rPr>
              <w:t>, toda vez que las legislaturas de los estados tienen libertad de configuración legislativa en cuanto a las agrupaciones locales, ya que la Constitución Federal no prevé alguna reserva de fuente en favor del Congreso de la Unión con relación a tales organizaciones ciudadanas.</w:t>
            </w:r>
            <w:r>
              <w:rPr>
                <w:rFonts w:ascii="Arial" w:hAnsi="Arial" w:cs="Arial"/>
                <w:color w:val="000000"/>
                <w:sz w:val="20"/>
                <w:szCs w:val="20"/>
                <w:lang w:val="es-MX"/>
              </w:rPr>
              <w:t xml:space="preserve"> </w:t>
            </w:r>
          </w:p>
          <w:p w14:paraId="29B4CD43" w14:textId="77777777" w:rsidR="007B18DF" w:rsidRDefault="007B18DF" w:rsidP="007B18DF">
            <w:pPr>
              <w:pStyle w:val="Prrafodelista"/>
              <w:ind w:left="144" w:right="286"/>
              <w:jc w:val="both"/>
              <w:rPr>
                <w:rFonts w:ascii="Arial" w:hAnsi="Arial" w:cs="Arial"/>
                <w:color w:val="000000"/>
                <w:sz w:val="20"/>
                <w:szCs w:val="20"/>
                <w:lang w:val="es-MX"/>
              </w:rPr>
            </w:pPr>
          </w:p>
          <w:p w14:paraId="18333AA4" w14:textId="77777777" w:rsidR="007B18DF" w:rsidRDefault="007B18DF" w:rsidP="007B18DF">
            <w:pPr>
              <w:pStyle w:val="Prrafodelista"/>
              <w:ind w:left="144" w:right="286"/>
              <w:jc w:val="both"/>
              <w:rPr>
                <w:rFonts w:ascii="Arial" w:hAnsi="Arial" w:cs="Arial"/>
                <w:color w:val="000000"/>
                <w:sz w:val="20"/>
                <w:szCs w:val="20"/>
                <w:lang w:val="es-MX"/>
              </w:rPr>
            </w:pPr>
            <w:r w:rsidRPr="00562734">
              <w:rPr>
                <w:rFonts w:ascii="Arial" w:hAnsi="Arial" w:cs="Arial"/>
                <w:color w:val="000000"/>
                <w:sz w:val="20"/>
                <w:szCs w:val="20"/>
                <w:lang w:val="es-MX"/>
              </w:rPr>
              <w:t xml:space="preserve">El </w:t>
            </w:r>
            <w:r>
              <w:rPr>
                <w:rFonts w:ascii="Arial" w:hAnsi="Arial" w:cs="Arial"/>
                <w:color w:val="000000"/>
                <w:sz w:val="20"/>
                <w:szCs w:val="20"/>
                <w:lang w:val="es-MX"/>
              </w:rPr>
              <w:t>Tribunal Pleno</w:t>
            </w:r>
            <w:r w:rsidRPr="00562734">
              <w:rPr>
                <w:rFonts w:ascii="Arial" w:hAnsi="Arial" w:cs="Arial"/>
                <w:color w:val="000000"/>
                <w:sz w:val="20"/>
                <w:szCs w:val="20"/>
                <w:lang w:val="es-MX"/>
              </w:rPr>
              <w:t xml:space="preserve"> </w:t>
            </w:r>
            <w:r>
              <w:rPr>
                <w:rFonts w:ascii="Arial" w:hAnsi="Arial" w:cs="Arial"/>
                <w:color w:val="000000"/>
                <w:sz w:val="20"/>
                <w:szCs w:val="20"/>
                <w:lang w:val="es-MX"/>
              </w:rPr>
              <w:t>sostuvo</w:t>
            </w:r>
            <w:r w:rsidRPr="00562734">
              <w:rPr>
                <w:rFonts w:ascii="Arial" w:hAnsi="Arial" w:cs="Arial"/>
                <w:color w:val="000000"/>
                <w:sz w:val="20"/>
                <w:szCs w:val="20"/>
                <w:lang w:val="es-MX"/>
              </w:rPr>
              <w:t xml:space="preserve"> que las leyes generales electorales deben ocuparse de regular íntegramente la condición jurídica de las agrupaciones políticas de carácter nacional, dejando abierta la posibilidad que las entidades federativas establezcan las reglas que mejor les convenga, respetando la libertad de asociación y los principios electorales cuando tales organizaciones ciudadanas formalicen su intención de coaligarse con los partidos para contender en los comicios, reglas entre las cuales se encuentran las relativas a la fiscalización de dichas agrupaciones, teniendo en cuanta que por mandato de ley, la fiscalización que lleva a cabo el INE exclusivamente es respecto agrupaciones de carácter nacional.</w:t>
            </w:r>
            <w:r>
              <w:rPr>
                <w:rFonts w:ascii="Arial" w:hAnsi="Arial" w:cs="Arial"/>
                <w:color w:val="000000"/>
                <w:sz w:val="20"/>
                <w:szCs w:val="20"/>
                <w:lang w:val="es-MX"/>
              </w:rPr>
              <w:t xml:space="preserve"> </w:t>
            </w:r>
          </w:p>
          <w:p w14:paraId="005D5B02" w14:textId="77777777" w:rsidR="007B18DF" w:rsidRDefault="007B18DF" w:rsidP="007B18DF">
            <w:pPr>
              <w:pStyle w:val="Prrafodelista"/>
              <w:ind w:left="144" w:right="286"/>
              <w:jc w:val="both"/>
              <w:rPr>
                <w:rFonts w:ascii="Arial" w:hAnsi="Arial" w:cs="Arial"/>
                <w:color w:val="000000"/>
                <w:sz w:val="20"/>
                <w:szCs w:val="20"/>
                <w:lang w:val="es-MX"/>
              </w:rPr>
            </w:pPr>
          </w:p>
          <w:p w14:paraId="1878FC66" w14:textId="77777777" w:rsidR="007B18DF" w:rsidRDefault="007B18DF" w:rsidP="007B18DF">
            <w:pPr>
              <w:pStyle w:val="Prrafodelista"/>
              <w:ind w:left="144" w:right="286"/>
              <w:jc w:val="both"/>
              <w:rPr>
                <w:rFonts w:ascii="Arial" w:hAnsi="Arial" w:cs="Arial"/>
                <w:color w:val="000000"/>
                <w:sz w:val="20"/>
                <w:szCs w:val="20"/>
                <w:lang w:val="es-MX"/>
              </w:rPr>
            </w:pPr>
            <w:r w:rsidRPr="00562734">
              <w:rPr>
                <w:rFonts w:ascii="Arial" w:hAnsi="Arial" w:cs="Arial"/>
                <w:color w:val="000000"/>
                <w:sz w:val="20"/>
                <w:szCs w:val="20"/>
                <w:lang w:val="es-MX"/>
              </w:rPr>
              <w:t>La SCJN precisó que los partidos políticos son los responsables de reportar ante el INE que las agrupaciones políticas estatales que en su momento y en su caso se les coaligaron, obtuvieron lícitamente sus recursos, como ocurre con todo el financiamiento privado que recibieron; y al organismo electoral local le compete vigilar que esas agrupaciones locales cumplan con las reglas que diseñó la legislatura estatal en materia de fiscalización y a las que se obligaron cuando obtuvieron esas agrupaciones su registro a nivel local.</w:t>
            </w:r>
          </w:p>
          <w:p w14:paraId="74779006" w14:textId="77777777" w:rsidR="007B18DF" w:rsidRDefault="007B18DF" w:rsidP="007B18DF">
            <w:pPr>
              <w:pStyle w:val="Prrafodelista"/>
              <w:ind w:left="144" w:right="286"/>
              <w:jc w:val="both"/>
              <w:rPr>
                <w:rFonts w:ascii="Arial" w:hAnsi="Arial" w:cs="Arial"/>
                <w:color w:val="000000"/>
                <w:sz w:val="20"/>
                <w:szCs w:val="20"/>
                <w:lang w:val="es-MX"/>
              </w:rPr>
            </w:pPr>
          </w:p>
          <w:p w14:paraId="29DD1C84" w14:textId="77777777" w:rsidR="007B18DF" w:rsidRPr="008E4D54" w:rsidRDefault="007B18DF" w:rsidP="007B18DF">
            <w:pPr>
              <w:pStyle w:val="Prrafodelista"/>
              <w:ind w:left="144" w:right="286"/>
              <w:jc w:val="both"/>
              <w:rPr>
                <w:rFonts w:ascii="Arial" w:hAnsi="Arial" w:cs="Arial"/>
                <w:b/>
                <w:color w:val="000000"/>
                <w:sz w:val="20"/>
                <w:szCs w:val="20"/>
                <w:lang w:val="es-MX"/>
              </w:rPr>
            </w:pPr>
            <w:r w:rsidRPr="008E4D54">
              <w:rPr>
                <w:rFonts w:ascii="Arial" w:hAnsi="Arial" w:cs="Arial"/>
                <w:b/>
                <w:color w:val="000000"/>
                <w:sz w:val="20"/>
                <w:szCs w:val="20"/>
                <w:lang w:val="es-MX"/>
              </w:rPr>
              <w:t>Resolutivo:</w:t>
            </w:r>
          </w:p>
          <w:p w14:paraId="100C9E2F" w14:textId="77777777" w:rsidR="00C75296" w:rsidRDefault="00C75296" w:rsidP="00C75296">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4F1D3017" w14:textId="77777777" w:rsidR="00C75296" w:rsidRDefault="00C75296" w:rsidP="00C75296">
            <w:pPr>
              <w:pStyle w:val="Prrafodelista"/>
              <w:ind w:left="144" w:right="144"/>
              <w:jc w:val="both"/>
              <w:rPr>
                <w:rFonts w:ascii="Arial" w:hAnsi="Arial" w:cs="Arial"/>
                <w:b/>
                <w:sz w:val="20"/>
                <w:szCs w:val="20"/>
                <w:lang w:val="es-MX"/>
              </w:rPr>
            </w:pPr>
            <w:r>
              <w:rPr>
                <w:rFonts w:ascii="Arial" w:hAnsi="Arial" w:cs="Arial"/>
                <w:b/>
                <w:sz w:val="20"/>
                <w:szCs w:val="20"/>
                <w:lang w:val="es-MX"/>
              </w:rPr>
              <w:lastRenderedPageBreak/>
              <w:t>.</w:t>
            </w:r>
          </w:p>
          <w:p w14:paraId="2DCAB2FB" w14:textId="77777777" w:rsidR="00C75296" w:rsidRDefault="00C75296" w:rsidP="00C75296">
            <w:pPr>
              <w:pStyle w:val="Prrafodelista"/>
              <w:ind w:left="144" w:right="144"/>
              <w:jc w:val="both"/>
              <w:rPr>
                <w:rFonts w:ascii="Arial" w:hAnsi="Arial" w:cs="Arial"/>
                <w:b/>
                <w:sz w:val="20"/>
                <w:szCs w:val="20"/>
                <w:lang w:val="es-MX"/>
              </w:rPr>
            </w:pPr>
            <w:r>
              <w:rPr>
                <w:rFonts w:ascii="Arial" w:hAnsi="Arial" w:cs="Arial"/>
                <w:b/>
                <w:sz w:val="20"/>
                <w:szCs w:val="20"/>
                <w:lang w:val="es-MX"/>
              </w:rPr>
              <w:t xml:space="preserve">. </w:t>
            </w:r>
          </w:p>
          <w:p w14:paraId="54410BBE" w14:textId="77777777" w:rsidR="00C75296" w:rsidRDefault="00C75296" w:rsidP="00C75296">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5012977E" w14:textId="77777777" w:rsidR="007B18DF" w:rsidRDefault="007B18DF" w:rsidP="007B18DF">
            <w:pPr>
              <w:pStyle w:val="Prrafodelista"/>
              <w:ind w:left="144" w:right="286"/>
              <w:jc w:val="both"/>
              <w:rPr>
                <w:rFonts w:ascii="Arial" w:hAnsi="Arial" w:cs="Arial"/>
                <w:color w:val="000000"/>
                <w:sz w:val="20"/>
                <w:szCs w:val="20"/>
                <w:lang w:val="es-MX"/>
              </w:rPr>
            </w:pPr>
            <w:r w:rsidRPr="008E4D54">
              <w:rPr>
                <w:rFonts w:ascii="Arial" w:hAnsi="Arial" w:cs="Arial"/>
                <w:b/>
                <w:color w:val="000000"/>
                <w:sz w:val="20"/>
                <w:szCs w:val="20"/>
                <w:lang w:val="es-MX"/>
              </w:rPr>
              <w:t>QUINTO.</w:t>
            </w:r>
            <w:r w:rsidRPr="008E4D54">
              <w:rPr>
                <w:rFonts w:ascii="Arial" w:hAnsi="Arial" w:cs="Arial"/>
                <w:color w:val="000000"/>
                <w:sz w:val="20"/>
                <w:szCs w:val="20"/>
                <w:lang w:val="es-MX"/>
              </w:rPr>
              <w:t xml:space="preserve"> Con la salvedad a que se refieren los dos punt</w:t>
            </w:r>
            <w:r>
              <w:rPr>
                <w:rFonts w:ascii="Arial" w:hAnsi="Arial" w:cs="Arial"/>
                <w:color w:val="000000"/>
                <w:sz w:val="20"/>
                <w:szCs w:val="20"/>
                <w:lang w:val="es-MX"/>
              </w:rPr>
              <w:t xml:space="preserve">o </w:t>
            </w:r>
            <w:r w:rsidRPr="008E4D54">
              <w:rPr>
                <w:rFonts w:ascii="Arial" w:hAnsi="Arial" w:cs="Arial"/>
                <w:color w:val="000000"/>
                <w:sz w:val="20"/>
                <w:szCs w:val="20"/>
                <w:lang w:val="es-MX"/>
              </w:rPr>
              <w:t>resolutivos anteriores, se reconoc</w:t>
            </w:r>
            <w:r>
              <w:rPr>
                <w:rFonts w:ascii="Arial" w:hAnsi="Arial" w:cs="Arial"/>
                <w:color w:val="000000"/>
                <w:sz w:val="20"/>
                <w:szCs w:val="20"/>
                <w:lang w:val="es-MX"/>
              </w:rPr>
              <w:t>ió</w:t>
            </w:r>
            <w:r w:rsidRPr="008E4D54">
              <w:rPr>
                <w:rFonts w:ascii="Arial" w:hAnsi="Arial" w:cs="Arial"/>
                <w:color w:val="000000"/>
                <w:sz w:val="20"/>
                <w:szCs w:val="20"/>
                <w:lang w:val="es-MX"/>
              </w:rPr>
              <w:t xml:space="preserve"> la validez de las demás normas</w:t>
            </w:r>
            <w:r>
              <w:rPr>
                <w:rFonts w:ascii="Arial" w:hAnsi="Arial" w:cs="Arial"/>
                <w:color w:val="000000"/>
                <w:sz w:val="20"/>
                <w:szCs w:val="20"/>
                <w:lang w:val="es-MX"/>
              </w:rPr>
              <w:t xml:space="preserve"> </w:t>
            </w:r>
            <w:r w:rsidRPr="008E4D54">
              <w:rPr>
                <w:rFonts w:ascii="Arial" w:hAnsi="Arial" w:cs="Arial"/>
                <w:color w:val="000000"/>
                <w:sz w:val="20"/>
                <w:szCs w:val="20"/>
                <w:lang w:val="es-MX"/>
              </w:rPr>
              <w:t>reclamadas, pero a condición de que el artículo 105 de la Ley</w:t>
            </w:r>
            <w:r>
              <w:rPr>
                <w:rFonts w:ascii="Arial" w:hAnsi="Arial" w:cs="Arial"/>
                <w:color w:val="000000"/>
                <w:sz w:val="20"/>
                <w:szCs w:val="20"/>
                <w:lang w:val="es-MX"/>
              </w:rPr>
              <w:t xml:space="preserve"> </w:t>
            </w:r>
            <w:r w:rsidRPr="008E4D54">
              <w:rPr>
                <w:rFonts w:ascii="Arial" w:hAnsi="Arial" w:cs="Arial"/>
                <w:color w:val="000000"/>
                <w:sz w:val="20"/>
                <w:szCs w:val="20"/>
                <w:lang w:val="es-MX"/>
              </w:rPr>
              <w:t>Electoral del Estado de Chihuahua, en la porción normativa que dice</w:t>
            </w:r>
            <w:r>
              <w:rPr>
                <w:rFonts w:ascii="Arial" w:hAnsi="Arial" w:cs="Arial"/>
                <w:color w:val="000000"/>
                <w:sz w:val="20"/>
                <w:szCs w:val="20"/>
                <w:lang w:val="es-MX"/>
              </w:rPr>
              <w:t xml:space="preserve"> </w:t>
            </w:r>
            <w:r w:rsidRPr="008E4D54">
              <w:rPr>
                <w:rFonts w:ascii="Arial" w:hAnsi="Arial" w:cs="Arial"/>
                <w:color w:val="000000"/>
                <w:sz w:val="20"/>
                <w:szCs w:val="20"/>
                <w:lang w:val="es-MX"/>
              </w:rPr>
              <w:t xml:space="preserve">“la emisión de un mensaje </w:t>
            </w:r>
            <w:proofErr w:type="spellStart"/>
            <w:r w:rsidRPr="008E4D54">
              <w:rPr>
                <w:rFonts w:ascii="Arial" w:hAnsi="Arial" w:cs="Arial"/>
                <w:color w:val="000000"/>
                <w:sz w:val="20"/>
                <w:szCs w:val="20"/>
                <w:lang w:val="es-MX"/>
              </w:rPr>
              <w:t>público</w:t>
            </w:r>
            <w:proofErr w:type="spellEnd"/>
            <w:r w:rsidRPr="008E4D54">
              <w:rPr>
                <w:rFonts w:ascii="Arial" w:hAnsi="Arial" w:cs="Arial"/>
                <w:color w:val="000000"/>
                <w:sz w:val="20"/>
                <w:szCs w:val="20"/>
                <w:lang w:val="es-MX"/>
              </w:rPr>
              <w:t xml:space="preserve"> dirigido al electorado…” se</w:t>
            </w:r>
            <w:r>
              <w:rPr>
                <w:rFonts w:ascii="Arial" w:hAnsi="Arial" w:cs="Arial"/>
                <w:color w:val="000000"/>
                <w:sz w:val="20"/>
                <w:szCs w:val="20"/>
                <w:lang w:val="es-MX"/>
              </w:rPr>
              <w:t xml:space="preserve"> </w:t>
            </w:r>
            <w:r w:rsidRPr="008E4D54">
              <w:rPr>
                <w:rFonts w:ascii="Arial" w:hAnsi="Arial" w:cs="Arial"/>
                <w:color w:val="000000"/>
                <w:sz w:val="20"/>
                <w:szCs w:val="20"/>
                <w:lang w:val="es-MX"/>
              </w:rPr>
              <w:t>interprete en el sentido de que ese mensaje no se realice en tiempos</w:t>
            </w:r>
            <w:r>
              <w:rPr>
                <w:rFonts w:ascii="Arial" w:hAnsi="Arial" w:cs="Arial"/>
                <w:color w:val="000000"/>
                <w:sz w:val="20"/>
                <w:szCs w:val="20"/>
                <w:lang w:val="es-MX"/>
              </w:rPr>
              <w:t xml:space="preserve"> </w:t>
            </w:r>
            <w:r w:rsidRPr="008E4D54">
              <w:rPr>
                <w:rFonts w:ascii="Arial" w:hAnsi="Arial" w:cs="Arial"/>
                <w:color w:val="000000"/>
                <w:sz w:val="20"/>
                <w:szCs w:val="20"/>
                <w:lang w:val="es-MX"/>
              </w:rPr>
              <w:t>oficiales de radio y/o televisión, en términos del considerando Décimo</w:t>
            </w:r>
            <w:r>
              <w:rPr>
                <w:rFonts w:ascii="Arial" w:hAnsi="Arial" w:cs="Arial"/>
                <w:color w:val="000000"/>
                <w:sz w:val="20"/>
                <w:szCs w:val="20"/>
                <w:lang w:val="es-MX"/>
              </w:rPr>
              <w:t xml:space="preserve"> </w:t>
            </w:r>
            <w:r w:rsidRPr="008E4D54">
              <w:rPr>
                <w:rFonts w:ascii="Arial" w:hAnsi="Arial" w:cs="Arial"/>
                <w:color w:val="000000"/>
                <w:sz w:val="20"/>
                <w:szCs w:val="20"/>
                <w:lang w:val="es-MX"/>
              </w:rPr>
              <w:t>quinto de esta ejecutoria.</w:t>
            </w:r>
          </w:p>
          <w:p w14:paraId="420ACDFF" w14:textId="77777777" w:rsidR="00C75296" w:rsidRDefault="00C75296" w:rsidP="00C75296">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338D794B" w14:textId="77777777" w:rsidR="00C75296" w:rsidRDefault="00C75296" w:rsidP="00C75296">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5572FAED" w14:textId="77777777" w:rsidR="00C75296" w:rsidRDefault="00C75296" w:rsidP="00C75296">
            <w:pPr>
              <w:pStyle w:val="Prrafodelista"/>
              <w:ind w:left="144" w:right="144"/>
              <w:jc w:val="both"/>
              <w:rPr>
                <w:rFonts w:ascii="Arial" w:hAnsi="Arial" w:cs="Arial"/>
                <w:b/>
                <w:sz w:val="20"/>
                <w:szCs w:val="20"/>
                <w:lang w:val="es-MX"/>
              </w:rPr>
            </w:pPr>
            <w:r>
              <w:rPr>
                <w:rFonts w:ascii="Arial" w:hAnsi="Arial" w:cs="Arial"/>
                <w:b/>
                <w:sz w:val="20"/>
                <w:szCs w:val="20"/>
                <w:lang w:val="es-MX"/>
              </w:rPr>
              <w:t xml:space="preserve">. </w:t>
            </w:r>
          </w:p>
          <w:p w14:paraId="37113748" w14:textId="77777777" w:rsidR="00C75296" w:rsidRDefault="00C75296" w:rsidP="00C75296">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6DBBE998" w14:textId="77777777" w:rsidR="00C75296" w:rsidRDefault="00C75296" w:rsidP="007B18DF">
            <w:pPr>
              <w:pStyle w:val="Prrafodelista"/>
              <w:ind w:left="144" w:right="286"/>
              <w:jc w:val="both"/>
              <w:rPr>
                <w:rFonts w:ascii="Arial" w:hAnsi="Arial" w:cs="Arial"/>
                <w:b/>
                <w:color w:val="000000"/>
                <w:sz w:val="20"/>
                <w:szCs w:val="20"/>
                <w:lang w:val="es-MX"/>
              </w:rPr>
            </w:pPr>
          </w:p>
          <w:p w14:paraId="2D312047" w14:textId="2A828F30" w:rsidR="007B18DF" w:rsidRPr="008E4D54" w:rsidRDefault="007B18DF" w:rsidP="007B18DF">
            <w:pPr>
              <w:pStyle w:val="Prrafodelista"/>
              <w:ind w:left="144" w:right="286"/>
              <w:jc w:val="both"/>
              <w:rPr>
                <w:rFonts w:ascii="Arial" w:hAnsi="Arial" w:cs="Arial"/>
                <w:b/>
                <w:color w:val="000000"/>
                <w:sz w:val="20"/>
                <w:szCs w:val="20"/>
                <w:lang w:val="es-MX"/>
              </w:rPr>
            </w:pPr>
            <w:r w:rsidRPr="008E4D54">
              <w:rPr>
                <w:rFonts w:ascii="Arial" w:hAnsi="Arial" w:cs="Arial"/>
                <w:b/>
                <w:color w:val="000000"/>
                <w:sz w:val="20"/>
                <w:szCs w:val="20"/>
                <w:lang w:val="es-MX"/>
              </w:rPr>
              <w:t>En relación con el punto resolutivo quinto:</w:t>
            </w:r>
            <w:r w:rsidRPr="008E4D54">
              <w:rPr>
                <w:rFonts w:ascii="Arial" w:hAnsi="Arial" w:cs="Arial"/>
                <w:b/>
                <w:color w:val="000000"/>
                <w:sz w:val="20"/>
                <w:szCs w:val="20"/>
                <w:lang w:val="es-MX"/>
              </w:rPr>
              <w:cr/>
            </w:r>
          </w:p>
          <w:p w14:paraId="50B01730" w14:textId="77777777" w:rsidR="007B18DF" w:rsidRPr="008E4D54" w:rsidRDefault="007B18DF" w:rsidP="007B18DF">
            <w:pPr>
              <w:pStyle w:val="Prrafodelista"/>
              <w:ind w:left="144" w:right="286"/>
              <w:jc w:val="both"/>
              <w:rPr>
                <w:rFonts w:ascii="Arial" w:hAnsi="Arial" w:cs="Arial"/>
                <w:color w:val="000000"/>
                <w:sz w:val="20"/>
                <w:szCs w:val="20"/>
                <w:lang w:val="es-MX"/>
              </w:rPr>
            </w:pPr>
            <w:r w:rsidRPr="008E4D54">
              <w:rPr>
                <w:rFonts w:ascii="Arial" w:hAnsi="Arial" w:cs="Arial"/>
                <w:color w:val="000000"/>
                <w:sz w:val="20"/>
                <w:szCs w:val="20"/>
                <w:lang w:val="es-MX"/>
              </w:rPr>
              <w:t xml:space="preserve">Se aprobó por mayoría de </w:t>
            </w:r>
            <w:r>
              <w:rPr>
                <w:rFonts w:ascii="Arial" w:hAnsi="Arial" w:cs="Arial"/>
                <w:color w:val="000000"/>
                <w:sz w:val="20"/>
                <w:szCs w:val="20"/>
                <w:lang w:val="es-MX"/>
              </w:rPr>
              <w:t>10</w:t>
            </w:r>
            <w:r w:rsidRPr="008E4D54">
              <w:rPr>
                <w:rFonts w:ascii="Arial" w:hAnsi="Arial" w:cs="Arial"/>
                <w:color w:val="000000"/>
                <w:sz w:val="20"/>
                <w:szCs w:val="20"/>
                <w:lang w:val="es-MX"/>
              </w:rPr>
              <w:t xml:space="preserve"> votos de los Ministro</w:t>
            </w:r>
            <w:r>
              <w:rPr>
                <w:rFonts w:ascii="Arial" w:hAnsi="Arial" w:cs="Arial"/>
                <w:color w:val="000000"/>
                <w:sz w:val="20"/>
                <w:szCs w:val="20"/>
                <w:lang w:val="es-MX"/>
              </w:rPr>
              <w:t xml:space="preserve"> </w:t>
            </w:r>
            <w:r w:rsidRPr="008E4D54">
              <w:rPr>
                <w:rFonts w:ascii="Arial" w:hAnsi="Arial" w:cs="Arial"/>
                <w:color w:val="000000"/>
                <w:sz w:val="20"/>
                <w:szCs w:val="20"/>
                <w:lang w:val="es-MX"/>
              </w:rPr>
              <w:t>Cossío Díaz, Luna Ramos, Franco González Salas, Zaldívar Lelo de</w:t>
            </w:r>
            <w:r>
              <w:rPr>
                <w:rFonts w:ascii="Arial" w:hAnsi="Arial" w:cs="Arial"/>
                <w:color w:val="000000"/>
                <w:sz w:val="20"/>
                <w:szCs w:val="20"/>
                <w:lang w:val="es-MX"/>
              </w:rPr>
              <w:t xml:space="preserve"> </w:t>
            </w:r>
            <w:r w:rsidRPr="008E4D54">
              <w:rPr>
                <w:rFonts w:ascii="Arial" w:hAnsi="Arial" w:cs="Arial"/>
                <w:color w:val="000000"/>
                <w:sz w:val="20"/>
                <w:szCs w:val="20"/>
                <w:lang w:val="es-MX"/>
              </w:rPr>
              <w:t>Larrea, Pardo Rebolledo, Silva Meza, Medina Mora I., Sánchez</w:t>
            </w:r>
            <w:r>
              <w:rPr>
                <w:rFonts w:ascii="Arial" w:hAnsi="Arial" w:cs="Arial"/>
                <w:color w:val="000000"/>
                <w:sz w:val="20"/>
                <w:szCs w:val="20"/>
                <w:lang w:val="es-MX"/>
              </w:rPr>
              <w:t xml:space="preserve"> </w:t>
            </w:r>
            <w:r w:rsidRPr="008E4D54">
              <w:rPr>
                <w:rFonts w:ascii="Arial" w:hAnsi="Arial" w:cs="Arial"/>
                <w:color w:val="000000"/>
                <w:sz w:val="20"/>
                <w:szCs w:val="20"/>
                <w:lang w:val="es-MX"/>
              </w:rPr>
              <w:t>Cordero de García Villegas, Pérez Dayán y Presidente Aguilar</w:t>
            </w:r>
            <w:r>
              <w:rPr>
                <w:rFonts w:ascii="Arial" w:hAnsi="Arial" w:cs="Arial"/>
                <w:color w:val="000000"/>
                <w:sz w:val="20"/>
                <w:szCs w:val="20"/>
                <w:lang w:val="es-MX"/>
              </w:rPr>
              <w:t xml:space="preserve"> </w:t>
            </w:r>
            <w:r w:rsidRPr="008E4D54">
              <w:rPr>
                <w:rFonts w:ascii="Arial" w:hAnsi="Arial" w:cs="Arial"/>
                <w:color w:val="000000"/>
                <w:sz w:val="20"/>
                <w:szCs w:val="20"/>
                <w:lang w:val="es-MX"/>
              </w:rPr>
              <w:t>Morales, respecto del considerando noveno, consistente en el</w:t>
            </w:r>
            <w:r>
              <w:rPr>
                <w:rFonts w:ascii="Arial" w:hAnsi="Arial" w:cs="Arial"/>
                <w:color w:val="000000"/>
                <w:sz w:val="20"/>
                <w:szCs w:val="20"/>
                <w:lang w:val="es-MX"/>
              </w:rPr>
              <w:t xml:space="preserve"> </w:t>
            </w:r>
            <w:r w:rsidRPr="008E4D54">
              <w:rPr>
                <w:rFonts w:ascii="Arial" w:hAnsi="Arial" w:cs="Arial"/>
                <w:color w:val="000000"/>
                <w:sz w:val="20"/>
                <w:szCs w:val="20"/>
                <w:lang w:val="es-MX"/>
              </w:rPr>
              <w:t>reconocimiento de validez de los artículos 27, párrafo 3, inciso f), 29,</w:t>
            </w:r>
            <w:r>
              <w:rPr>
                <w:rFonts w:ascii="Arial" w:hAnsi="Arial" w:cs="Arial"/>
                <w:color w:val="000000"/>
                <w:sz w:val="20"/>
                <w:szCs w:val="20"/>
                <w:lang w:val="es-MX"/>
              </w:rPr>
              <w:t xml:space="preserve"> </w:t>
            </w:r>
            <w:r w:rsidRPr="008E4D54">
              <w:rPr>
                <w:rFonts w:ascii="Arial" w:hAnsi="Arial" w:cs="Arial"/>
                <w:color w:val="000000"/>
                <w:sz w:val="20"/>
                <w:szCs w:val="20"/>
                <w:lang w:val="es-MX"/>
              </w:rPr>
              <w:t>35, 36, 37, 38, 39, 75, párrafos 1, inciso a), y 2, 248, 249 y 266 de la</w:t>
            </w:r>
          </w:p>
          <w:p w14:paraId="302899DA" w14:textId="0719C33D" w:rsidR="007B18DF" w:rsidRPr="00C75296" w:rsidRDefault="007B18DF" w:rsidP="00C75296">
            <w:pPr>
              <w:pStyle w:val="Prrafodelista"/>
              <w:ind w:left="144" w:right="286"/>
              <w:jc w:val="both"/>
              <w:rPr>
                <w:rFonts w:ascii="Arial" w:hAnsi="Arial" w:cs="Arial"/>
                <w:color w:val="000000"/>
                <w:sz w:val="20"/>
                <w:szCs w:val="20"/>
                <w:lang w:val="es-MX"/>
              </w:rPr>
            </w:pPr>
            <w:r w:rsidRPr="008E4D54">
              <w:rPr>
                <w:rFonts w:ascii="Arial" w:hAnsi="Arial" w:cs="Arial"/>
                <w:color w:val="000000"/>
                <w:sz w:val="20"/>
                <w:szCs w:val="20"/>
                <w:lang w:val="es-MX"/>
              </w:rPr>
              <w:t xml:space="preserve">Ley Electoral del Estado de Chihuahua. El </w:t>
            </w:r>
            <w:proofErr w:type="gramStart"/>
            <w:r w:rsidRPr="008E4D54">
              <w:rPr>
                <w:rFonts w:ascii="Arial" w:hAnsi="Arial" w:cs="Arial"/>
                <w:color w:val="000000"/>
                <w:sz w:val="20"/>
                <w:szCs w:val="20"/>
                <w:lang w:val="es-MX"/>
              </w:rPr>
              <w:t>Ministro</w:t>
            </w:r>
            <w:proofErr w:type="gramEnd"/>
            <w:r w:rsidRPr="008E4D54">
              <w:rPr>
                <w:rFonts w:ascii="Arial" w:hAnsi="Arial" w:cs="Arial"/>
                <w:color w:val="000000"/>
                <w:sz w:val="20"/>
                <w:szCs w:val="20"/>
                <w:lang w:val="es-MX"/>
              </w:rPr>
              <w:t xml:space="preserve"> Gutiérrez</w:t>
            </w:r>
            <w:r>
              <w:rPr>
                <w:rFonts w:ascii="Arial" w:hAnsi="Arial" w:cs="Arial"/>
                <w:color w:val="000000"/>
                <w:sz w:val="20"/>
                <w:szCs w:val="20"/>
                <w:lang w:val="es-MX"/>
              </w:rPr>
              <w:t xml:space="preserve"> </w:t>
            </w:r>
            <w:r w:rsidRPr="008E4D54">
              <w:rPr>
                <w:rFonts w:ascii="Arial" w:hAnsi="Arial" w:cs="Arial"/>
                <w:color w:val="000000"/>
                <w:sz w:val="20"/>
                <w:szCs w:val="20"/>
                <w:lang w:val="es-MX"/>
              </w:rPr>
              <w:t>Ortiz Mena votó en contra.</w:t>
            </w:r>
          </w:p>
        </w:tc>
      </w:tr>
      <w:tr w:rsidR="007B18DF" w:rsidRPr="00ED2D84" w14:paraId="2FC405F9" w14:textId="77777777" w:rsidTr="00C75296">
        <w:trPr>
          <w:trHeight w:val="283"/>
        </w:trPr>
        <w:tc>
          <w:tcPr>
            <w:tcW w:w="1877" w:type="dxa"/>
            <w:vAlign w:val="center"/>
          </w:tcPr>
          <w:p w14:paraId="55476A17" w14:textId="77777777" w:rsidR="007B18DF" w:rsidRDefault="00AF100A" w:rsidP="00C75296">
            <w:pPr>
              <w:jc w:val="center"/>
              <w:rPr>
                <w:rStyle w:val="Hipervnculo"/>
                <w:rFonts w:ascii="Arial" w:hAnsi="Arial" w:cs="Arial"/>
                <w:b/>
                <w:sz w:val="20"/>
                <w:szCs w:val="20"/>
                <w:lang w:val="es-MX"/>
              </w:rPr>
            </w:pPr>
            <w:hyperlink r:id="rId13" w:history="1">
              <w:r w:rsidR="007B18DF" w:rsidRPr="007D3105">
                <w:rPr>
                  <w:rStyle w:val="Hipervnculo"/>
                  <w:rFonts w:ascii="Arial" w:hAnsi="Arial" w:cs="Arial"/>
                  <w:b/>
                  <w:sz w:val="20"/>
                  <w:szCs w:val="20"/>
                  <w:lang w:val="es-MX"/>
                </w:rPr>
                <w:t>103/2015</w:t>
              </w:r>
            </w:hyperlink>
          </w:p>
          <w:p w14:paraId="2FBDD158" w14:textId="77777777" w:rsidR="007B18DF" w:rsidRDefault="007B18DF" w:rsidP="00C75296">
            <w:pPr>
              <w:jc w:val="center"/>
              <w:rPr>
                <w:rStyle w:val="Hipervnculo"/>
                <w:rFonts w:ascii="Arial" w:hAnsi="Arial" w:cs="Arial"/>
                <w:b/>
                <w:sz w:val="20"/>
                <w:szCs w:val="20"/>
                <w:lang w:val="es-MX"/>
              </w:rPr>
            </w:pPr>
          </w:p>
          <w:p w14:paraId="33CE6EBB" w14:textId="61ECEA80" w:rsidR="007B18DF" w:rsidRPr="00526600" w:rsidRDefault="007B18DF" w:rsidP="00C75296">
            <w:pPr>
              <w:jc w:val="center"/>
              <w:rPr>
                <w:rFonts w:ascii="Arial" w:hAnsi="Arial" w:cs="Arial"/>
                <w:b/>
                <w:bCs/>
                <w:sz w:val="20"/>
                <w:szCs w:val="20"/>
                <w:lang w:val="es-MX"/>
              </w:rPr>
            </w:pPr>
            <w:r w:rsidRPr="00526600">
              <w:rPr>
                <w:rStyle w:val="Hipervnculo"/>
                <w:rFonts w:ascii="Arial" w:hAnsi="Arial" w:cs="Arial"/>
                <w:b/>
                <w:bCs/>
                <w:color w:val="0D0D0D" w:themeColor="text1" w:themeTint="F2"/>
                <w:sz w:val="20"/>
                <w:szCs w:val="20"/>
                <w:u w:val="none"/>
              </w:rPr>
              <w:t>Tlaxcala</w:t>
            </w:r>
          </w:p>
        </w:tc>
        <w:tc>
          <w:tcPr>
            <w:tcW w:w="12294" w:type="dxa"/>
          </w:tcPr>
          <w:p w14:paraId="5BF1BB8A" w14:textId="77777777" w:rsidR="007B18DF" w:rsidRPr="00B05EF2" w:rsidRDefault="007B18DF" w:rsidP="007B18DF">
            <w:pPr>
              <w:pStyle w:val="Prrafodelista"/>
              <w:numPr>
                <w:ilvl w:val="0"/>
                <w:numId w:val="12"/>
              </w:numPr>
              <w:ind w:right="286"/>
              <w:jc w:val="both"/>
              <w:rPr>
                <w:rFonts w:ascii="Arial" w:hAnsi="Arial" w:cs="Arial"/>
                <w:b/>
                <w:color w:val="000000"/>
                <w:sz w:val="20"/>
                <w:szCs w:val="20"/>
                <w:lang w:val="es-MX"/>
              </w:rPr>
            </w:pPr>
            <w:r w:rsidRPr="00B05EF2">
              <w:rPr>
                <w:rFonts w:ascii="Arial" w:hAnsi="Arial" w:cs="Arial"/>
                <w:b/>
                <w:color w:val="000000"/>
                <w:sz w:val="20"/>
                <w:szCs w:val="20"/>
                <w:lang w:val="es-MX"/>
              </w:rPr>
              <w:t>Incompetencia del Congreso local para legislar en materia de fiscalización.</w:t>
            </w:r>
          </w:p>
          <w:p w14:paraId="63B47B17" w14:textId="77777777" w:rsidR="007B18DF" w:rsidRDefault="007B18DF" w:rsidP="007B18DF">
            <w:pPr>
              <w:ind w:left="144" w:right="286"/>
              <w:jc w:val="both"/>
              <w:rPr>
                <w:rFonts w:ascii="Arial" w:hAnsi="Arial" w:cs="Arial"/>
                <w:color w:val="000000"/>
                <w:sz w:val="20"/>
                <w:szCs w:val="20"/>
                <w:lang w:val="es-MX"/>
              </w:rPr>
            </w:pPr>
          </w:p>
          <w:p w14:paraId="1DE31905" w14:textId="77777777" w:rsidR="007B18DF" w:rsidRDefault="007B18DF" w:rsidP="007B18DF">
            <w:pPr>
              <w:ind w:left="144" w:right="286"/>
              <w:jc w:val="both"/>
              <w:rPr>
                <w:rFonts w:ascii="Arial" w:hAnsi="Arial" w:cs="Arial"/>
                <w:color w:val="000000"/>
                <w:sz w:val="20"/>
                <w:szCs w:val="20"/>
                <w:lang w:val="es-MX"/>
              </w:rPr>
            </w:pPr>
            <w:r w:rsidRPr="00562734">
              <w:rPr>
                <w:rFonts w:ascii="Arial" w:hAnsi="Arial" w:cs="Arial"/>
                <w:color w:val="000000"/>
                <w:sz w:val="20"/>
                <w:szCs w:val="20"/>
                <w:lang w:val="es-MX"/>
              </w:rPr>
              <w:t xml:space="preserve">El partido político actor argumentó que </w:t>
            </w:r>
            <w:r>
              <w:rPr>
                <w:rFonts w:ascii="Arial" w:hAnsi="Arial" w:cs="Arial"/>
                <w:color w:val="000000"/>
                <w:sz w:val="20"/>
                <w:szCs w:val="20"/>
                <w:lang w:val="es-MX"/>
              </w:rPr>
              <w:t>son</w:t>
            </w:r>
            <w:r w:rsidRPr="00562734">
              <w:rPr>
                <w:rFonts w:ascii="Arial" w:hAnsi="Arial" w:cs="Arial"/>
                <w:color w:val="000000"/>
                <w:sz w:val="20"/>
                <w:szCs w:val="20"/>
                <w:lang w:val="es-MX"/>
              </w:rPr>
              <w:t xml:space="preserve"> inconstitucionales los artículos 97 a 113 y 117 a 129 de la Ley de Partidos Políticos para el Estado de Tlaxcala, porque se invad</w:t>
            </w:r>
            <w:r>
              <w:rPr>
                <w:rFonts w:ascii="Arial" w:hAnsi="Arial" w:cs="Arial"/>
                <w:color w:val="000000"/>
                <w:sz w:val="20"/>
                <w:szCs w:val="20"/>
                <w:lang w:val="es-MX"/>
              </w:rPr>
              <w:t>e</w:t>
            </w:r>
            <w:r w:rsidRPr="00562734">
              <w:rPr>
                <w:rFonts w:ascii="Arial" w:hAnsi="Arial" w:cs="Arial"/>
                <w:color w:val="000000"/>
                <w:sz w:val="20"/>
                <w:szCs w:val="20"/>
                <w:lang w:val="es-MX"/>
              </w:rPr>
              <w:t xml:space="preserve"> la esfera de competencia del Congreso de la Unión y del Instituto Nacional Electoral, </w:t>
            </w:r>
            <w:r>
              <w:rPr>
                <w:rFonts w:ascii="Arial" w:hAnsi="Arial" w:cs="Arial"/>
                <w:color w:val="000000"/>
                <w:sz w:val="20"/>
                <w:szCs w:val="20"/>
                <w:lang w:val="es-MX"/>
              </w:rPr>
              <w:t xml:space="preserve">ya que </w:t>
            </w:r>
            <w:r w:rsidRPr="00562734">
              <w:rPr>
                <w:rFonts w:ascii="Arial" w:hAnsi="Arial" w:cs="Arial"/>
                <w:color w:val="000000"/>
                <w:sz w:val="20"/>
                <w:szCs w:val="20"/>
                <w:lang w:val="es-MX"/>
              </w:rPr>
              <w:t xml:space="preserve">se trataba de normas relativas a la facultad de fiscalización en materia político-electoral, al margen de la delegación que de dicha facultad pudiera hacer ese Instituto al Órgano Público Local, toda vez que las disposiciones cuya invalidez solicitó establecían desde reglas de sistema de contabilidad e informes de ingresos y gastos, hasta las relativas a la verificación de operaciones financieras con la autoridad hacendaria del Gobierno Federal, </w:t>
            </w:r>
            <w:r>
              <w:rPr>
                <w:rFonts w:ascii="Arial" w:hAnsi="Arial" w:cs="Arial"/>
                <w:color w:val="000000"/>
                <w:sz w:val="20"/>
                <w:szCs w:val="20"/>
                <w:lang w:val="es-MX"/>
              </w:rPr>
              <w:t xml:space="preserve">estableciendo </w:t>
            </w:r>
            <w:r w:rsidRPr="00562734">
              <w:rPr>
                <w:rFonts w:ascii="Arial" w:hAnsi="Arial" w:cs="Arial"/>
                <w:color w:val="000000"/>
                <w:sz w:val="20"/>
                <w:szCs w:val="20"/>
                <w:lang w:val="es-MX"/>
              </w:rPr>
              <w:t>obligaciones en cuanto al régimen financiero y reglas de fiscalización en general de actividades ordinarias y las correspondientes a los procesos electorales, aspectos que</w:t>
            </w:r>
            <w:r>
              <w:rPr>
                <w:rFonts w:ascii="Arial" w:hAnsi="Arial" w:cs="Arial"/>
                <w:color w:val="000000"/>
                <w:sz w:val="20"/>
                <w:szCs w:val="20"/>
                <w:lang w:val="es-MX"/>
              </w:rPr>
              <w:t xml:space="preserve"> son</w:t>
            </w:r>
            <w:r w:rsidRPr="00562734">
              <w:rPr>
                <w:rFonts w:ascii="Arial" w:hAnsi="Arial" w:cs="Arial"/>
                <w:color w:val="000000"/>
                <w:sz w:val="20"/>
                <w:szCs w:val="20"/>
                <w:lang w:val="es-MX"/>
              </w:rPr>
              <w:t xml:space="preserve"> facultad exclusiva del Congreso de la Unión</w:t>
            </w:r>
            <w:r>
              <w:rPr>
                <w:rFonts w:ascii="Arial" w:hAnsi="Arial" w:cs="Arial"/>
                <w:color w:val="000000"/>
                <w:sz w:val="20"/>
                <w:szCs w:val="20"/>
                <w:lang w:val="es-MX"/>
              </w:rPr>
              <w:t>,</w:t>
            </w:r>
            <w:r w:rsidRPr="00562734">
              <w:rPr>
                <w:rFonts w:ascii="Arial" w:hAnsi="Arial" w:cs="Arial"/>
                <w:color w:val="000000"/>
                <w:sz w:val="20"/>
                <w:szCs w:val="20"/>
                <w:lang w:val="es-MX"/>
              </w:rPr>
              <w:t xml:space="preserve"> en la esfera administrativa competencia del I</w:t>
            </w:r>
            <w:r>
              <w:rPr>
                <w:rFonts w:ascii="Arial" w:hAnsi="Arial" w:cs="Arial"/>
                <w:color w:val="000000"/>
                <w:sz w:val="20"/>
                <w:szCs w:val="20"/>
                <w:lang w:val="es-MX"/>
              </w:rPr>
              <w:t>NE</w:t>
            </w:r>
            <w:r w:rsidRPr="00562734">
              <w:rPr>
                <w:rFonts w:ascii="Arial" w:hAnsi="Arial" w:cs="Arial"/>
                <w:color w:val="000000"/>
                <w:sz w:val="20"/>
                <w:szCs w:val="20"/>
                <w:lang w:val="es-MX"/>
              </w:rPr>
              <w:t>, conforme a las bases de distribución de competencias prevista en la C</w:t>
            </w:r>
            <w:r>
              <w:rPr>
                <w:rFonts w:ascii="Arial" w:hAnsi="Arial" w:cs="Arial"/>
                <w:color w:val="000000"/>
                <w:sz w:val="20"/>
                <w:szCs w:val="20"/>
                <w:lang w:val="es-MX"/>
              </w:rPr>
              <w:t>PEUM</w:t>
            </w:r>
            <w:r w:rsidRPr="00562734">
              <w:rPr>
                <w:rFonts w:ascii="Arial" w:hAnsi="Arial" w:cs="Arial"/>
                <w:color w:val="000000"/>
                <w:sz w:val="20"/>
                <w:szCs w:val="20"/>
                <w:lang w:val="es-MX"/>
              </w:rPr>
              <w:t>.</w:t>
            </w:r>
          </w:p>
          <w:p w14:paraId="2C438B5E" w14:textId="77777777" w:rsidR="007B18DF" w:rsidRPr="00562734" w:rsidRDefault="007B18DF" w:rsidP="007B18DF">
            <w:pPr>
              <w:ind w:left="144" w:right="286"/>
              <w:jc w:val="both"/>
              <w:rPr>
                <w:rFonts w:ascii="Arial" w:hAnsi="Arial" w:cs="Arial"/>
                <w:i/>
                <w:color w:val="000000"/>
                <w:sz w:val="20"/>
                <w:szCs w:val="20"/>
                <w:lang w:val="es-MX"/>
              </w:rPr>
            </w:pPr>
          </w:p>
          <w:p w14:paraId="68B128CA" w14:textId="77777777" w:rsidR="007B18DF" w:rsidRDefault="007B18DF" w:rsidP="007B18DF">
            <w:pPr>
              <w:ind w:left="144" w:right="286"/>
              <w:jc w:val="both"/>
              <w:rPr>
                <w:rFonts w:ascii="Arial" w:hAnsi="Arial" w:cs="Arial"/>
                <w:b/>
                <w:color w:val="000000"/>
                <w:sz w:val="20"/>
                <w:szCs w:val="20"/>
                <w:lang w:val="es-MX"/>
              </w:rPr>
            </w:pPr>
            <w:r>
              <w:rPr>
                <w:rFonts w:ascii="Arial" w:hAnsi="Arial" w:cs="Arial"/>
                <w:b/>
                <w:color w:val="000000"/>
                <w:sz w:val="20"/>
                <w:szCs w:val="20"/>
                <w:lang w:val="es-MX"/>
              </w:rPr>
              <w:t>C</w:t>
            </w:r>
            <w:r w:rsidRPr="00562734">
              <w:rPr>
                <w:rFonts w:ascii="Arial" w:hAnsi="Arial" w:cs="Arial"/>
                <w:b/>
                <w:color w:val="000000"/>
                <w:sz w:val="20"/>
                <w:szCs w:val="20"/>
                <w:lang w:val="es-MX"/>
              </w:rPr>
              <w:t xml:space="preserve">onsideraciones </w:t>
            </w:r>
          </w:p>
          <w:p w14:paraId="6F76AF59" w14:textId="77777777" w:rsidR="007B18DF" w:rsidRPr="00562734" w:rsidRDefault="007B18DF" w:rsidP="007B18DF">
            <w:pPr>
              <w:ind w:left="144" w:right="286"/>
              <w:jc w:val="both"/>
              <w:rPr>
                <w:rFonts w:ascii="Arial" w:hAnsi="Arial" w:cs="Arial"/>
                <w:b/>
                <w:color w:val="000000"/>
                <w:sz w:val="20"/>
                <w:szCs w:val="20"/>
                <w:lang w:val="es-MX"/>
              </w:rPr>
            </w:pPr>
          </w:p>
          <w:p w14:paraId="3731E94F" w14:textId="77777777" w:rsidR="007B18DF" w:rsidRDefault="007B18DF" w:rsidP="007B18DF">
            <w:pPr>
              <w:ind w:left="144" w:right="286"/>
              <w:jc w:val="both"/>
              <w:rPr>
                <w:rFonts w:ascii="Arial" w:hAnsi="Arial" w:cs="Arial"/>
                <w:color w:val="000000"/>
                <w:sz w:val="20"/>
                <w:szCs w:val="20"/>
                <w:lang w:val="es-MX"/>
              </w:rPr>
            </w:pPr>
            <w:r>
              <w:rPr>
                <w:rFonts w:ascii="Arial" w:hAnsi="Arial" w:cs="Arial"/>
                <w:color w:val="000000"/>
                <w:sz w:val="20"/>
                <w:szCs w:val="20"/>
                <w:lang w:val="es-MX"/>
              </w:rPr>
              <w:t xml:space="preserve">El Pleno de la SCJN </w:t>
            </w:r>
            <w:r w:rsidRPr="00B33DF4">
              <w:rPr>
                <w:rFonts w:ascii="Arial" w:hAnsi="Arial" w:cs="Arial"/>
                <w:b/>
                <w:color w:val="000000"/>
                <w:sz w:val="20"/>
                <w:szCs w:val="20"/>
                <w:lang w:val="es-MX"/>
              </w:rPr>
              <w:t>declaró la validez</w:t>
            </w:r>
            <w:r w:rsidRPr="00B33DF4">
              <w:rPr>
                <w:rFonts w:ascii="Arial" w:hAnsi="Arial" w:cs="Arial"/>
                <w:color w:val="000000"/>
                <w:sz w:val="20"/>
                <w:szCs w:val="20"/>
                <w:lang w:val="es-MX"/>
              </w:rPr>
              <w:t xml:space="preserve"> de los artículos</w:t>
            </w:r>
            <w:r>
              <w:rPr>
                <w:rFonts w:ascii="Arial" w:hAnsi="Arial" w:cs="Arial"/>
                <w:color w:val="000000"/>
                <w:sz w:val="20"/>
                <w:szCs w:val="20"/>
                <w:lang w:val="es-MX"/>
              </w:rPr>
              <w:t xml:space="preserve"> </w:t>
            </w:r>
            <w:r w:rsidRPr="00B33DF4">
              <w:rPr>
                <w:rFonts w:ascii="Arial" w:hAnsi="Arial" w:cs="Arial"/>
                <w:color w:val="000000"/>
                <w:sz w:val="20"/>
                <w:szCs w:val="20"/>
                <w:lang w:val="es-MX"/>
              </w:rPr>
              <w:t>97,</w:t>
            </w:r>
            <w:r>
              <w:rPr>
                <w:rFonts w:ascii="Arial" w:hAnsi="Arial" w:cs="Arial"/>
                <w:color w:val="000000"/>
                <w:sz w:val="20"/>
                <w:szCs w:val="20"/>
                <w:lang w:val="es-MX"/>
              </w:rPr>
              <w:t xml:space="preserve"> </w:t>
            </w:r>
            <w:r w:rsidRPr="00B33DF4">
              <w:rPr>
                <w:rFonts w:ascii="Arial" w:hAnsi="Arial" w:cs="Arial"/>
                <w:color w:val="000000"/>
                <w:sz w:val="20"/>
                <w:szCs w:val="20"/>
                <w:lang w:val="es-MX"/>
              </w:rPr>
              <w:t>98, 99, 100, 101, 102, 103, 104, 105, 106, 107, 108, 109, 110, 111,</w:t>
            </w:r>
            <w:r>
              <w:rPr>
                <w:rFonts w:ascii="Arial" w:hAnsi="Arial" w:cs="Arial"/>
                <w:color w:val="000000"/>
                <w:sz w:val="20"/>
                <w:szCs w:val="20"/>
                <w:lang w:val="es-MX"/>
              </w:rPr>
              <w:t xml:space="preserve"> </w:t>
            </w:r>
            <w:r w:rsidRPr="00B33DF4">
              <w:rPr>
                <w:rFonts w:ascii="Arial" w:hAnsi="Arial" w:cs="Arial"/>
                <w:color w:val="000000"/>
                <w:sz w:val="20"/>
                <w:szCs w:val="20"/>
                <w:lang w:val="es-MX"/>
              </w:rPr>
              <w:t>112, 113, 117, 118, 119, 120, 121, 122, 123, 124, 125, 126, 127, 128 y</w:t>
            </w:r>
            <w:r>
              <w:rPr>
                <w:rFonts w:ascii="Arial" w:hAnsi="Arial" w:cs="Arial"/>
                <w:color w:val="000000"/>
                <w:sz w:val="20"/>
                <w:szCs w:val="20"/>
                <w:lang w:val="es-MX"/>
              </w:rPr>
              <w:t xml:space="preserve"> </w:t>
            </w:r>
            <w:r w:rsidRPr="00B33DF4">
              <w:rPr>
                <w:rFonts w:ascii="Arial" w:hAnsi="Arial" w:cs="Arial"/>
                <w:color w:val="000000"/>
                <w:sz w:val="20"/>
                <w:szCs w:val="20"/>
                <w:lang w:val="es-MX"/>
              </w:rPr>
              <w:t>129 de la Ley de Partidos Políticos para el Estado de Tlaxcala. Con</w:t>
            </w:r>
            <w:r>
              <w:rPr>
                <w:rFonts w:ascii="Arial" w:hAnsi="Arial" w:cs="Arial"/>
                <w:color w:val="000000"/>
                <w:sz w:val="20"/>
                <w:szCs w:val="20"/>
                <w:lang w:val="es-MX"/>
              </w:rPr>
              <w:t xml:space="preserve"> </w:t>
            </w:r>
            <w:r w:rsidRPr="00B33DF4">
              <w:rPr>
                <w:rFonts w:ascii="Arial" w:hAnsi="Arial" w:cs="Arial"/>
                <w:color w:val="000000"/>
                <w:sz w:val="20"/>
                <w:szCs w:val="20"/>
                <w:lang w:val="es-MX"/>
              </w:rPr>
              <w:t>excepción de lo establecido en la última parte del primer párrafo del</w:t>
            </w:r>
            <w:r>
              <w:rPr>
                <w:rFonts w:ascii="Arial" w:hAnsi="Arial" w:cs="Arial"/>
                <w:color w:val="000000"/>
                <w:sz w:val="20"/>
                <w:szCs w:val="20"/>
                <w:lang w:val="es-MX"/>
              </w:rPr>
              <w:t xml:space="preserve"> </w:t>
            </w:r>
            <w:r w:rsidRPr="00B33DF4">
              <w:rPr>
                <w:rFonts w:ascii="Arial" w:hAnsi="Arial" w:cs="Arial"/>
                <w:color w:val="000000"/>
                <w:sz w:val="20"/>
                <w:szCs w:val="20"/>
                <w:lang w:val="es-MX"/>
              </w:rPr>
              <w:t>artículo 117 de la Ley combatida, esto es, se entiende expulsado del</w:t>
            </w:r>
            <w:r>
              <w:rPr>
                <w:rFonts w:ascii="Arial" w:hAnsi="Arial" w:cs="Arial"/>
                <w:color w:val="000000"/>
                <w:sz w:val="20"/>
                <w:szCs w:val="20"/>
                <w:lang w:val="es-MX"/>
              </w:rPr>
              <w:t xml:space="preserve"> </w:t>
            </w:r>
            <w:r w:rsidRPr="00B33DF4">
              <w:rPr>
                <w:rFonts w:ascii="Arial" w:hAnsi="Arial" w:cs="Arial"/>
                <w:color w:val="000000"/>
                <w:sz w:val="20"/>
                <w:szCs w:val="20"/>
                <w:lang w:val="es-MX"/>
              </w:rPr>
              <w:t xml:space="preserve">sistema normativo de la Entidad, la hipótesis siguiente: </w:t>
            </w:r>
            <w:r w:rsidRPr="00881D7A">
              <w:rPr>
                <w:rFonts w:ascii="Arial" w:hAnsi="Arial" w:cs="Arial"/>
                <w:i/>
                <w:color w:val="000000"/>
                <w:sz w:val="20"/>
                <w:szCs w:val="20"/>
                <w:lang w:val="es-MX"/>
              </w:rPr>
              <w:t xml:space="preserve">“…En cualquiera de los dos casos la fiscalización se sujetará a las </w:t>
            </w:r>
            <w:r w:rsidRPr="00881D7A">
              <w:rPr>
                <w:rFonts w:ascii="Arial" w:hAnsi="Arial" w:cs="Arial"/>
                <w:i/>
                <w:color w:val="000000"/>
                <w:sz w:val="20"/>
                <w:szCs w:val="20"/>
                <w:lang w:val="es-MX"/>
              </w:rPr>
              <w:lastRenderedPageBreak/>
              <w:t xml:space="preserve">disposiciones siguientes: …”. </w:t>
            </w:r>
            <w:r>
              <w:rPr>
                <w:rFonts w:ascii="Arial" w:hAnsi="Arial" w:cs="Arial"/>
                <w:color w:val="000000"/>
                <w:sz w:val="20"/>
                <w:szCs w:val="20"/>
                <w:lang w:val="es-MX"/>
              </w:rPr>
              <w:t xml:space="preserve">ello </w:t>
            </w:r>
            <w:r w:rsidRPr="00B33DF4">
              <w:rPr>
                <w:rFonts w:ascii="Arial" w:hAnsi="Arial" w:cs="Arial"/>
                <w:color w:val="000000"/>
                <w:sz w:val="20"/>
                <w:szCs w:val="20"/>
                <w:lang w:val="es-MX"/>
              </w:rPr>
              <w:t>implic</w:t>
            </w:r>
            <w:r>
              <w:rPr>
                <w:rFonts w:ascii="Arial" w:hAnsi="Arial" w:cs="Arial"/>
                <w:color w:val="000000"/>
                <w:sz w:val="20"/>
                <w:szCs w:val="20"/>
                <w:lang w:val="es-MX"/>
              </w:rPr>
              <w:t>ó</w:t>
            </w:r>
            <w:r w:rsidRPr="00B33DF4">
              <w:rPr>
                <w:rFonts w:ascii="Arial" w:hAnsi="Arial" w:cs="Arial"/>
                <w:color w:val="000000"/>
                <w:sz w:val="20"/>
                <w:szCs w:val="20"/>
                <w:lang w:val="es-MX"/>
              </w:rPr>
              <w:t xml:space="preserve"> que la normatividad sólo rige en el caso</w:t>
            </w:r>
            <w:r>
              <w:rPr>
                <w:rFonts w:ascii="Arial" w:hAnsi="Arial" w:cs="Arial"/>
                <w:color w:val="000000"/>
                <w:sz w:val="20"/>
                <w:szCs w:val="20"/>
                <w:lang w:val="es-MX"/>
              </w:rPr>
              <w:t xml:space="preserve"> </w:t>
            </w:r>
            <w:r w:rsidRPr="00B33DF4">
              <w:rPr>
                <w:rFonts w:ascii="Arial" w:hAnsi="Arial" w:cs="Arial"/>
                <w:color w:val="000000"/>
                <w:sz w:val="20"/>
                <w:szCs w:val="20"/>
                <w:lang w:val="es-MX"/>
              </w:rPr>
              <w:t>de que el I</w:t>
            </w:r>
            <w:r>
              <w:rPr>
                <w:rFonts w:ascii="Arial" w:hAnsi="Arial" w:cs="Arial"/>
                <w:color w:val="000000"/>
                <w:sz w:val="20"/>
                <w:szCs w:val="20"/>
                <w:lang w:val="es-MX"/>
              </w:rPr>
              <w:t>NE</w:t>
            </w:r>
            <w:r w:rsidRPr="00B33DF4">
              <w:rPr>
                <w:rFonts w:ascii="Arial" w:hAnsi="Arial" w:cs="Arial"/>
                <w:color w:val="000000"/>
                <w:sz w:val="20"/>
                <w:szCs w:val="20"/>
                <w:lang w:val="es-MX"/>
              </w:rPr>
              <w:t xml:space="preserve"> delegue en el Instituto Estatal</w:t>
            </w:r>
            <w:r>
              <w:rPr>
                <w:rFonts w:ascii="Arial" w:hAnsi="Arial" w:cs="Arial"/>
                <w:color w:val="000000"/>
                <w:sz w:val="20"/>
                <w:szCs w:val="20"/>
                <w:lang w:val="es-MX"/>
              </w:rPr>
              <w:t xml:space="preserve"> </w:t>
            </w:r>
            <w:r w:rsidRPr="00B33DF4">
              <w:rPr>
                <w:rFonts w:ascii="Arial" w:hAnsi="Arial" w:cs="Arial"/>
                <w:color w:val="000000"/>
                <w:sz w:val="20"/>
                <w:szCs w:val="20"/>
                <w:lang w:val="es-MX"/>
              </w:rPr>
              <w:t xml:space="preserve">Electoral </w:t>
            </w:r>
            <w:r>
              <w:rPr>
                <w:rFonts w:ascii="Arial" w:hAnsi="Arial" w:cs="Arial"/>
                <w:color w:val="000000"/>
                <w:sz w:val="20"/>
                <w:szCs w:val="20"/>
                <w:lang w:val="es-MX"/>
              </w:rPr>
              <w:t xml:space="preserve">tiene </w:t>
            </w:r>
            <w:r w:rsidRPr="00B33DF4">
              <w:rPr>
                <w:rFonts w:ascii="Arial" w:hAnsi="Arial" w:cs="Arial"/>
                <w:color w:val="000000"/>
                <w:sz w:val="20"/>
                <w:szCs w:val="20"/>
                <w:lang w:val="es-MX"/>
              </w:rPr>
              <w:t>la facultad de fiscaliza</w:t>
            </w:r>
            <w:r>
              <w:rPr>
                <w:rFonts w:ascii="Arial" w:hAnsi="Arial" w:cs="Arial"/>
                <w:color w:val="000000"/>
                <w:sz w:val="20"/>
                <w:szCs w:val="20"/>
                <w:lang w:val="es-MX"/>
              </w:rPr>
              <w:t>r a los</w:t>
            </w:r>
            <w:r w:rsidRPr="00B33DF4">
              <w:rPr>
                <w:rFonts w:ascii="Arial" w:hAnsi="Arial" w:cs="Arial"/>
                <w:color w:val="000000"/>
                <w:sz w:val="20"/>
                <w:szCs w:val="20"/>
                <w:lang w:val="es-MX"/>
              </w:rPr>
              <w:t xml:space="preserve"> partidos políticos</w:t>
            </w:r>
            <w:r>
              <w:rPr>
                <w:rFonts w:ascii="Arial" w:hAnsi="Arial" w:cs="Arial"/>
                <w:color w:val="000000"/>
                <w:sz w:val="20"/>
                <w:szCs w:val="20"/>
                <w:lang w:val="es-MX"/>
              </w:rPr>
              <w:t xml:space="preserve">, es decir, </w:t>
            </w:r>
            <w:r w:rsidRPr="00B33DF4">
              <w:rPr>
                <w:rFonts w:ascii="Arial" w:hAnsi="Arial" w:cs="Arial"/>
                <w:color w:val="000000"/>
                <w:sz w:val="20"/>
                <w:szCs w:val="20"/>
                <w:lang w:val="es-MX"/>
              </w:rPr>
              <w:t>si el primer párrafo del artículo 117 de la Ley de</w:t>
            </w:r>
            <w:r>
              <w:rPr>
                <w:rFonts w:ascii="Arial" w:hAnsi="Arial" w:cs="Arial"/>
                <w:color w:val="000000"/>
                <w:sz w:val="20"/>
                <w:szCs w:val="20"/>
                <w:lang w:val="es-MX"/>
              </w:rPr>
              <w:t xml:space="preserve"> </w:t>
            </w:r>
            <w:r w:rsidRPr="00B33DF4">
              <w:rPr>
                <w:rFonts w:ascii="Arial" w:hAnsi="Arial" w:cs="Arial"/>
                <w:color w:val="000000"/>
                <w:sz w:val="20"/>
                <w:szCs w:val="20"/>
                <w:lang w:val="es-MX"/>
              </w:rPr>
              <w:t>Partidos Políticos para el Estado de Tlaxcala, establece que la</w:t>
            </w:r>
            <w:r>
              <w:rPr>
                <w:rFonts w:ascii="Arial" w:hAnsi="Arial" w:cs="Arial"/>
                <w:color w:val="000000"/>
                <w:sz w:val="20"/>
                <w:szCs w:val="20"/>
                <w:lang w:val="es-MX"/>
              </w:rPr>
              <w:t xml:space="preserve"> </w:t>
            </w:r>
            <w:r w:rsidRPr="00B33DF4">
              <w:rPr>
                <w:rFonts w:ascii="Arial" w:hAnsi="Arial" w:cs="Arial"/>
                <w:color w:val="000000"/>
                <w:sz w:val="20"/>
                <w:szCs w:val="20"/>
                <w:lang w:val="es-MX"/>
              </w:rPr>
              <w:t>disposiciones en materia de fiscalización se observarán tanto en el</w:t>
            </w:r>
            <w:r>
              <w:rPr>
                <w:rFonts w:ascii="Arial" w:hAnsi="Arial" w:cs="Arial"/>
                <w:color w:val="000000"/>
                <w:sz w:val="20"/>
                <w:szCs w:val="20"/>
                <w:lang w:val="es-MX"/>
              </w:rPr>
              <w:t xml:space="preserve"> </w:t>
            </w:r>
            <w:r w:rsidRPr="00B33DF4">
              <w:rPr>
                <w:rFonts w:ascii="Arial" w:hAnsi="Arial" w:cs="Arial"/>
                <w:color w:val="000000"/>
                <w:sz w:val="20"/>
                <w:szCs w:val="20"/>
                <w:lang w:val="es-MX"/>
              </w:rPr>
              <w:t>caso de que ese acto lo lleve a cabo el I</w:t>
            </w:r>
            <w:r>
              <w:rPr>
                <w:rFonts w:ascii="Arial" w:hAnsi="Arial" w:cs="Arial"/>
                <w:color w:val="000000"/>
                <w:sz w:val="20"/>
                <w:szCs w:val="20"/>
                <w:lang w:val="es-MX"/>
              </w:rPr>
              <w:t>NE</w:t>
            </w:r>
            <w:r w:rsidRPr="00B33DF4">
              <w:rPr>
                <w:rFonts w:ascii="Arial" w:hAnsi="Arial" w:cs="Arial"/>
                <w:color w:val="000000"/>
                <w:sz w:val="20"/>
                <w:szCs w:val="20"/>
                <w:lang w:val="es-MX"/>
              </w:rPr>
              <w:t xml:space="preserve"> o el</w:t>
            </w:r>
            <w:r>
              <w:rPr>
                <w:rFonts w:ascii="Arial" w:hAnsi="Arial" w:cs="Arial"/>
                <w:color w:val="000000"/>
                <w:sz w:val="20"/>
                <w:szCs w:val="20"/>
                <w:lang w:val="es-MX"/>
              </w:rPr>
              <w:t xml:space="preserve"> </w:t>
            </w:r>
            <w:r w:rsidRPr="00B33DF4">
              <w:rPr>
                <w:rFonts w:ascii="Arial" w:hAnsi="Arial" w:cs="Arial"/>
                <w:color w:val="000000"/>
                <w:sz w:val="20"/>
                <w:szCs w:val="20"/>
                <w:lang w:val="es-MX"/>
              </w:rPr>
              <w:t>Instituto local</w:t>
            </w:r>
            <w:r>
              <w:rPr>
                <w:rFonts w:ascii="Arial" w:hAnsi="Arial" w:cs="Arial"/>
                <w:color w:val="000000"/>
                <w:sz w:val="20"/>
                <w:szCs w:val="20"/>
                <w:lang w:val="es-MX"/>
              </w:rPr>
              <w:t>,</w:t>
            </w:r>
            <w:r w:rsidRPr="00B33DF4">
              <w:rPr>
                <w:rFonts w:ascii="Arial" w:hAnsi="Arial" w:cs="Arial"/>
                <w:color w:val="000000"/>
                <w:sz w:val="20"/>
                <w:szCs w:val="20"/>
                <w:lang w:val="es-MX"/>
              </w:rPr>
              <w:t xml:space="preserve"> significa que se trata de una regla inconstitucional,</w:t>
            </w:r>
            <w:r>
              <w:rPr>
                <w:rFonts w:ascii="Arial" w:hAnsi="Arial" w:cs="Arial"/>
                <w:color w:val="000000"/>
                <w:sz w:val="20"/>
                <w:szCs w:val="20"/>
                <w:lang w:val="es-MX"/>
              </w:rPr>
              <w:t xml:space="preserve"> ya que </w:t>
            </w:r>
            <w:r w:rsidRPr="00B33DF4">
              <w:rPr>
                <w:rFonts w:ascii="Arial" w:hAnsi="Arial" w:cs="Arial"/>
                <w:color w:val="000000"/>
                <w:sz w:val="20"/>
                <w:szCs w:val="20"/>
                <w:lang w:val="es-MX"/>
              </w:rPr>
              <w:t>es válid</w:t>
            </w:r>
            <w:r>
              <w:rPr>
                <w:rFonts w:ascii="Arial" w:hAnsi="Arial" w:cs="Arial"/>
                <w:color w:val="000000"/>
                <w:sz w:val="20"/>
                <w:szCs w:val="20"/>
                <w:lang w:val="es-MX"/>
              </w:rPr>
              <w:t>o</w:t>
            </w:r>
            <w:r w:rsidRPr="00B33DF4">
              <w:rPr>
                <w:rFonts w:ascii="Arial" w:hAnsi="Arial" w:cs="Arial"/>
                <w:color w:val="000000"/>
                <w:sz w:val="20"/>
                <w:szCs w:val="20"/>
                <w:lang w:val="es-MX"/>
              </w:rPr>
              <w:t xml:space="preserve"> la emisión de preceptos en materia de fiscalización, en la</w:t>
            </w:r>
            <w:r>
              <w:rPr>
                <w:rFonts w:ascii="Arial" w:hAnsi="Arial" w:cs="Arial"/>
                <w:color w:val="000000"/>
                <w:sz w:val="20"/>
                <w:szCs w:val="20"/>
                <w:lang w:val="es-MX"/>
              </w:rPr>
              <w:t xml:space="preserve"> </w:t>
            </w:r>
            <w:r w:rsidRPr="00B33DF4">
              <w:rPr>
                <w:rFonts w:ascii="Arial" w:hAnsi="Arial" w:cs="Arial"/>
                <w:color w:val="000000"/>
                <w:sz w:val="20"/>
                <w:szCs w:val="20"/>
                <w:lang w:val="es-MX"/>
              </w:rPr>
              <w:t>medida de que se entiendan referidos al supuesto en que opere en</w:t>
            </w:r>
            <w:r>
              <w:rPr>
                <w:rFonts w:ascii="Arial" w:hAnsi="Arial" w:cs="Arial"/>
                <w:color w:val="000000"/>
                <w:sz w:val="20"/>
                <w:szCs w:val="20"/>
                <w:lang w:val="es-MX"/>
              </w:rPr>
              <w:t xml:space="preserve"> </w:t>
            </w:r>
            <w:r w:rsidRPr="00B33DF4">
              <w:rPr>
                <w:rFonts w:ascii="Arial" w:hAnsi="Arial" w:cs="Arial"/>
                <w:color w:val="000000"/>
                <w:sz w:val="20"/>
                <w:szCs w:val="20"/>
                <w:lang w:val="es-MX"/>
              </w:rPr>
              <w:t>favor del organismo electoral local la delegación de la facultad</w:t>
            </w:r>
            <w:r>
              <w:rPr>
                <w:rFonts w:ascii="Arial" w:hAnsi="Arial" w:cs="Arial"/>
                <w:color w:val="000000"/>
                <w:sz w:val="20"/>
                <w:szCs w:val="20"/>
                <w:lang w:val="es-MX"/>
              </w:rPr>
              <w:t xml:space="preserve"> </w:t>
            </w:r>
            <w:r w:rsidRPr="00B33DF4">
              <w:rPr>
                <w:rFonts w:ascii="Arial" w:hAnsi="Arial" w:cs="Arial"/>
                <w:color w:val="000000"/>
                <w:sz w:val="20"/>
                <w:szCs w:val="20"/>
                <w:lang w:val="es-MX"/>
              </w:rPr>
              <w:t>fiscalizadora de partidos políticos, sin que ello implique que deba</w:t>
            </w:r>
            <w:r>
              <w:rPr>
                <w:rFonts w:ascii="Arial" w:hAnsi="Arial" w:cs="Arial"/>
                <w:color w:val="000000"/>
                <w:sz w:val="20"/>
                <w:szCs w:val="20"/>
                <w:lang w:val="es-MX"/>
              </w:rPr>
              <w:t xml:space="preserve"> </w:t>
            </w:r>
            <w:r w:rsidRPr="00B33DF4">
              <w:rPr>
                <w:rFonts w:ascii="Arial" w:hAnsi="Arial" w:cs="Arial"/>
                <w:color w:val="000000"/>
                <w:sz w:val="20"/>
                <w:szCs w:val="20"/>
                <w:lang w:val="es-MX"/>
              </w:rPr>
              <w:t>observarlas o que le serán aplicables</w:t>
            </w:r>
            <w:r>
              <w:rPr>
                <w:rFonts w:ascii="Arial" w:hAnsi="Arial" w:cs="Arial"/>
                <w:color w:val="000000"/>
                <w:sz w:val="20"/>
                <w:szCs w:val="20"/>
                <w:lang w:val="es-MX"/>
              </w:rPr>
              <w:t xml:space="preserve"> </w:t>
            </w:r>
            <w:r w:rsidRPr="00B33DF4">
              <w:rPr>
                <w:rFonts w:ascii="Arial" w:hAnsi="Arial" w:cs="Arial"/>
                <w:color w:val="000000"/>
                <w:sz w:val="20"/>
                <w:szCs w:val="20"/>
                <w:lang w:val="es-MX"/>
              </w:rPr>
              <w:t>cuando él lleve a cabo la fiscalización.</w:t>
            </w:r>
          </w:p>
          <w:p w14:paraId="10D05ED5" w14:textId="77777777" w:rsidR="007B18DF" w:rsidRDefault="007B18DF" w:rsidP="007B18DF">
            <w:pPr>
              <w:ind w:left="144" w:right="286"/>
              <w:jc w:val="both"/>
              <w:rPr>
                <w:rFonts w:ascii="Arial" w:hAnsi="Arial" w:cs="Arial"/>
                <w:color w:val="000000"/>
                <w:sz w:val="20"/>
                <w:szCs w:val="20"/>
                <w:lang w:val="es-MX"/>
              </w:rPr>
            </w:pPr>
          </w:p>
          <w:p w14:paraId="24D2D0C5" w14:textId="77777777" w:rsidR="007B18DF" w:rsidRDefault="007B18DF" w:rsidP="007B18DF">
            <w:pPr>
              <w:ind w:left="144" w:right="286"/>
              <w:jc w:val="both"/>
              <w:rPr>
                <w:rFonts w:ascii="Arial" w:hAnsi="Arial" w:cs="Arial"/>
                <w:color w:val="000000"/>
                <w:sz w:val="20"/>
                <w:szCs w:val="20"/>
                <w:lang w:val="es-MX"/>
              </w:rPr>
            </w:pPr>
            <w:r>
              <w:rPr>
                <w:rFonts w:ascii="Arial" w:hAnsi="Arial" w:cs="Arial"/>
                <w:color w:val="000000"/>
                <w:sz w:val="20"/>
                <w:szCs w:val="20"/>
                <w:lang w:val="es-MX"/>
              </w:rPr>
              <w:t>Señaló que l</w:t>
            </w:r>
            <w:r w:rsidRPr="00562734">
              <w:rPr>
                <w:rFonts w:ascii="Arial" w:hAnsi="Arial" w:cs="Arial"/>
                <w:color w:val="000000"/>
                <w:sz w:val="20"/>
                <w:szCs w:val="20"/>
                <w:lang w:val="es-MX"/>
              </w:rPr>
              <w:t>os artículos 102, 117, 118, 119, 120, 121, 122, 123, 124, 125, 126, 127, 128 y 129 de la Ley de Partidos Políticos para el Estado de Tlaxcala, contenían supuestos normativos sobre la verificación de operaciones financieras, concretamente el 102,  se refie</w:t>
            </w:r>
            <w:r>
              <w:rPr>
                <w:rFonts w:ascii="Arial" w:hAnsi="Arial" w:cs="Arial"/>
                <w:color w:val="000000"/>
                <w:sz w:val="20"/>
                <w:szCs w:val="20"/>
                <w:lang w:val="es-MX"/>
              </w:rPr>
              <w:t>re</w:t>
            </w:r>
            <w:r w:rsidRPr="00562734">
              <w:rPr>
                <w:rFonts w:ascii="Arial" w:hAnsi="Arial" w:cs="Arial"/>
                <w:color w:val="000000"/>
                <w:sz w:val="20"/>
                <w:szCs w:val="20"/>
                <w:lang w:val="es-MX"/>
              </w:rPr>
              <w:t xml:space="preserve"> a la fiscalización de partidos políticos, es decir, la fiscalización de las actividades ordinarias permanentes, la fiscalización durante los procesos electorales, los informes de ingresos y gastos, distinguidos por informes trimestrales de avance del ejercicio, informes anuales de gasto ordinario, informes de precampaña e informes de campaña; por tanto, las disposiciones referidas serían analizadas a la luz del concepto de invalidez relativo a la falta de competencia del Congreso del Estado de Tlaxcala</w:t>
            </w:r>
            <w:r>
              <w:rPr>
                <w:rFonts w:ascii="Arial" w:hAnsi="Arial" w:cs="Arial"/>
                <w:color w:val="000000"/>
                <w:sz w:val="20"/>
                <w:szCs w:val="20"/>
                <w:lang w:val="es-MX"/>
              </w:rPr>
              <w:t>,</w:t>
            </w:r>
            <w:r w:rsidRPr="00562734">
              <w:rPr>
                <w:rFonts w:ascii="Arial" w:hAnsi="Arial" w:cs="Arial"/>
                <w:color w:val="000000"/>
                <w:sz w:val="20"/>
                <w:szCs w:val="20"/>
                <w:lang w:val="es-MX"/>
              </w:rPr>
              <w:t xml:space="preserve"> para legislar en materia de fiscalización electoral y la consecuente carencia de facultades del Instituto Electoral local para ejercer esa función.</w:t>
            </w:r>
          </w:p>
          <w:p w14:paraId="25493679" w14:textId="77777777" w:rsidR="007B18DF" w:rsidRDefault="007B18DF" w:rsidP="007B18DF">
            <w:pPr>
              <w:ind w:left="144" w:right="286"/>
              <w:jc w:val="both"/>
              <w:rPr>
                <w:rFonts w:ascii="Arial" w:hAnsi="Arial" w:cs="Arial"/>
                <w:color w:val="000000"/>
                <w:sz w:val="20"/>
                <w:szCs w:val="20"/>
                <w:lang w:val="es-MX"/>
              </w:rPr>
            </w:pPr>
          </w:p>
          <w:p w14:paraId="04BB777C" w14:textId="77777777" w:rsidR="007B18DF" w:rsidRDefault="007B18DF" w:rsidP="007B18DF">
            <w:pPr>
              <w:ind w:left="144" w:right="286"/>
              <w:jc w:val="both"/>
              <w:rPr>
                <w:rFonts w:ascii="Arial" w:hAnsi="Arial" w:cs="Arial"/>
                <w:color w:val="000000"/>
                <w:sz w:val="20"/>
                <w:szCs w:val="20"/>
                <w:lang w:val="es-MX"/>
              </w:rPr>
            </w:pPr>
            <w:r w:rsidRPr="00562734">
              <w:rPr>
                <w:rFonts w:ascii="Arial" w:hAnsi="Arial" w:cs="Arial"/>
                <w:color w:val="000000"/>
                <w:sz w:val="20"/>
                <w:szCs w:val="20"/>
                <w:lang w:val="es-MX"/>
              </w:rPr>
              <w:t>E</w:t>
            </w:r>
            <w:r>
              <w:rPr>
                <w:rFonts w:ascii="Arial" w:hAnsi="Arial" w:cs="Arial"/>
                <w:color w:val="000000"/>
                <w:sz w:val="20"/>
                <w:szCs w:val="20"/>
                <w:lang w:val="es-MX"/>
              </w:rPr>
              <w:t>l</w:t>
            </w:r>
            <w:r w:rsidRPr="00562734">
              <w:rPr>
                <w:rFonts w:ascii="Arial" w:hAnsi="Arial" w:cs="Arial"/>
                <w:color w:val="000000"/>
                <w:sz w:val="20"/>
                <w:szCs w:val="20"/>
                <w:lang w:val="es-MX"/>
              </w:rPr>
              <w:t xml:space="preserve"> Tribunal Pleno, </w:t>
            </w:r>
            <w:r>
              <w:rPr>
                <w:rFonts w:ascii="Arial" w:hAnsi="Arial" w:cs="Arial"/>
                <w:color w:val="000000"/>
                <w:sz w:val="20"/>
                <w:szCs w:val="20"/>
                <w:lang w:val="es-MX"/>
              </w:rPr>
              <w:t xml:space="preserve">sostuvo </w:t>
            </w:r>
            <w:r w:rsidRPr="00562734">
              <w:rPr>
                <w:rFonts w:ascii="Arial" w:hAnsi="Arial" w:cs="Arial"/>
                <w:color w:val="000000"/>
                <w:sz w:val="20"/>
                <w:szCs w:val="20"/>
                <w:lang w:val="es-MX"/>
              </w:rPr>
              <w:t>que si bien las legislaturas locales carecían de atribuciones para regular la fiscalización de los partidos políticos, también lo era que pudieran tener un margen de intervención las legislaturas locales en esa regulación, en el caso de que el I</w:t>
            </w:r>
            <w:r>
              <w:rPr>
                <w:rFonts w:ascii="Arial" w:hAnsi="Arial" w:cs="Arial"/>
                <w:color w:val="000000"/>
                <w:sz w:val="20"/>
                <w:szCs w:val="20"/>
                <w:lang w:val="es-MX"/>
              </w:rPr>
              <w:t>NE</w:t>
            </w:r>
            <w:r w:rsidRPr="00562734">
              <w:rPr>
                <w:rFonts w:ascii="Arial" w:hAnsi="Arial" w:cs="Arial"/>
                <w:color w:val="000000"/>
                <w:sz w:val="20"/>
                <w:szCs w:val="20"/>
                <w:lang w:val="es-MX"/>
              </w:rPr>
              <w:t xml:space="preserve"> delegara su atribución fiscalizadora en favor de los organismos electorales locales, ello sujeto a los límites consistentes en que la normatividad sólo tenía obligatoriedad dentro de la entidad, por lo que sólo era vinculante en el régimen jurídico interno para las autoridades estatales, sin poder imponer ningún tipo de norma o condicionante a las facultades del I</w:t>
            </w:r>
            <w:r>
              <w:rPr>
                <w:rFonts w:ascii="Arial" w:hAnsi="Arial" w:cs="Arial"/>
                <w:color w:val="000000"/>
                <w:sz w:val="20"/>
                <w:szCs w:val="20"/>
                <w:lang w:val="es-MX"/>
              </w:rPr>
              <w:t>NE</w:t>
            </w:r>
            <w:r w:rsidRPr="00562734">
              <w:rPr>
                <w:rFonts w:ascii="Arial" w:hAnsi="Arial" w:cs="Arial"/>
                <w:color w:val="000000"/>
                <w:sz w:val="20"/>
                <w:szCs w:val="20"/>
                <w:lang w:val="es-MX"/>
              </w:rPr>
              <w:t>.</w:t>
            </w:r>
          </w:p>
          <w:p w14:paraId="26E37404" w14:textId="77777777" w:rsidR="007B18DF" w:rsidRPr="00562734" w:rsidRDefault="007B18DF" w:rsidP="007B18DF">
            <w:pPr>
              <w:ind w:left="144" w:right="286"/>
              <w:jc w:val="both"/>
              <w:rPr>
                <w:rFonts w:ascii="Arial" w:hAnsi="Arial" w:cs="Arial"/>
                <w:color w:val="000000"/>
                <w:sz w:val="20"/>
                <w:szCs w:val="20"/>
                <w:lang w:val="es-MX"/>
              </w:rPr>
            </w:pPr>
          </w:p>
          <w:p w14:paraId="7EE6781E" w14:textId="77777777" w:rsidR="007B18DF" w:rsidRDefault="007B18DF" w:rsidP="007B18DF">
            <w:pPr>
              <w:ind w:left="144" w:right="286"/>
              <w:jc w:val="both"/>
              <w:rPr>
                <w:rFonts w:ascii="Arial" w:hAnsi="Arial" w:cs="Arial"/>
                <w:color w:val="000000"/>
                <w:sz w:val="20"/>
                <w:szCs w:val="20"/>
                <w:lang w:val="es-MX"/>
              </w:rPr>
            </w:pPr>
            <w:r w:rsidRPr="00562734">
              <w:rPr>
                <w:rFonts w:ascii="Arial" w:hAnsi="Arial" w:cs="Arial"/>
                <w:color w:val="000000"/>
                <w:sz w:val="20"/>
                <w:szCs w:val="20"/>
                <w:lang w:val="es-MX"/>
              </w:rPr>
              <w:t>De igual forma determinó que el concepto de invalidez era parcialmente fundado, pues en primer término, debía decirse que el Congreso del Estado de Tlaxcala</w:t>
            </w:r>
            <w:r>
              <w:rPr>
                <w:rFonts w:ascii="Arial" w:hAnsi="Arial" w:cs="Arial"/>
                <w:color w:val="000000"/>
                <w:sz w:val="20"/>
                <w:szCs w:val="20"/>
                <w:lang w:val="es-MX"/>
              </w:rPr>
              <w:t>,</w:t>
            </w:r>
            <w:r w:rsidRPr="00562734">
              <w:rPr>
                <w:rFonts w:ascii="Arial" w:hAnsi="Arial" w:cs="Arial"/>
                <w:color w:val="000000"/>
                <w:sz w:val="20"/>
                <w:szCs w:val="20"/>
                <w:lang w:val="es-MX"/>
              </w:rPr>
              <w:t xml:space="preserve"> se encontraba autorizado para establecer la normatividad para operar en favor del organismo electoral local, la </w:t>
            </w:r>
            <w:r>
              <w:rPr>
                <w:rFonts w:ascii="Arial" w:hAnsi="Arial" w:cs="Arial"/>
                <w:color w:val="000000"/>
                <w:sz w:val="20"/>
                <w:szCs w:val="20"/>
                <w:lang w:val="es-MX"/>
              </w:rPr>
              <w:t>función</w:t>
            </w:r>
            <w:r w:rsidRPr="00562734">
              <w:rPr>
                <w:rFonts w:ascii="Arial" w:hAnsi="Arial" w:cs="Arial"/>
                <w:color w:val="000000"/>
                <w:sz w:val="20"/>
                <w:szCs w:val="20"/>
                <w:lang w:val="es-MX"/>
              </w:rPr>
              <w:t xml:space="preserve"> de la facultad fiscalizadora a partidos políticos,</w:t>
            </w:r>
            <w:r>
              <w:rPr>
                <w:rFonts w:ascii="Arial" w:hAnsi="Arial" w:cs="Arial"/>
                <w:color w:val="000000"/>
                <w:sz w:val="20"/>
                <w:szCs w:val="20"/>
                <w:lang w:val="es-MX"/>
              </w:rPr>
              <w:t xml:space="preserve"> ya que</w:t>
            </w:r>
            <w:r w:rsidRPr="00562734">
              <w:rPr>
                <w:rFonts w:ascii="Arial" w:hAnsi="Arial" w:cs="Arial"/>
                <w:color w:val="000000"/>
                <w:sz w:val="20"/>
                <w:szCs w:val="20"/>
                <w:lang w:val="es-MX"/>
              </w:rPr>
              <w:t xml:space="preserve"> el artículo 117 en su primer párrafo de la </w:t>
            </w:r>
            <w:r>
              <w:rPr>
                <w:rFonts w:ascii="Arial" w:hAnsi="Arial" w:cs="Arial"/>
                <w:color w:val="000000"/>
                <w:sz w:val="20"/>
                <w:szCs w:val="20"/>
                <w:lang w:val="es-MX"/>
              </w:rPr>
              <w:t xml:space="preserve">Ley </w:t>
            </w:r>
            <w:r w:rsidRPr="00562734">
              <w:rPr>
                <w:rFonts w:ascii="Arial" w:hAnsi="Arial" w:cs="Arial"/>
                <w:color w:val="000000"/>
                <w:sz w:val="20"/>
                <w:szCs w:val="20"/>
                <w:lang w:val="es-MX"/>
              </w:rPr>
              <w:t>impugnada, se reconoció que e</w:t>
            </w:r>
            <w:r>
              <w:rPr>
                <w:rFonts w:ascii="Arial" w:hAnsi="Arial" w:cs="Arial"/>
                <w:color w:val="000000"/>
                <w:sz w:val="20"/>
                <w:szCs w:val="20"/>
                <w:lang w:val="es-MX"/>
              </w:rPr>
              <w:t>s</w:t>
            </w:r>
            <w:r w:rsidRPr="00562734">
              <w:rPr>
                <w:rFonts w:ascii="Arial" w:hAnsi="Arial" w:cs="Arial"/>
                <w:color w:val="000000"/>
                <w:sz w:val="20"/>
                <w:szCs w:val="20"/>
                <w:lang w:val="es-MX"/>
              </w:rPr>
              <w:t xml:space="preserve"> facultad del I</w:t>
            </w:r>
            <w:r>
              <w:rPr>
                <w:rFonts w:ascii="Arial" w:hAnsi="Arial" w:cs="Arial"/>
                <w:color w:val="000000"/>
                <w:sz w:val="20"/>
                <w:szCs w:val="20"/>
                <w:lang w:val="es-MX"/>
              </w:rPr>
              <w:t>NE,</w:t>
            </w:r>
            <w:r w:rsidRPr="00562734">
              <w:rPr>
                <w:rFonts w:ascii="Arial" w:hAnsi="Arial" w:cs="Arial"/>
                <w:color w:val="000000"/>
                <w:sz w:val="20"/>
                <w:szCs w:val="20"/>
                <w:lang w:val="es-MX"/>
              </w:rPr>
              <w:t xml:space="preserve"> </w:t>
            </w:r>
            <w:r>
              <w:rPr>
                <w:rFonts w:ascii="Arial" w:hAnsi="Arial" w:cs="Arial"/>
                <w:color w:val="000000"/>
                <w:sz w:val="20"/>
                <w:szCs w:val="20"/>
                <w:lang w:val="es-MX"/>
              </w:rPr>
              <w:t xml:space="preserve">realizar </w:t>
            </w:r>
            <w:r w:rsidRPr="00562734">
              <w:rPr>
                <w:rFonts w:ascii="Arial" w:hAnsi="Arial" w:cs="Arial"/>
                <w:color w:val="000000"/>
                <w:sz w:val="20"/>
                <w:szCs w:val="20"/>
                <w:lang w:val="es-MX"/>
              </w:rPr>
              <w:t>la fiscalización a los recursos de los partidos políticos, por lo que la regulación combatida no significaba una supuesta invasión de esfera competencial, siempre y cuando, se limitara al territorio estatal, sin generar obligaciones a cargo del I</w:t>
            </w:r>
            <w:r>
              <w:rPr>
                <w:rFonts w:ascii="Arial" w:hAnsi="Arial" w:cs="Arial"/>
                <w:color w:val="000000"/>
                <w:sz w:val="20"/>
                <w:szCs w:val="20"/>
                <w:lang w:val="es-MX"/>
              </w:rPr>
              <w:t>NE.</w:t>
            </w:r>
          </w:p>
          <w:p w14:paraId="6A9B1FB7" w14:textId="77777777" w:rsidR="007B18DF" w:rsidRDefault="007B18DF" w:rsidP="007B18DF">
            <w:pPr>
              <w:ind w:left="144" w:right="286"/>
              <w:jc w:val="both"/>
              <w:rPr>
                <w:rFonts w:ascii="Arial" w:hAnsi="Arial" w:cs="Arial"/>
                <w:color w:val="000000"/>
                <w:sz w:val="20"/>
                <w:szCs w:val="20"/>
                <w:lang w:val="es-MX"/>
              </w:rPr>
            </w:pPr>
          </w:p>
          <w:p w14:paraId="5C1CA365" w14:textId="77777777" w:rsidR="007B18DF" w:rsidRPr="00B33DF4" w:rsidRDefault="007B18DF" w:rsidP="007B18DF">
            <w:pPr>
              <w:ind w:left="144" w:right="286"/>
              <w:jc w:val="both"/>
              <w:rPr>
                <w:rFonts w:ascii="Arial" w:hAnsi="Arial" w:cs="Arial"/>
                <w:b/>
                <w:color w:val="000000"/>
                <w:sz w:val="20"/>
                <w:szCs w:val="20"/>
                <w:lang w:val="es-MX"/>
              </w:rPr>
            </w:pPr>
            <w:r w:rsidRPr="00B33DF4">
              <w:rPr>
                <w:rFonts w:ascii="Arial" w:hAnsi="Arial" w:cs="Arial"/>
                <w:b/>
                <w:color w:val="000000"/>
                <w:sz w:val="20"/>
                <w:szCs w:val="20"/>
                <w:lang w:val="es-MX"/>
              </w:rPr>
              <w:t>Resolutivos:</w:t>
            </w:r>
          </w:p>
          <w:p w14:paraId="72360071" w14:textId="77777777" w:rsidR="003737BE" w:rsidRDefault="003737BE" w:rsidP="003737BE">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1CBBF04E" w14:textId="77777777" w:rsidR="003737BE" w:rsidRDefault="003737BE" w:rsidP="003737BE">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70FEA08C" w14:textId="77777777" w:rsidR="003737BE" w:rsidRDefault="003737BE" w:rsidP="003737BE">
            <w:pPr>
              <w:pStyle w:val="Prrafodelista"/>
              <w:ind w:left="144" w:right="144"/>
              <w:jc w:val="both"/>
              <w:rPr>
                <w:rFonts w:ascii="Arial" w:hAnsi="Arial" w:cs="Arial"/>
                <w:b/>
                <w:sz w:val="20"/>
                <w:szCs w:val="20"/>
                <w:lang w:val="es-MX"/>
              </w:rPr>
            </w:pPr>
            <w:r>
              <w:rPr>
                <w:rFonts w:ascii="Arial" w:hAnsi="Arial" w:cs="Arial"/>
                <w:b/>
                <w:sz w:val="20"/>
                <w:szCs w:val="20"/>
                <w:lang w:val="es-MX"/>
              </w:rPr>
              <w:t xml:space="preserve">. </w:t>
            </w:r>
          </w:p>
          <w:p w14:paraId="73620E3F" w14:textId="77777777" w:rsidR="003737BE" w:rsidRDefault="003737BE" w:rsidP="003737BE">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33BDE135" w14:textId="77777777" w:rsidR="003737BE" w:rsidRDefault="003737BE" w:rsidP="007B18DF">
            <w:pPr>
              <w:ind w:left="144" w:right="286"/>
              <w:jc w:val="both"/>
              <w:rPr>
                <w:rFonts w:ascii="Arial" w:hAnsi="Arial" w:cs="Arial"/>
                <w:b/>
                <w:color w:val="000000"/>
                <w:sz w:val="20"/>
                <w:szCs w:val="20"/>
                <w:lang w:val="es-MX"/>
              </w:rPr>
            </w:pPr>
          </w:p>
          <w:p w14:paraId="2B5E4170" w14:textId="13C97C9A" w:rsidR="007B18DF" w:rsidRDefault="007B18DF" w:rsidP="007B18DF">
            <w:pPr>
              <w:ind w:left="144" w:right="286"/>
              <w:jc w:val="both"/>
              <w:rPr>
                <w:rFonts w:ascii="Arial" w:hAnsi="Arial" w:cs="Arial"/>
                <w:color w:val="000000"/>
                <w:sz w:val="20"/>
                <w:szCs w:val="20"/>
                <w:lang w:val="es-MX"/>
              </w:rPr>
            </w:pPr>
            <w:r w:rsidRPr="00DA7F53">
              <w:rPr>
                <w:rFonts w:ascii="Arial" w:hAnsi="Arial" w:cs="Arial"/>
                <w:b/>
                <w:color w:val="000000"/>
                <w:sz w:val="20"/>
                <w:szCs w:val="20"/>
                <w:lang w:val="es-MX"/>
              </w:rPr>
              <w:t>SEGUNDO.</w:t>
            </w:r>
            <w:r w:rsidRPr="00DA7F53">
              <w:rPr>
                <w:rFonts w:ascii="Arial" w:hAnsi="Arial" w:cs="Arial"/>
                <w:color w:val="000000"/>
                <w:sz w:val="20"/>
                <w:szCs w:val="20"/>
                <w:lang w:val="es-MX"/>
              </w:rPr>
              <w:t xml:space="preserve"> Se reconoc</w:t>
            </w:r>
            <w:r>
              <w:rPr>
                <w:rFonts w:ascii="Arial" w:hAnsi="Arial" w:cs="Arial"/>
                <w:color w:val="000000"/>
                <w:sz w:val="20"/>
                <w:szCs w:val="20"/>
                <w:lang w:val="es-MX"/>
              </w:rPr>
              <w:t>ió</w:t>
            </w:r>
            <w:r w:rsidRPr="00DA7F53">
              <w:rPr>
                <w:rFonts w:ascii="Arial" w:hAnsi="Arial" w:cs="Arial"/>
                <w:color w:val="000000"/>
                <w:sz w:val="20"/>
                <w:szCs w:val="20"/>
                <w:lang w:val="es-MX"/>
              </w:rPr>
              <w:t xml:space="preserve"> la validez de los artículos 15, fracción</w:t>
            </w:r>
            <w:r>
              <w:rPr>
                <w:rFonts w:ascii="Arial" w:hAnsi="Arial" w:cs="Arial"/>
                <w:color w:val="000000"/>
                <w:sz w:val="20"/>
                <w:szCs w:val="20"/>
                <w:lang w:val="es-MX"/>
              </w:rPr>
              <w:t xml:space="preserve"> </w:t>
            </w:r>
            <w:r w:rsidRPr="00DA7F53">
              <w:rPr>
                <w:rFonts w:ascii="Arial" w:hAnsi="Arial" w:cs="Arial"/>
                <w:color w:val="000000"/>
                <w:sz w:val="20"/>
                <w:szCs w:val="20"/>
                <w:lang w:val="es-MX"/>
              </w:rPr>
              <w:t>II, 40 —con la salvedad precisada en el resolutivo tercero de este</w:t>
            </w:r>
            <w:r>
              <w:rPr>
                <w:rFonts w:ascii="Arial" w:hAnsi="Arial" w:cs="Arial"/>
                <w:color w:val="000000"/>
                <w:sz w:val="20"/>
                <w:szCs w:val="20"/>
                <w:lang w:val="es-MX"/>
              </w:rPr>
              <w:t xml:space="preserve"> </w:t>
            </w:r>
            <w:r w:rsidRPr="00DA7F53">
              <w:rPr>
                <w:rFonts w:ascii="Arial" w:hAnsi="Arial" w:cs="Arial"/>
                <w:color w:val="000000"/>
                <w:sz w:val="20"/>
                <w:szCs w:val="20"/>
                <w:lang w:val="es-MX"/>
              </w:rPr>
              <w:lastRenderedPageBreak/>
              <w:t>fallo—, 44, fracción II —con la salvedad precisada en el resolutivo</w:t>
            </w:r>
            <w:r>
              <w:rPr>
                <w:rFonts w:ascii="Arial" w:hAnsi="Arial" w:cs="Arial"/>
                <w:color w:val="000000"/>
                <w:sz w:val="20"/>
                <w:szCs w:val="20"/>
                <w:lang w:val="es-MX"/>
              </w:rPr>
              <w:t xml:space="preserve"> </w:t>
            </w:r>
            <w:r w:rsidRPr="00DA7F53">
              <w:rPr>
                <w:rFonts w:ascii="Arial" w:hAnsi="Arial" w:cs="Arial"/>
                <w:color w:val="000000"/>
                <w:sz w:val="20"/>
                <w:szCs w:val="20"/>
                <w:lang w:val="es-MX"/>
              </w:rPr>
              <w:t>tercero de esta resolución—, 85 —con la salvedad precisada en el</w:t>
            </w:r>
            <w:r>
              <w:rPr>
                <w:rFonts w:ascii="Arial" w:hAnsi="Arial" w:cs="Arial"/>
                <w:color w:val="000000"/>
                <w:sz w:val="20"/>
                <w:szCs w:val="20"/>
                <w:lang w:val="es-MX"/>
              </w:rPr>
              <w:t xml:space="preserve"> </w:t>
            </w:r>
            <w:r w:rsidRPr="00DA7F53">
              <w:rPr>
                <w:rFonts w:ascii="Arial" w:hAnsi="Arial" w:cs="Arial"/>
                <w:color w:val="000000"/>
                <w:sz w:val="20"/>
                <w:szCs w:val="20"/>
                <w:lang w:val="es-MX"/>
              </w:rPr>
              <w:t>resolutivo tercero de este fallo—, 97, 98, 99, 100, 101, 102, 103, 104,</w:t>
            </w:r>
            <w:r>
              <w:rPr>
                <w:rFonts w:ascii="Arial" w:hAnsi="Arial" w:cs="Arial"/>
                <w:color w:val="000000"/>
                <w:sz w:val="20"/>
                <w:szCs w:val="20"/>
                <w:lang w:val="es-MX"/>
              </w:rPr>
              <w:t xml:space="preserve"> </w:t>
            </w:r>
            <w:r w:rsidRPr="00DA7F53">
              <w:rPr>
                <w:rFonts w:ascii="Arial" w:hAnsi="Arial" w:cs="Arial"/>
                <w:color w:val="000000"/>
                <w:sz w:val="20"/>
                <w:szCs w:val="20"/>
                <w:lang w:val="es-MX"/>
              </w:rPr>
              <w:t>105, 106, 107, 108, 109, 110, 111, 112, 113, 117 —con la salvedad</w:t>
            </w:r>
            <w:r>
              <w:rPr>
                <w:rFonts w:ascii="Arial" w:hAnsi="Arial" w:cs="Arial"/>
                <w:color w:val="000000"/>
                <w:sz w:val="20"/>
                <w:szCs w:val="20"/>
                <w:lang w:val="es-MX"/>
              </w:rPr>
              <w:t xml:space="preserve"> </w:t>
            </w:r>
            <w:r w:rsidRPr="00DA7F53">
              <w:rPr>
                <w:rFonts w:ascii="Arial" w:hAnsi="Arial" w:cs="Arial"/>
                <w:color w:val="000000"/>
                <w:sz w:val="20"/>
                <w:szCs w:val="20"/>
                <w:lang w:val="es-MX"/>
              </w:rPr>
              <w:t>precisada en el resolutivo tercero de este fallo—, 118, 119, 120, 121,</w:t>
            </w:r>
            <w:r>
              <w:rPr>
                <w:rFonts w:ascii="Arial" w:hAnsi="Arial" w:cs="Arial"/>
                <w:color w:val="000000"/>
                <w:sz w:val="20"/>
                <w:szCs w:val="20"/>
                <w:lang w:val="es-MX"/>
              </w:rPr>
              <w:t xml:space="preserve"> </w:t>
            </w:r>
            <w:r w:rsidRPr="00DA7F53">
              <w:rPr>
                <w:rFonts w:ascii="Arial" w:hAnsi="Arial" w:cs="Arial"/>
                <w:color w:val="000000"/>
                <w:sz w:val="20"/>
                <w:szCs w:val="20"/>
                <w:lang w:val="es-MX"/>
              </w:rPr>
              <w:t>122, 123, 124, 125, 126, 127, 128, 129, 130, fracción II, 137,</w:t>
            </w:r>
            <w:r>
              <w:rPr>
                <w:rFonts w:ascii="Arial" w:hAnsi="Arial" w:cs="Arial"/>
                <w:color w:val="000000"/>
                <w:sz w:val="20"/>
                <w:szCs w:val="20"/>
                <w:lang w:val="es-MX"/>
              </w:rPr>
              <w:t xml:space="preserve"> </w:t>
            </w:r>
            <w:r w:rsidRPr="00DA7F53">
              <w:rPr>
                <w:rFonts w:ascii="Arial" w:hAnsi="Arial" w:cs="Arial"/>
                <w:color w:val="000000"/>
                <w:sz w:val="20"/>
                <w:szCs w:val="20"/>
                <w:lang w:val="es-MX"/>
              </w:rPr>
              <w:t>fracciones II y V, y 138, párrafos cuarto y quinto, de la Ley de Partidos</w:t>
            </w:r>
            <w:r>
              <w:rPr>
                <w:rFonts w:ascii="Arial" w:hAnsi="Arial" w:cs="Arial"/>
                <w:color w:val="000000"/>
                <w:sz w:val="20"/>
                <w:szCs w:val="20"/>
                <w:lang w:val="es-MX"/>
              </w:rPr>
              <w:t xml:space="preserve"> </w:t>
            </w:r>
            <w:r w:rsidRPr="00DA7F53">
              <w:rPr>
                <w:rFonts w:ascii="Arial" w:hAnsi="Arial" w:cs="Arial"/>
                <w:color w:val="000000"/>
                <w:sz w:val="20"/>
                <w:szCs w:val="20"/>
                <w:lang w:val="es-MX"/>
              </w:rPr>
              <w:t>Políticos para el Estado de Tlaxcala, así como 27, fracciones V y VI,</w:t>
            </w:r>
            <w:r>
              <w:rPr>
                <w:rFonts w:ascii="Arial" w:hAnsi="Arial" w:cs="Arial"/>
                <w:color w:val="000000"/>
                <w:sz w:val="20"/>
                <w:szCs w:val="20"/>
                <w:lang w:val="es-MX"/>
              </w:rPr>
              <w:t xml:space="preserve"> </w:t>
            </w:r>
            <w:r w:rsidRPr="00DA7F53">
              <w:rPr>
                <w:rFonts w:ascii="Arial" w:hAnsi="Arial" w:cs="Arial"/>
                <w:color w:val="000000"/>
                <w:sz w:val="20"/>
                <w:szCs w:val="20"/>
                <w:lang w:val="es-MX"/>
              </w:rPr>
              <w:t>80, párrafo segundo, 117, párrafo primero, 147, 192, párrafo primero,</w:t>
            </w:r>
            <w:r>
              <w:rPr>
                <w:rFonts w:ascii="Arial" w:hAnsi="Arial" w:cs="Arial"/>
                <w:color w:val="000000"/>
                <w:sz w:val="20"/>
                <w:szCs w:val="20"/>
                <w:lang w:val="es-MX"/>
              </w:rPr>
              <w:t xml:space="preserve"> </w:t>
            </w:r>
            <w:r w:rsidRPr="00DA7F53">
              <w:rPr>
                <w:rFonts w:ascii="Arial" w:hAnsi="Arial" w:cs="Arial"/>
                <w:color w:val="000000"/>
                <w:sz w:val="20"/>
                <w:szCs w:val="20"/>
                <w:lang w:val="es-MX"/>
              </w:rPr>
              <w:t>253, párrafo segundo, 255, 256 —con la salvedad precisada en el</w:t>
            </w:r>
            <w:r>
              <w:rPr>
                <w:rFonts w:ascii="Arial" w:hAnsi="Arial" w:cs="Arial"/>
                <w:color w:val="000000"/>
                <w:sz w:val="20"/>
                <w:szCs w:val="20"/>
                <w:lang w:val="es-MX"/>
              </w:rPr>
              <w:t xml:space="preserve"> </w:t>
            </w:r>
            <w:r w:rsidRPr="00DA7F53">
              <w:rPr>
                <w:rFonts w:ascii="Arial" w:hAnsi="Arial" w:cs="Arial"/>
                <w:color w:val="000000"/>
                <w:sz w:val="20"/>
                <w:szCs w:val="20"/>
                <w:lang w:val="es-MX"/>
              </w:rPr>
              <w:t>resolutivo tercero de este fallo—, 258, 262, 271, fracción III, y 296,</w:t>
            </w:r>
            <w:r>
              <w:t xml:space="preserve"> </w:t>
            </w:r>
            <w:r w:rsidRPr="00DA7F53">
              <w:rPr>
                <w:rFonts w:ascii="Arial" w:hAnsi="Arial" w:cs="Arial"/>
                <w:color w:val="000000"/>
                <w:sz w:val="20"/>
                <w:szCs w:val="20"/>
                <w:lang w:val="es-MX"/>
              </w:rPr>
              <w:t>párrafos sexto, séptimo y octavo, de la Ley de</w:t>
            </w:r>
            <w:r>
              <w:rPr>
                <w:rFonts w:ascii="Arial" w:hAnsi="Arial" w:cs="Arial"/>
                <w:color w:val="000000"/>
                <w:sz w:val="20"/>
                <w:szCs w:val="20"/>
                <w:lang w:val="es-MX"/>
              </w:rPr>
              <w:t xml:space="preserve"> </w:t>
            </w:r>
            <w:r w:rsidRPr="00DA7F53">
              <w:rPr>
                <w:rFonts w:ascii="Arial" w:hAnsi="Arial" w:cs="Arial"/>
                <w:color w:val="000000"/>
                <w:sz w:val="20"/>
                <w:szCs w:val="20"/>
                <w:lang w:val="es-MX"/>
              </w:rPr>
              <w:t>Instituciones y Procedimientos Electorales para el</w:t>
            </w:r>
            <w:r>
              <w:rPr>
                <w:rFonts w:ascii="Arial" w:hAnsi="Arial" w:cs="Arial"/>
                <w:color w:val="000000"/>
                <w:sz w:val="20"/>
                <w:szCs w:val="20"/>
                <w:lang w:val="es-MX"/>
              </w:rPr>
              <w:t xml:space="preserve"> </w:t>
            </w:r>
            <w:r w:rsidRPr="00DA7F53">
              <w:rPr>
                <w:rFonts w:ascii="Arial" w:hAnsi="Arial" w:cs="Arial"/>
                <w:color w:val="000000"/>
                <w:sz w:val="20"/>
                <w:szCs w:val="20"/>
                <w:lang w:val="es-MX"/>
              </w:rPr>
              <w:t>Estado de Tlaxcala.</w:t>
            </w:r>
          </w:p>
          <w:p w14:paraId="1FF5A7E3" w14:textId="77777777" w:rsidR="003737BE" w:rsidRDefault="003737BE" w:rsidP="003737BE">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2E367F44" w14:textId="77777777" w:rsidR="003737BE" w:rsidRDefault="003737BE" w:rsidP="003737BE">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7BBD1856" w14:textId="77777777" w:rsidR="003737BE" w:rsidRDefault="003737BE" w:rsidP="003737BE">
            <w:pPr>
              <w:pStyle w:val="Prrafodelista"/>
              <w:ind w:left="144" w:right="144"/>
              <w:jc w:val="both"/>
              <w:rPr>
                <w:rFonts w:ascii="Arial" w:hAnsi="Arial" w:cs="Arial"/>
                <w:b/>
                <w:sz w:val="20"/>
                <w:szCs w:val="20"/>
                <w:lang w:val="es-MX"/>
              </w:rPr>
            </w:pPr>
            <w:r>
              <w:rPr>
                <w:rFonts w:ascii="Arial" w:hAnsi="Arial" w:cs="Arial"/>
                <w:b/>
                <w:sz w:val="20"/>
                <w:szCs w:val="20"/>
                <w:lang w:val="es-MX"/>
              </w:rPr>
              <w:t xml:space="preserve">. </w:t>
            </w:r>
          </w:p>
          <w:p w14:paraId="205B83C5" w14:textId="77777777" w:rsidR="003737BE" w:rsidRDefault="003737BE" w:rsidP="003737BE">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74AAEDCD" w14:textId="77777777" w:rsidR="003737BE" w:rsidRDefault="003737BE" w:rsidP="007B18DF">
            <w:pPr>
              <w:ind w:left="144" w:right="286"/>
              <w:jc w:val="both"/>
              <w:rPr>
                <w:rFonts w:ascii="Arial" w:hAnsi="Arial" w:cs="Arial"/>
                <w:b/>
                <w:color w:val="000000"/>
                <w:sz w:val="20"/>
                <w:szCs w:val="20"/>
                <w:lang w:val="es-MX"/>
              </w:rPr>
            </w:pPr>
          </w:p>
          <w:p w14:paraId="7B5F0C24" w14:textId="77777777" w:rsidR="003737BE" w:rsidRDefault="007B18DF" w:rsidP="003737BE">
            <w:pPr>
              <w:pStyle w:val="Prrafodelista"/>
              <w:ind w:left="144" w:right="144"/>
              <w:jc w:val="both"/>
              <w:rPr>
                <w:rFonts w:ascii="Arial" w:hAnsi="Arial" w:cs="Arial"/>
                <w:b/>
                <w:sz w:val="20"/>
                <w:szCs w:val="20"/>
                <w:lang w:val="es-MX"/>
              </w:rPr>
            </w:pPr>
            <w:r w:rsidRPr="00DA7F53">
              <w:rPr>
                <w:rFonts w:ascii="Arial" w:hAnsi="Arial" w:cs="Arial"/>
                <w:b/>
                <w:color w:val="000000"/>
                <w:sz w:val="20"/>
                <w:szCs w:val="20"/>
                <w:lang w:val="es-MX"/>
              </w:rPr>
              <w:t>En relación con el punto resolutivo segundo:</w:t>
            </w:r>
            <w:r w:rsidRPr="00DA7F53">
              <w:rPr>
                <w:rFonts w:ascii="Arial" w:hAnsi="Arial" w:cs="Arial"/>
                <w:b/>
                <w:color w:val="000000"/>
                <w:sz w:val="20"/>
                <w:szCs w:val="20"/>
                <w:lang w:val="es-MX"/>
              </w:rPr>
              <w:cr/>
            </w:r>
            <w:r w:rsidR="003737BE">
              <w:rPr>
                <w:rFonts w:ascii="Arial" w:hAnsi="Arial" w:cs="Arial"/>
                <w:b/>
                <w:sz w:val="20"/>
                <w:szCs w:val="20"/>
                <w:lang w:val="es-MX"/>
              </w:rPr>
              <w:t>.</w:t>
            </w:r>
          </w:p>
          <w:p w14:paraId="0861B0BA" w14:textId="77777777" w:rsidR="003737BE" w:rsidRDefault="003737BE" w:rsidP="003737BE">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26C57590" w14:textId="77777777" w:rsidR="003737BE" w:rsidRDefault="003737BE" w:rsidP="003737BE">
            <w:pPr>
              <w:pStyle w:val="Prrafodelista"/>
              <w:ind w:left="144" w:right="144"/>
              <w:jc w:val="both"/>
              <w:rPr>
                <w:rFonts w:ascii="Arial" w:hAnsi="Arial" w:cs="Arial"/>
                <w:b/>
                <w:sz w:val="20"/>
                <w:szCs w:val="20"/>
                <w:lang w:val="es-MX"/>
              </w:rPr>
            </w:pPr>
            <w:r>
              <w:rPr>
                <w:rFonts w:ascii="Arial" w:hAnsi="Arial" w:cs="Arial"/>
                <w:b/>
                <w:sz w:val="20"/>
                <w:szCs w:val="20"/>
                <w:lang w:val="es-MX"/>
              </w:rPr>
              <w:t xml:space="preserve">. </w:t>
            </w:r>
          </w:p>
          <w:p w14:paraId="003BCC50" w14:textId="27A5C657" w:rsidR="003737BE" w:rsidRDefault="003737BE" w:rsidP="003737BE">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1DB6BF72" w14:textId="77777777" w:rsidR="003737BE" w:rsidRDefault="003737BE" w:rsidP="003737BE">
            <w:pPr>
              <w:pStyle w:val="Prrafodelista"/>
              <w:ind w:left="144" w:right="144"/>
              <w:jc w:val="both"/>
              <w:rPr>
                <w:rFonts w:ascii="Arial" w:hAnsi="Arial" w:cs="Arial"/>
                <w:b/>
                <w:sz w:val="20"/>
                <w:szCs w:val="20"/>
                <w:lang w:val="es-MX"/>
              </w:rPr>
            </w:pPr>
          </w:p>
          <w:p w14:paraId="243FB6BC" w14:textId="1119D8FB" w:rsidR="007B18DF" w:rsidRPr="00DA7F53" w:rsidRDefault="007B18DF" w:rsidP="007B18DF">
            <w:pPr>
              <w:ind w:left="144" w:right="286"/>
              <w:jc w:val="both"/>
              <w:rPr>
                <w:rFonts w:ascii="Arial" w:hAnsi="Arial" w:cs="Arial"/>
                <w:color w:val="000000"/>
                <w:sz w:val="20"/>
                <w:szCs w:val="20"/>
                <w:lang w:val="es-MX"/>
              </w:rPr>
            </w:pPr>
            <w:r w:rsidRPr="00DA7F53">
              <w:rPr>
                <w:rFonts w:ascii="Arial" w:hAnsi="Arial" w:cs="Arial"/>
                <w:color w:val="000000"/>
                <w:sz w:val="20"/>
                <w:szCs w:val="20"/>
                <w:lang w:val="es-MX"/>
              </w:rPr>
              <w:t xml:space="preserve">Se aprobó por mayoría de </w:t>
            </w:r>
            <w:r>
              <w:rPr>
                <w:rFonts w:ascii="Arial" w:hAnsi="Arial" w:cs="Arial"/>
                <w:color w:val="000000"/>
                <w:sz w:val="20"/>
                <w:szCs w:val="20"/>
                <w:lang w:val="es-MX"/>
              </w:rPr>
              <w:t>8</w:t>
            </w:r>
            <w:r w:rsidRPr="00DA7F53">
              <w:rPr>
                <w:rFonts w:ascii="Arial" w:hAnsi="Arial" w:cs="Arial"/>
                <w:color w:val="000000"/>
                <w:sz w:val="20"/>
                <w:szCs w:val="20"/>
                <w:lang w:val="es-MX"/>
              </w:rPr>
              <w:t xml:space="preserve"> votos de los Ministros</w:t>
            </w:r>
            <w:r>
              <w:rPr>
                <w:rFonts w:ascii="Arial" w:hAnsi="Arial" w:cs="Arial"/>
                <w:color w:val="000000"/>
                <w:sz w:val="20"/>
                <w:szCs w:val="20"/>
                <w:lang w:val="es-MX"/>
              </w:rPr>
              <w:t xml:space="preserve"> </w:t>
            </w:r>
            <w:r w:rsidRPr="00DA7F53">
              <w:rPr>
                <w:rFonts w:ascii="Arial" w:hAnsi="Arial" w:cs="Arial"/>
                <w:color w:val="000000"/>
                <w:sz w:val="20"/>
                <w:szCs w:val="20"/>
                <w:lang w:val="es-MX"/>
              </w:rPr>
              <w:t>Gutiérrez Ortiz Mena, Luna Ramos obligada por la mayoría respecto</w:t>
            </w:r>
            <w:r>
              <w:rPr>
                <w:rFonts w:ascii="Arial" w:hAnsi="Arial" w:cs="Arial"/>
                <w:color w:val="000000"/>
                <w:sz w:val="20"/>
                <w:szCs w:val="20"/>
                <w:lang w:val="es-MX"/>
              </w:rPr>
              <w:t xml:space="preserve"> </w:t>
            </w:r>
            <w:r w:rsidRPr="00DA7F53">
              <w:rPr>
                <w:rFonts w:ascii="Arial" w:hAnsi="Arial" w:cs="Arial"/>
                <w:color w:val="000000"/>
                <w:sz w:val="20"/>
                <w:szCs w:val="20"/>
                <w:lang w:val="es-MX"/>
              </w:rPr>
              <w:t>de que no operaba el sobreseimiento en el asunto, Franco González</w:t>
            </w:r>
            <w:r>
              <w:rPr>
                <w:rFonts w:ascii="Arial" w:hAnsi="Arial" w:cs="Arial"/>
                <w:color w:val="000000"/>
                <w:sz w:val="20"/>
                <w:szCs w:val="20"/>
                <w:lang w:val="es-MX"/>
              </w:rPr>
              <w:t xml:space="preserve"> </w:t>
            </w:r>
            <w:r w:rsidRPr="00DA7F53">
              <w:rPr>
                <w:rFonts w:ascii="Arial" w:hAnsi="Arial" w:cs="Arial"/>
                <w:color w:val="000000"/>
                <w:sz w:val="20"/>
                <w:szCs w:val="20"/>
                <w:lang w:val="es-MX"/>
              </w:rPr>
              <w:t>Salas, Zaldívar Lelo de Larrea, Pardo Rebolledo, Medina Mora I. por la</w:t>
            </w:r>
            <w:r>
              <w:rPr>
                <w:rFonts w:ascii="Arial" w:hAnsi="Arial" w:cs="Arial"/>
                <w:color w:val="000000"/>
                <w:sz w:val="20"/>
                <w:szCs w:val="20"/>
                <w:lang w:val="es-MX"/>
              </w:rPr>
              <w:t xml:space="preserve"> </w:t>
            </w:r>
            <w:r w:rsidRPr="00DA7F53">
              <w:rPr>
                <w:rFonts w:ascii="Arial" w:hAnsi="Arial" w:cs="Arial"/>
                <w:color w:val="000000"/>
                <w:sz w:val="20"/>
                <w:szCs w:val="20"/>
                <w:lang w:val="es-MX"/>
              </w:rPr>
              <w:t>invalidez adicional de los artículos 102, 120 y 124, apartado A, fracción</w:t>
            </w:r>
            <w:r>
              <w:rPr>
                <w:rFonts w:ascii="Arial" w:hAnsi="Arial" w:cs="Arial"/>
                <w:color w:val="000000"/>
                <w:sz w:val="20"/>
                <w:szCs w:val="20"/>
                <w:lang w:val="es-MX"/>
              </w:rPr>
              <w:t xml:space="preserve"> </w:t>
            </w:r>
            <w:r w:rsidRPr="00DA7F53">
              <w:rPr>
                <w:rFonts w:ascii="Arial" w:hAnsi="Arial" w:cs="Arial"/>
                <w:color w:val="000000"/>
                <w:sz w:val="20"/>
                <w:szCs w:val="20"/>
                <w:lang w:val="es-MX"/>
              </w:rPr>
              <w:t>III, Pérez Dayán y Presidente Aguilar Morales obligado por la mayoría</w:t>
            </w:r>
            <w:r>
              <w:rPr>
                <w:rFonts w:ascii="Arial" w:hAnsi="Arial" w:cs="Arial"/>
                <w:color w:val="000000"/>
                <w:sz w:val="20"/>
                <w:szCs w:val="20"/>
                <w:lang w:val="es-MX"/>
              </w:rPr>
              <w:t xml:space="preserve"> </w:t>
            </w:r>
            <w:r w:rsidRPr="00DA7F53">
              <w:rPr>
                <w:rFonts w:ascii="Arial" w:hAnsi="Arial" w:cs="Arial"/>
                <w:color w:val="000000"/>
                <w:sz w:val="20"/>
                <w:szCs w:val="20"/>
                <w:lang w:val="es-MX"/>
              </w:rPr>
              <w:t>respecto de que no operaba el sobreseimiento en el asunto, respecto</w:t>
            </w:r>
            <w:r>
              <w:rPr>
                <w:rFonts w:ascii="Arial" w:hAnsi="Arial" w:cs="Arial"/>
                <w:color w:val="000000"/>
                <w:sz w:val="20"/>
                <w:szCs w:val="20"/>
                <w:lang w:val="es-MX"/>
              </w:rPr>
              <w:t xml:space="preserve"> </w:t>
            </w:r>
            <w:r w:rsidRPr="00DA7F53">
              <w:rPr>
                <w:rFonts w:ascii="Arial" w:hAnsi="Arial" w:cs="Arial"/>
                <w:color w:val="000000"/>
                <w:sz w:val="20"/>
                <w:szCs w:val="20"/>
                <w:lang w:val="es-MX"/>
              </w:rPr>
              <w:t>del considerando décimo primero, consistente en el reconocimiento de</w:t>
            </w:r>
            <w:r>
              <w:rPr>
                <w:rFonts w:ascii="Arial" w:hAnsi="Arial" w:cs="Arial"/>
                <w:color w:val="000000"/>
                <w:sz w:val="20"/>
                <w:szCs w:val="20"/>
                <w:lang w:val="es-MX"/>
              </w:rPr>
              <w:t xml:space="preserve"> </w:t>
            </w:r>
            <w:r w:rsidRPr="00DA7F53">
              <w:rPr>
                <w:rFonts w:ascii="Arial" w:hAnsi="Arial" w:cs="Arial"/>
                <w:color w:val="000000"/>
                <w:sz w:val="20"/>
                <w:szCs w:val="20"/>
                <w:lang w:val="es-MX"/>
              </w:rPr>
              <w:t>validez de los artículos 97, 98, 99, 100, 101, 102, 103, 104, 105, 106,</w:t>
            </w:r>
            <w:r>
              <w:rPr>
                <w:rFonts w:ascii="Arial" w:hAnsi="Arial" w:cs="Arial"/>
                <w:color w:val="000000"/>
                <w:sz w:val="20"/>
                <w:szCs w:val="20"/>
                <w:lang w:val="es-MX"/>
              </w:rPr>
              <w:t xml:space="preserve"> </w:t>
            </w:r>
            <w:r w:rsidRPr="00DA7F53">
              <w:rPr>
                <w:rFonts w:ascii="Arial" w:hAnsi="Arial" w:cs="Arial"/>
                <w:color w:val="000000"/>
                <w:sz w:val="20"/>
                <w:szCs w:val="20"/>
                <w:lang w:val="es-MX"/>
              </w:rPr>
              <w:t>107, 108, 109, 110, 111, 112, 113, 117 —salvo en la porción normativa</w:t>
            </w:r>
          </w:p>
          <w:p w14:paraId="3B520963" w14:textId="77777777" w:rsidR="007B18DF" w:rsidRDefault="007B18DF" w:rsidP="007B18DF">
            <w:pPr>
              <w:ind w:left="144" w:right="286"/>
              <w:jc w:val="both"/>
              <w:rPr>
                <w:rFonts w:ascii="Arial" w:hAnsi="Arial" w:cs="Arial"/>
                <w:color w:val="000000"/>
                <w:sz w:val="20"/>
                <w:szCs w:val="20"/>
                <w:lang w:val="es-MX"/>
              </w:rPr>
            </w:pPr>
            <w:r w:rsidRPr="00DA7F53">
              <w:rPr>
                <w:rFonts w:ascii="Arial" w:hAnsi="Arial" w:cs="Arial"/>
                <w:color w:val="000000"/>
                <w:sz w:val="20"/>
                <w:szCs w:val="20"/>
                <w:lang w:val="es-MX"/>
              </w:rPr>
              <w:t>“En cualquiera de los dos casos la fiscalización se sujetará a las</w:t>
            </w:r>
            <w:r>
              <w:rPr>
                <w:rFonts w:ascii="Arial" w:hAnsi="Arial" w:cs="Arial"/>
                <w:color w:val="000000"/>
                <w:sz w:val="20"/>
                <w:szCs w:val="20"/>
                <w:lang w:val="es-MX"/>
              </w:rPr>
              <w:t xml:space="preserve"> </w:t>
            </w:r>
            <w:r w:rsidRPr="00DA7F53">
              <w:rPr>
                <w:rFonts w:ascii="Arial" w:hAnsi="Arial" w:cs="Arial"/>
                <w:color w:val="000000"/>
                <w:sz w:val="20"/>
                <w:szCs w:val="20"/>
                <w:lang w:val="es-MX"/>
              </w:rPr>
              <w:t>disposiciones siguientes:”—, 118, 119, 120, 121, 122, 123, 124, 125,</w:t>
            </w:r>
            <w:r>
              <w:rPr>
                <w:rFonts w:ascii="Arial" w:hAnsi="Arial" w:cs="Arial"/>
                <w:color w:val="000000"/>
                <w:sz w:val="20"/>
                <w:szCs w:val="20"/>
                <w:lang w:val="es-MX"/>
              </w:rPr>
              <w:t xml:space="preserve"> </w:t>
            </w:r>
            <w:r w:rsidRPr="00DA7F53">
              <w:rPr>
                <w:rFonts w:ascii="Arial" w:hAnsi="Arial" w:cs="Arial"/>
                <w:color w:val="000000"/>
                <w:sz w:val="20"/>
                <w:szCs w:val="20"/>
                <w:lang w:val="es-MX"/>
              </w:rPr>
              <w:t>126, 127, 128 y 129 de la Ley de Partidos Políticos para el Estado de</w:t>
            </w:r>
            <w:r>
              <w:rPr>
                <w:rFonts w:ascii="Arial" w:hAnsi="Arial" w:cs="Arial"/>
                <w:color w:val="000000"/>
                <w:sz w:val="20"/>
                <w:szCs w:val="20"/>
                <w:lang w:val="es-MX"/>
              </w:rPr>
              <w:t xml:space="preserve"> </w:t>
            </w:r>
            <w:r w:rsidRPr="00DA7F53">
              <w:rPr>
                <w:rFonts w:ascii="Arial" w:hAnsi="Arial" w:cs="Arial"/>
                <w:color w:val="000000"/>
                <w:sz w:val="20"/>
                <w:szCs w:val="20"/>
                <w:lang w:val="es-MX"/>
              </w:rPr>
              <w:t xml:space="preserve">Tlaxcala. El </w:t>
            </w:r>
            <w:proofErr w:type="gramStart"/>
            <w:r w:rsidRPr="00DA7F53">
              <w:rPr>
                <w:rFonts w:ascii="Arial" w:hAnsi="Arial" w:cs="Arial"/>
                <w:color w:val="000000"/>
                <w:sz w:val="20"/>
                <w:szCs w:val="20"/>
                <w:lang w:val="es-MX"/>
              </w:rPr>
              <w:t>Ministro</w:t>
            </w:r>
            <w:proofErr w:type="gramEnd"/>
            <w:r w:rsidRPr="00DA7F53">
              <w:rPr>
                <w:rFonts w:ascii="Arial" w:hAnsi="Arial" w:cs="Arial"/>
                <w:color w:val="000000"/>
                <w:sz w:val="20"/>
                <w:szCs w:val="20"/>
                <w:lang w:val="es-MX"/>
              </w:rPr>
              <w:t xml:space="preserve"> Cossío Díaz votó en contra y anunció voto</w:t>
            </w:r>
            <w:r>
              <w:rPr>
                <w:rFonts w:ascii="Arial" w:hAnsi="Arial" w:cs="Arial"/>
                <w:color w:val="000000"/>
                <w:sz w:val="20"/>
                <w:szCs w:val="20"/>
                <w:lang w:val="es-MX"/>
              </w:rPr>
              <w:t xml:space="preserve"> </w:t>
            </w:r>
            <w:r w:rsidRPr="00DA7F53">
              <w:rPr>
                <w:rFonts w:ascii="Arial" w:hAnsi="Arial" w:cs="Arial"/>
                <w:color w:val="000000"/>
                <w:sz w:val="20"/>
                <w:szCs w:val="20"/>
                <w:lang w:val="es-MX"/>
              </w:rPr>
              <w:t xml:space="preserve">particular. El </w:t>
            </w:r>
            <w:proofErr w:type="gramStart"/>
            <w:r w:rsidRPr="00DA7F53">
              <w:rPr>
                <w:rFonts w:ascii="Arial" w:hAnsi="Arial" w:cs="Arial"/>
                <w:color w:val="000000"/>
                <w:sz w:val="20"/>
                <w:szCs w:val="20"/>
                <w:lang w:val="es-MX"/>
              </w:rPr>
              <w:t>Ministro</w:t>
            </w:r>
            <w:proofErr w:type="gramEnd"/>
            <w:r w:rsidRPr="00DA7F53">
              <w:rPr>
                <w:rFonts w:ascii="Arial" w:hAnsi="Arial" w:cs="Arial"/>
                <w:color w:val="000000"/>
                <w:sz w:val="20"/>
                <w:szCs w:val="20"/>
                <w:lang w:val="es-MX"/>
              </w:rPr>
              <w:t xml:space="preserve"> Franco González Salas anunció voto</w:t>
            </w:r>
            <w:r>
              <w:rPr>
                <w:rFonts w:ascii="Arial" w:hAnsi="Arial" w:cs="Arial"/>
                <w:color w:val="000000"/>
                <w:sz w:val="20"/>
                <w:szCs w:val="20"/>
                <w:lang w:val="es-MX"/>
              </w:rPr>
              <w:t xml:space="preserve"> </w:t>
            </w:r>
            <w:r w:rsidRPr="00DA7F53">
              <w:rPr>
                <w:rFonts w:ascii="Arial" w:hAnsi="Arial" w:cs="Arial"/>
                <w:color w:val="000000"/>
                <w:sz w:val="20"/>
                <w:szCs w:val="20"/>
                <w:lang w:val="es-MX"/>
              </w:rPr>
              <w:t>concurrente.</w:t>
            </w:r>
          </w:p>
          <w:p w14:paraId="1A89B896" w14:textId="77777777" w:rsidR="003737BE" w:rsidRDefault="003737BE" w:rsidP="003737BE">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307B206B" w14:textId="77777777" w:rsidR="003737BE" w:rsidRDefault="003737BE" w:rsidP="003737BE">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7E977F1C" w14:textId="77777777" w:rsidR="003737BE" w:rsidRDefault="003737BE" w:rsidP="003737BE">
            <w:pPr>
              <w:pStyle w:val="Prrafodelista"/>
              <w:ind w:left="144" w:right="144"/>
              <w:jc w:val="both"/>
              <w:rPr>
                <w:rFonts w:ascii="Arial" w:hAnsi="Arial" w:cs="Arial"/>
                <w:b/>
                <w:sz w:val="20"/>
                <w:szCs w:val="20"/>
                <w:lang w:val="es-MX"/>
              </w:rPr>
            </w:pPr>
            <w:r>
              <w:rPr>
                <w:rFonts w:ascii="Arial" w:hAnsi="Arial" w:cs="Arial"/>
                <w:b/>
                <w:sz w:val="20"/>
                <w:szCs w:val="20"/>
                <w:lang w:val="es-MX"/>
              </w:rPr>
              <w:t xml:space="preserve">. </w:t>
            </w:r>
          </w:p>
          <w:p w14:paraId="14F45800" w14:textId="77777777" w:rsidR="003737BE" w:rsidRDefault="003737BE" w:rsidP="003737BE">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117AD181" w14:textId="77777777" w:rsidR="007B18DF" w:rsidRDefault="007B18DF" w:rsidP="007B18DF">
            <w:pPr>
              <w:jc w:val="both"/>
              <w:rPr>
                <w:rFonts w:ascii="Arial" w:hAnsi="Arial" w:cs="Arial"/>
                <w:color w:val="000000"/>
                <w:sz w:val="20"/>
                <w:szCs w:val="20"/>
                <w:lang w:val="es-MX"/>
              </w:rPr>
            </w:pPr>
          </w:p>
        </w:tc>
      </w:tr>
      <w:tr w:rsidR="007B18DF" w:rsidRPr="00ED2D84" w14:paraId="24A6805E" w14:textId="77777777" w:rsidTr="00C75296">
        <w:trPr>
          <w:trHeight w:val="283"/>
        </w:trPr>
        <w:tc>
          <w:tcPr>
            <w:tcW w:w="1877" w:type="dxa"/>
            <w:vAlign w:val="center"/>
          </w:tcPr>
          <w:p w14:paraId="7C29C3F7" w14:textId="77777777" w:rsidR="007B18DF" w:rsidRPr="00562734" w:rsidRDefault="007B18DF" w:rsidP="00C75296">
            <w:pPr>
              <w:jc w:val="center"/>
              <w:rPr>
                <w:rFonts w:ascii="Arial" w:hAnsi="Arial" w:cs="Arial"/>
                <w:b/>
                <w:sz w:val="20"/>
                <w:szCs w:val="20"/>
                <w:lang w:val="es-MX"/>
              </w:rPr>
            </w:pPr>
          </w:p>
          <w:p w14:paraId="694FE831" w14:textId="77777777" w:rsidR="007B18DF" w:rsidRPr="00562734" w:rsidRDefault="007B18DF" w:rsidP="00C75296">
            <w:pPr>
              <w:jc w:val="center"/>
              <w:rPr>
                <w:rFonts w:ascii="Arial" w:hAnsi="Arial" w:cs="Arial"/>
                <w:b/>
                <w:sz w:val="20"/>
                <w:szCs w:val="20"/>
                <w:lang w:val="es-MX"/>
              </w:rPr>
            </w:pPr>
          </w:p>
          <w:p w14:paraId="398B9D9B" w14:textId="77777777" w:rsidR="007B18DF" w:rsidRPr="00B05EF2" w:rsidRDefault="007B18DF" w:rsidP="00C75296">
            <w:pPr>
              <w:jc w:val="center"/>
              <w:rPr>
                <w:rFonts w:ascii="Arial" w:hAnsi="Arial" w:cs="Arial"/>
                <w:b/>
                <w:sz w:val="20"/>
                <w:szCs w:val="20"/>
                <w:lang w:val="es-MX"/>
              </w:rPr>
            </w:pPr>
          </w:p>
          <w:p w14:paraId="3C2A1C2D" w14:textId="77777777" w:rsidR="007B18DF" w:rsidRDefault="00AF100A" w:rsidP="00C75296">
            <w:pPr>
              <w:jc w:val="center"/>
              <w:rPr>
                <w:rFonts w:ascii="Arial" w:hAnsi="Arial" w:cs="Arial"/>
                <w:b/>
                <w:sz w:val="20"/>
                <w:szCs w:val="20"/>
                <w:lang w:val="es-MX"/>
              </w:rPr>
            </w:pPr>
            <w:hyperlink r:id="rId14" w:history="1">
              <w:r w:rsidR="007B18DF" w:rsidRPr="00B05EF2">
                <w:rPr>
                  <w:rStyle w:val="Hipervnculo"/>
                  <w:rFonts w:ascii="Arial" w:hAnsi="Arial" w:cs="Arial"/>
                  <w:b/>
                  <w:sz w:val="20"/>
                  <w:szCs w:val="20"/>
                  <w:lang w:val="es-MX"/>
                </w:rPr>
                <w:t xml:space="preserve">77/2015 y su </w:t>
              </w:r>
              <w:r w:rsidR="007B18DF" w:rsidRPr="00B05EF2">
                <w:rPr>
                  <w:rStyle w:val="Hipervnculo"/>
                  <w:rFonts w:ascii="Arial" w:hAnsi="Arial" w:cs="Arial"/>
                  <w:b/>
                  <w:sz w:val="20"/>
                  <w:szCs w:val="20"/>
                  <w:lang w:val="es-MX"/>
                </w:rPr>
                <w:lastRenderedPageBreak/>
                <w:t>acumulada 78/2015</w:t>
              </w:r>
            </w:hyperlink>
          </w:p>
          <w:p w14:paraId="3687AE29" w14:textId="77777777" w:rsidR="007B18DF" w:rsidRDefault="007B18DF" w:rsidP="00C75296">
            <w:pPr>
              <w:jc w:val="center"/>
              <w:rPr>
                <w:rFonts w:ascii="Arial" w:hAnsi="Arial" w:cs="Arial"/>
                <w:b/>
                <w:sz w:val="20"/>
                <w:szCs w:val="20"/>
                <w:lang w:val="es-MX"/>
              </w:rPr>
            </w:pPr>
          </w:p>
          <w:p w14:paraId="199C7381" w14:textId="5857201A" w:rsidR="007B18DF" w:rsidRPr="00ED2D84" w:rsidRDefault="007B18DF" w:rsidP="00C75296">
            <w:pPr>
              <w:ind w:left="170" w:right="198"/>
              <w:jc w:val="center"/>
              <w:rPr>
                <w:rFonts w:ascii="Arial" w:hAnsi="Arial" w:cs="Arial"/>
                <w:b/>
                <w:sz w:val="20"/>
                <w:szCs w:val="20"/>
                <w:lang w:val="es-MX"/>
              </w:rPr>
            </w:pPr>
            <w:r>
              <w:rPr>
                <w:rFonts w:ascii="Arial" w:hAnsi="Arial" w:cs="Arial"/>
                <w:b/>
                <w:sz w:val="20"/>
                <w:szCs w:val="20"/>
                <w:lang w:val="es-MX"/>
              </w:rPr>
              <w:t>Puebla</w:t>
            </w:r>
          </w:p>
        </w:tc>
        <w:tc>
          <w:tcPr>
            <w:tcW w:w="12294" w:type="dxa"/>
          </w:tcPr>
          <w:p w14:paraId="220574ED" w14:textId="77777777" w:rsidR="007B18DF" w:rsidRPr="00B05EF2" w:rsidRDefault="007B18DF" w:rsidP="007B18DF">
            <w:pPr>
              <w:pStyle w:val="Prrafodelista"/>
              <w:numPr>
                <w:ilvl w:val="0"/>
                <w:numId w:val="12"/>
              </w:numPr>
              <w:ind w:left="252" w:right="286" w:hanging="142"/>
              <w:jc w:val="both"/>
              <w:rPr>
                <w:rFonts w:ascii="Arial" w:hAnsi="Arial" w:cs="Arial"/>
                <w:b/>
                <w:color w:val="000000"/>
                <w:sz w:val="20"/>
                <w:szCs w:val="20"/>
                <w:lang w:val="es-MX"/>
              </w:rPr>
            </w:pPr>
            <w:r w:rsidRPr="00B05EF2">
              <w:rPr>
                <w:rFonts w:ascii="Arial" w:hAnsi="Arial" w:cs="Arial"/>
                <w:b/>
                <w:color w:val="000000"/>
                <w:sz w:val="20"/>
                <w:szCs w:val="20"/>
                <w:lang w:val="es-MX"/>
              </w:rPr>
              <w:lastRenderedPageBreak/>
              <w:t>Presunta incompetencia del Congreso local para establecer reglas de fiscalización, aunque el Instituto Nacional Electoral delegue esa facultad en favor de los organismos electorales locales</w:t>
            </w:r>
          </w:p>
          <w:p w14:paraId="46637367" w14:textId="77777777" w:rsidR="007B18DF" w:rsidRDefault="007B18DF" w:rsidP="007B18DF">
            <w:pPr>
              <w:jc w:val="both"/>
              <w:rPr>
                <w:rFonts w:ascii="Arial" w:hAnsi="Arial" w:cs="Arial"/>
                <w:color w:val="000000"/>
                <w:sz w:val="20"/>
                <w:szCs w:val="20"/>
                <w:lang w:val="es-MX"/>
              </w:rPr>
            </w:pPr>
          </w:p>
          <w:p w14:paraId="704EFEF2" w14:textId="77777777" w:rsidR="007B18DF" w:rsidRPr="00A90406" w:rsidRDefault="007B18DF" w:rsidP="007B18DF">
            <w:pPr>
              <w:ind w:left="144" w:right="286"/>
              <w:jc w:val="both"/>
              <w:rPr>
                <w:rFonts w:ascii="Arial" w:hAnsi="Arial" w:cs="Arial"/>
                <w:b/>
                <w:color w:val="000000"/>
                <w:sz w:val="20"/>
                <w:szCs w:val="20"/>
                <w:lang w:val="es-MX"/>
              </w:rPr>
            </w:pPr>
            <w:r w:rsidRPr="00562734">
              <w:rPr>
                <w:rFonts w:ascii="Arial" w:hAnsi="Arial" w:cs="Arial"/>
                <w:color w:val="000000"/>
                <w:sz w:val="20"/>
                <w:szCs w:val="20"/>
                <w:lang w:val="es-MX"/>
              </w:rPr>
              <w:t xml:space="preserve">El PRD impugnó la validez de </w:t>
            </w:r>
            <w:r w:rsidRPr="00A90406">
              <w:rPr>
                <w:rFonts w:ascii="Arial" w:hAnsi="Arial" w:cs="Arial"/>
                <w:color w:val="000000"/>
                <w:sz w:val="20"/>
                <w:szCs w:val="20"/>
                <w:lang w:val="es-MX"/>
              </w:rPr>
              <w:t xml:space="preserve">los artículos 3º, fracción II, párrafos trece y catorce; y el 4º, fracciones II penúltimo párrafo, y III, párrafo </w:t>
            </w:r>
            <w:r w:rsidRPr="00A90406">
              <w:rPr>
                <w:rFonts w:ascii="Arial" w:hAnsi="Arial" w:cs="Arial"/>
                <w:color w:val="000000"/>
                <w:sz w:val="20"/>
                <w:szCs w:val="20"/>
                <w:lang w:val="es-MX"/>
              </w:rPr>
              <w:lastRenderedPageBreak/>
              <w:t>primero de la Constitución Política del Estado de Puebla, ya que</w:t>
            </w:r>
            <w:r w:rsidRPr="00A90406">
              <w:t xml:space="preserve"> </w:t>
            </w:r>
            <w:r w:rsidRPr="00A90406">
              <w:rPr>
                <w:rFonts w:ascii="Arial" w:hAnsi="Arial" w:cs="Arial"/>
                <w:color w:val="000000"/>
                <w:sz w:val="20"/>
                <w:szCs w:val="20"/>
                <w:lang w:val="es-MX"/>
              </w:rPr>
              <w:t>invaden las atribuciones del Congreso de la Unión y las legislaturas de los Estados carecen de atribuciones para legislar en materia de fiscalización de partidos y campañas de candidatos, e invaden la esfera de atribuciones del Instituto Nacional Electoral en ese ámbito, pues en el Decreto de reformas a la CPEUM, establece que la Ley General de Partidos Políticos, es la que establece el sistema único de fiscalización.</w:t>
            </w:r>
          </w:p>
          <w:p w14:paraId="21978386" w14:textId="77777777" w:rsidR="007B18DF" w:rsidRPr="00A90406" w:rsidRDefault="007B18DF" w:rsidP="007B18DF">
            <w:pPr>
              <w:pStyle w:val="Prrafodelista"/>
              <w:ind w:left="144" w:right="286"/>
              <w:jc w:val="both"/>
              <w:rPr>
                <w:rFonts w:ascii="Arial" w:hAnsi="Arial" w:cs="Arial"/>
                <w:b/>
                <w:color w:val="000000"/>
                <w:sz w:val="20"/>
                <w:szCs w:val="20"/>
                <w:lang w:val="es-MX"/>
              </w:rPr>
            </w:pPr>
          </w:p>
          <w:p w14:paraId="4C9D7E07" w14:textId="77777777" w:rsidR="007B18DF" w:rsidRPr="00A90406" w:rsidRDefault="007B18DF" w:rsidP="007B18DF">
            <w:pPr>
              <w:pStyle w:val="Prrafodelista"/>
              <w:ind w:left="144" w:right="286"/>
              <w:jc w:val="both"/>
              <w:rPr>
                <w:rFonts w:ascii="Arial" w:hAnsi="Arial" w:cs="Arial"/>
                <w:b/>
                <w:color w:val="000000"/>
                <w:sz w:val="20"/>
                <w:szCs w:val="20"/>
                <w:lang w:val="es-MX"/>
              </w:rPr>
            </w:pPr>
            <w:r w:rsidRPr="00A90406">
              <w:rPr>
                <w:rFonts w:ascii="Arial" w:hAnsi="Arial" w:cs="Arial"/>
                <w:b/>
                <w:color w:val="000000"/>
                <w:sz w:val="20"/>
                <w:szCs w:val="20"/>
                <w:lang w:val="es-MX"/>
              </w:rPr>
              <w:t>Consideraciones</w:t>
            </w:r>
          </w:p>
          <w:p w14:paraId="50F89DEC" w14:textId="77777777" w:rsidR="007B18DF" w:rsidRPr="00A90406" w:rsidRDefault="007B18DF" w:rsidP="007B18DF">
            <w:pPr>
              <w:pStyle w:val="Prrafodelista"/>
              <w:ind w:left="144" w:right="286"/>
              <w:jc w:val="both"/>
              <w:rPr>
                <w:rFonts w:ascii="Arial" w:hAnsi="Arial" w:cs="Arial"/>
                <w:b/>
                <w:color w:val="000000"/>
                <w:sz w:val="20"/>
                <w:szCs w:val="20"/>
                <w:lang w:val="es-MX"/>
              </w:rPr>
            </w:pPr>
          </w:p>
          <w:p w14:paraId="6CCF363B" w14:textId="77777777" w:rsidR="007B18DF" w:rsidRDefault="007B18DF" w:rsidP="007B18DF">
            <w:pPr>
              <w:pStyle w:val="Prrafodelista"/>
              <w:ind w:left="144" w:right="286"/>
              <w:jc w:val="both"/>
              <w:rPr>
                <w:rFonts w:ascii="Arial" w:hAnsi="Arial" w:cs="Arial"/>
                <w:sz w:val="20"/>
                <w:szCs w:val="20"/>
                <w:lang w:val="es-MX"/>
              </w:rPr>
            </w:pPr>
            <w:r w:rsidRPr="00A90406">
              <w:rPr>
                <w:rFonts w:ascii="Arial" w:hAnsi="Arial" w:cs="Arial"/>
                <w:sz w:val="20"/>
                <w:szCs w:val="20"/>
                <w:lang w:val="es-MX"/>
              </w:rPr>
              <w:t xml:space="preserve">El Pleno de la SCJN </w:t>
            </w:r>
            <w:r w:rsidRPr="00A90406">
              <w:rPr>
                <w:rFonts w:ascii="Arial" w:hAnsi="Arial" w:cs="Arial"/>
                <w:b/>
                <w:sz w:val="20"/>
                <w:szCs w:val="20"/>
                <w:lang w:val="es-MX"/>
              </w:rPr>
              <w:t xml:space="preserve">declaró la </w:t>
            </w:r>
            <w:r>
              <w:rPr>
                <w:rFonts w:ascii="Arial" w:hAnsi="Arial" w:cs="Arial"/>
                <w:b/>
                <w:sz w:val="20"/>
                <w:szCs w:val="20"/>
                <w:lang w:val="es-MX"/>
              </w:rPr>
              <w:t>in</w:t>
            </w:r>
            <w:r w:rsidRPr="00A90406">
              <w:rPr>
                <w:rFonts w:ascii="Arial" w:hAnsi="Arial" w:cs="Arial"/>
                <w:b/>
                <w:sz w:val="20"/>
                <w:szCs w:val="20"/>
                <w:lang w:val="es-MX"/>
              </w:rPr>
              <w:t>validez</w:t>
            </w:r>
            <w:r w:rsidRPr="00A90406">
              <w:rPr>
                <w:rFonts w:ascii="Arial" w:hAnsi="Arial" w:cs="Arial"/>
                <w:sz w:val="20"/>
                <w:szCs w:val="20"/>
                <w:lang w:val="es-MX"/>
              </w:rPr>
              <w:t xml:space="preserve"> de los artículos 3º, fracción II, párrafos trece y catorce; y el 4º, fracciones II penúltimo párrafo, y III, párrafo primero de la Constitución Política del Estado de Puebla, si bien las legislaturas locales carecen de atribuciones para regular la fiscalización de los recursos de los partidos y de las campañas de los candidatos de acuerdo a lo que dispone</w:t>
            </w:r>
            <w:r w:rsidRPr="00562734">
              <w:rPr>
                <w:rFonts w:ascii="Arial" w:hAnsi="Arial" w:cs="Arial"/>
                <w:sz w:val="20"/>
                <w:szCs w:val="20"/>
                <w:lang w:val="es-MX"/>
              </w:rPr>
              <w:t xml:space="preserve"> la Constitución Federal en su artículo 41, Base V, Apartado B, inciso a), párrafo 6, que determina que </w:t>
            </w:r>
            <w:r w:rsidRPr="00562734">
              <w:rPr>
                <w:rFonts w:ascii="Arial" w:hAnsi="Arial" w:cs="Arial"/>
                <w:i/>
                <w:sz w:val="20"/>
                <w:szCs w:val="20"/>
                <w:lang w:val="es-MX"/>
              </w:rPr>
              <w:t>“Corresponde al Instituto Nacional Electoral en los términos que establecen esta Constitución y las leyes: a) Para los procesos electorales federales y locales:” y [...] “6. La fiscalización de los ingresos y egresos de los partidos políticos y candidatos,”</w:t>
            </w:r>
            <w:r w:rsidRPr="00562734">
              <w:rPr>
                <w:rFonts w:ascii="Arial" w:hAnsi="Arial" w:cs="Arial"/>
                <w:sz w:val="20"/>
                <w:szCs w:val="20"/>
                <w:lang w:val="es-MX"/>
              </w:rPr>
              <w:t>; esta disposición se complementa, en el mismo texto constitucional, para que el I</w:t>
            </w:r>
            <w:r>
              <w:rPr>
                <w:rFonts w:ascii="Arial" w:hAnsi="Arial" w:cs="Arial"/>
                <w:sz w:val="20"/>
                <w:szCs w:val="20"/>
                <w:lang w:val="es-MX"/>
              </w:rPr>
              <w:t>NE</w:t>
            </w:r>
            <w:r w:rsidRPr="00562734">
              <w:rPr>
                <w:rFonts w:ascii="Arial" w:hAnsi="Arial" w:cs="Arial"/>
                <w:sz w:val="20"/>
                <w:szCs w:val="20"/>
                <w:lang w:val="es-MX"/>
              </w:rPr>
              <w:t xml:space="preserve"> delegue </w:t>
            </w:r>
            <w:r>
              <w:rPr>
                <w:rFonts w:ascii="Arial" w:hAnsi="Arial" w:cs="Arial"/>
                <w:sz w:val="20"/>
                <w:szCs w:val="20"/>
                <w:lang w:val="es-MX"/>
              </w:rPr>
              <w:t>la</w:t>
            </w:r>
            <w:r w:rsidRPr="00562734">
              <w:rPr>
                <w:rFonts w:ascii="Arial" w:hAnsi="Arial" w:cs="Arial"/>
                <w:sz w:val="20"/>
                <w:szCs w:val="20"/>
                <w:lang w:val="es-MX"/>
              </w:rPr>
              <w:t xml:space="preserve"> atribución fiscalizadora en favor de los organismos electorales locales, lo </w:t>
            </w:r>
            <w:r>
              <w:rPr>
                <w:rFonts w:ascii="Arial" w:hAnsi="Arial" w:cs="Arial"/>
                <w:sz w:val="20"/>
                <w:szCs w:val="20"/>
                <w:lang w:val="es-MX"/>
              </w:rPr>
              <w:t xml:space="preserve">que posibilita </w:t>
            </w:r>
            <w:r w:rsidRPr="00562734">
              <w:rPr>
                <w:rFonts w:ascii="Arial" w:hAnsi="Arial" w:cs="Arial"/>
                <w:sz w:val="20"/>
                <w:szCs w:val="20"/>
                <w:lang w:val="es-MX"/>
              </w:rPr>
              <w:t>un margen de intervención de las legislaturas locales en la regulación del proceso de fiscalización, a condición desde luego de que esta normatividad estatal adquiera aplicabilidad en forma excepcional para la recepción de la determinación delegatoria de dicho Instituto</w:t>
            </w:r>
            <w:r>
              <w:rPr>
                <w:rFonts w:ascii="Arial" w:hAnsi="Arial" w:cs="Arial"/>
                <w:sz w:val="20"/>
                <w:szCs w:val="20"/>
                <w:lang w:val="es-MX"/>
              </w:rPr>
              <w:t>.</w:t>
            </w:r>
          </w:p>
          <w:p w14:paraId="64606AEB" w14:textId="77777777" w:rsidR="007B18DF" w:rsidRDefault="007B18DF" w:rsidP="007B18DF">
            <w:pPr>
              <w:pStyle w:val="Prrafodelista"/>
              <w:ind w:left="144" w:right="286"/>
              <w:jc w:val="both"/>
              <w:rPr>
                <w:rFonts w:ascii="Arial" w:hAnsi="Arial" w:cs="Arial"/>
                <w:sz w:val="20"/>
                <w:szCs w:val="20"/>
                <w:lang w:val="es-MX"/>
              </w:rPr>
            </w:pPr>
          </w:p>
          <w:p w14:paraId="61F2B261" w14:textId="77777777" w:rsidR="007B18DF" w:rsidRDefault="007B18DF" w:rsidP="007B18DF">
            <w:pPr>
              <w:pStyle w:val="Prrafodelista"/>
              <w:ind w:left="144" w:right="286"/>
              <w:jc w:val="both"/>
              <w:rPr>
                <w:rFonts w:ascii="Arial" w:hAnsi="Arial" w:cs="Arial"/>
                <w:sz w:val="20"/>
                <w:szCs w:val="20"/>
                <w:lang w:val="es-MX"/>
              </w:rPr>
            </w:pPr>
            <w:r>
              <w:rPr>
                <w:rFonts w:ascii="Arial" w:hAnsi="Arial" w:cs="Arial"/>
                <w:sz w:val="20"/>
                <w:szCs w:val="20"/>
                <w:lang w:val="es-MX"/>
              </w:rPr>
              <w:t>P</w:t>
            </w:r>
            <w:r w:rsidRPr="00D2512E">
              <w:rPr>
                <w:rFonts w:ascii="Arial" w:hAnsi="Arial" w:cs="Arial"/>
                <w:sz w:val="20"/>
                <w:szCs w:val="20"/>
                <w:lang w:val="es-MX"/>
              </w:rPr>
              <w:t>re</w:t>
            </w:r>
            <w:r>
              <w:rPr>
                <w:rFonts w:ascii="Arial" w:hAnsi="Arial" w:cs="Arial"/>
                <w:sz w:val="20"/>
                <w:szCs w:val="20"/>
                <w:lang w:val="es-MX"/>
              </w:rPr>
              <w:t xml:space="preserve">cisó </w:t>
            </w:r>
            <w:r w:rsidRPr="00D2512E">
              <w:rPr>
                <w:rFonts w:ascii="Arial" w:hAnsi="Arial" w:cs="Arial"/>
                <w:sz w:val="20"/>
                <w:szCs w:val="20"/>
                <w:lang w:val="es-MX"/>
              </w:rPr>
              <w:t>que lo dispuesto en la</w:t>
            </w:r>
            <w:r>
              <w:rPr>
                <w:rFonts w:ascii="Arial" w:hAnsi="Arial" w:cs="Arial"/>
                <w:sz w:val="20"/>
                <w:szCs w:val="20"/>
                <w:lang w:val="es-MX"/>
              </w:rPr>
              <w:t xml:space="preserve"> </w:t>
            </w:r>
            <w:r w:rsidRPr="00D2512E">
              <w:rPr>
                <w:rFonts w:ascii="Arial" w:hAnsi="Arial" w:cs="Arial"/>
                <w:sz w:val="20"/>
                <w:szCs w:val="20"/>
                <w:lang w:val="es-MX"/>
              </w:rPr>
              <w:t>fracción III del artículo 4º de la Constitución Política del</w:t>
            </w:r>
            <w:r>
              <w:rPr>
                <w:rFonts w:ascii="Arial" w:hAnsi="Arial" w:cs="Arial"/>
                <w:sz w:val="20"/>
                <w:szCs w:val="20"/>
                <w:lang w:val="es-MX"/>
              </w:rPr>
              <w:t xml:space="preserve"> </w:t>
            </w:r>
            <w:r w:rsidRPr="00D2512E">
              <w:rPr>
                <w:rFonts w:ascii="Arial" w:hAnsi="Arial" w:cs="Arial"/>
                <w:sz w:val="20"/>
                <w:szCs w:val="20"/>
                <w:lang w:val="es-MX"/>
              </w:rPr>
              <w:t xml:space="preserve">Estado de Puebla, en el sentido de que </w:t>
            </w:r>
            <w:r w:rsidRPr="00D2512E">
              <w:rPr>
                <w:rFonts w:ascii="Arial" w:hAnsi="Arial" w:cs="Arial"/>
                <w:i/>
                <w:sz w:val="20"/>
                <w:szCs w:val="20"/>
                <w:lang w:val="es-MX"/>
              </w:rPr>
              <w:t>“El Código de la materia deberá de instituir las bases obligatorias para la coordinación entre el Instituto Nacional Electoral y las autoridades electorales del Estado en materia de fiscalización de las finanzas de los partidos políticos, en los términos que señala la Constitución Federal y las Leyes en la materia.”;</w:t>
            </w:r>
            <w:r w:rsidRPr="00D2512E">
              <w:rPr>
                <w:rFonts w:ascii="Arial" w:hAnsi="Arial" w:cs="Arial"/>
                <w:sz w:val="20"/>
                <w:szCs w:val="20"/>
                <w:lang w:val="es-MX"/>
              </w:rPr>
              <w:t xml:space="preserve"> debe interpretarse en el sentido de</w:t>
            </w:r>
            <w:r>
              <w:rPr>
                <w:rFonts w:ascii="Arial" w:hAnsi="Arial" w:cs="Arial"/>
                <w:sz w:val="20"/>
                <w:szCs w:val="20"/>
                <w:lang w:val="es-MX"/>
              </w:rPr>
              <w:t xml:space="preserve"> </w:t>
            </w:r>
            <w:r w:rsidRPr="00D2512E">
              <w:rPr>
                <w:rFonts w:ascii="Arial" w:hAnsi="Arial" w:cs="Arial"/>
                <w:sz w:val="20"/>
                <w:szCs w:val="20"/>
                <w:lang w:val="es-MX"/>
              </w:rPr>
              <w:t>que esta facultad sólo autoriza al legislador local para prever</w:t>
            </w:r>
            <w:r>
              <w:rPr>
                <w:rFonts w:ascii="Arial" w:hAnsi="Arial" w:cs="Arial"/>
                <w:sz w:val="20"/>
                <w:szCs w:val="20"/>
                <w:lang w:val="es-MX"/>
              </w:rPr>
              <w:t xml:space="preserve"> </w:t>
            </w:r>
            <w:r w:rsidRPr="00D2512E">
              <w:rPr>
                <w:rFonts w:ascii="Arial" w:hAnsi="Arial" w:cs="Arial"/>
                <w:sz w:val="20"/>
                <w:szCs w:val="20"/>
                <w:lang w:val="es-MX"/>
              </w:rPr>
              <w:t>bases de coordinación obligatorias exclusivamente para las</w:t>
            </w:r>
            <w:r>
              <w:rPr>
                <w:rFonts w:ascii="Arial" w:hAnsi="Arial" w:cs="Arial"/>
                <w:sz w:val="20"/>
                <w:szCs w:val="20"/>
                <w:lang w:val="es-MX"/>
              </w:rPr>
              <w:t xml:space="preserve"> </w:t>
            </w:r>
            <w:r w:rsidRPr="00D2512E">
              <w:rPr>
                <w:rFonts w:ascii="Arial" w:hAnsi="Arial" w:cs="Arial"/>
                <w:sz w:val="20"/>
                <w:szCs w:val="20"/>
                <w:lang w:val="es-MX"/>
              </w:rPr>
              <w:t>autoridades estatales, y con el único objeto de brindar</w:t>
            </w:r>
            <w:r>
              <w:rPr>
                <w:rFonts w:ascii="Arial" w:hAnsi="Arial" w:cs="Arial"/>
                <w:sz w:val="20"/>
                <w:szCs w:val="20"/>
                <w:lang w:val="es-MX"/>
              </w:rPr>
              <w:t xml:space="preserve"> </w:t>
            </w:r>
            <w:r w:rsidRPr="00D2512E">
              <w:rPr>
                <w:rFonts w:ascii="Arial" w:hAnsi="Arial" w:cs="Arial"/>
                <w:sz w:val="20"/>
                <w:szCs w:val="20"/>
                <w:lang w:val="es-MX"/>
              </w:rPr>
              <w:t>operatividad y eficacia a los lineamientos que dicte el I</w:t>
            </w:r>
            <w:r>
              <w:rPr>
                <w:rFonts w:ascii="Arial" w:hAnsi="Arial" w:cs="Arial"/>
                <w:sz w:val="20"/>
                <w:szCs w:val="20"/>
                <w:lang w:val="es-MX"/>
              </w:rPr>
              <w:t>NE</w:t>
            </w:r>
            <w:r w:rsidRPr="00D2512E">
              <w:rPr>
                <w:rFonts w:ascii="Arial" w:hAnsi="Arial" w:cs="Arial"/>
                <w:sz w:val="20"/>
                <w:szCs w:val="20"/>
                <w:lang w:val="es-MX"/>
              </w:rPr>
              <w:t xml:space="preserve"> al delegar, en su caso, sus facultades de</w:t>
            </w:r>
            <w:r>
              <w:rPr>
                <w:rFonts w:ascii="Arial" w:hAnsi="Arial" w:cs="Arial"/>
                <w:sz w:val="20"/>
                <w:szCs w:val="20"/>
                <w:lang w:val="es-MX"/>
              </w:rPr>
              <w:t xml:space="preserve"> </w:t>
            </w:r>
            <w:r w:rsidRPr="00D2512E">
              <w:rPr>
                <w:rFonts w:ascii="Arial" w:hAnsi="Arial" w:cs="Arial"/>
                <w:sz w:val="20"/>
                <w:szCs w:val="20"/>
                <w:lang w:val="es-MX"/>
              </w:rPr>
              <w:t>fiscalización</w:t>
            </w:r>
            <w:r>
              <w:rPr>
                <w:rFonts w:ascii="Arial" w:hAnsi="Arial" w:cs="Arial"/>
                <w:sz w:val="20"/>
                <w:szCs w:val="20"/>
                <w:lang w:val="es-MX"/>
              </w:rPr>
              <w:t>.</w:t>
            </w:r>
          </w:p>
          <w:p w14:paraId="7C70A001" w14:textId="77777777" w:rsidR="007B18DF" w:rsidRPr="00562734" w:rsidRDefault="007B18DF" w:rsidP="007B18DF">
            <w:pPr>
              <w:ind w:left="144" w:right="286"/>
              <w:jc w:val="both"/>
              <w:rPr>
                <w:rFonts w:ascii="Arial" w:hAnsi="Arial" w:cs="Arial"/>
                <w:sz w:val="20"/>
                <w:szCs w:val="20"/>
                <w:lang w:val="es-MX"/>
              </w:rPr>
            </w:pPr>
          </w:p>
          <w:p w14:paraId="07B7314A" w14:textId="77777777" w:rsidR="007B18DF" w:rsidRDefault="007B18DF" w:rsidP="007B18DF">
            <w:pPr>
              <w:ind w:left="144" w:right="286"/>
              <w:jc w:val="both"/>
              <w:rPr>
                <w:rFonts w:ascii="Arial" w:hAnsi="Arial" w:cs="Arial"/>
                <w:b/>
                <w:color w:val="000000"/>
                <w:sz w:val="20"/>
                <w:szCs w:val="20"/>
                <w:lang w:val="es-MX"/>
              </w:rPr>
            </w:pPr>
            <w:r w:rsidRPr="00562734">
              <w:rPr>
                <w:rFonts w:ascii="Arial" w:hAnsi="Arial" w:cs="Arial"/>
                <w:b/>
                <w:color w:val="000000"/>
                <w:sz w:val="20"/>
                <w:szCs w:val="20"/>
                <w:lang w:val="es-MX"/>
              </w:rPr>
              <w:t>Resolutivos</w:t>
            </w:r>
            <w:r>
              <w:rPr>
                <w:rFonts w:ascii="Arial" w:hAnsi="Arial" w:cs="Arial"/>
                <w:b/>
                <w:color w:val="000000"/>
                <w:sz w:val="20"/>
                <w:szCs w:val="20"/>
                <w:lang w:val="es-MX"/>
              </w:rPr>
              <w:t>:</w:t>
            </w:r>
          </w:p>
          <w:p w14:paraId="19EA9F27" w14:textId="77777777" w:rsidR="007B18DF" w:rsidRPr="005004BD" w:rsidRDefault="007B18DF" w:rsidP="007B18DF">
            <w:pPr>
              <w:ind w:left="144" w:right="286"/>
              <w:jc w:val="both"/>
              <w:rPr>
                <w:rFonts w:ascii="Arial" w:hAnsi="Arial" w:cs="Arial"/>
                <w:b/>
                <w:sz w:val="20"/>
                <w:szCs w:val="20"/>
                <w:lang w:val="es-MX"/>
              </w:rPr>
            </w:pPr>
            <w:r w:rsidRPr="005004BD">
              <w:rPr>
                <w:rFonts w:ascii="Arial" w:hAnsi="Arial" w:cs="Arial"/>
                <w:b/>
                <w:sz w:val="20"/>
                <w:szCs w:val="20"/>
                <w:lang w:val="es-MX"/>
              </w:rPr>
              <w:t>(…)</w:t>
            </w:r>
          </w:p>
          <w:p w14:paraId="58E868A5" w14:textId="77777777" w:rsidR="007B18DF" w:rsidRPr="005004BD" w:rsidRDefault="007B18DF" w:rsidP="007B18DF">
            <w:pPr>
              <w:ind w:left="144" w:right="286"/>
              <w:jc w:val="both"/>
              <w:rPr>
                <w:rFonts w:ascii="Arial" w:hAnsi="Arial" w:cs="Arial"/>
                <w:b/>
                <w:sz w:val="20"/>
                <w:szCs w:val="20"/>
                <w:lang w:val="es-MX"/>
              </w:rPr>
            </w:pPr>
            <w:r w:rsidRPr="005004BD">
              <w:rPr>
                <w:rFonts w:ascii="Arial" w:hAnsi="Arial" w:cs="Arial"/>
                <w:b/>
                <w:sz w:val="20"/>
                <w:szCs w:val="20"/>
                <w:lang w:val="es-MX"/>
              </w:rPr>
              <w:t>.</w:t>
            </w:r>
          </w:p>
          <w:p w14:paraId="670354BC" w14:textId="77777777" w:rsidR="007B18DF" w:rsidRPr="005004BD" w:rsidRDefault="007B18DF" w:rsidP="007B18DF">
            <w:pPr>
              <w:ind w:left="144" w:right="286"/>
              <w:jc w:val="both"/>
              <w:rPr>
                <w:rFonts w:ascii="Arial" w:hAnsi="Arial" w:cs="Arial"/>
                <w:b/>
                <w:sz w:val="20"/>
                <w:szCs w:val="20"/>
                <w:lang w:val="es-MX"/>
              </w:rPr>
            </w:pPr>
            <w:r w:rsidRPr="005004BD">
              <w:rPr>
                <w:rFonts w:ascii="Arial" w:hAnsi="Arial" w:cs="Arial"/>
                <w:b/>
                <w:sz w:val="20"/>
                <w:szCs w:val="20"/>
                <w:lang w:val="es-MX"/>
              </w:rPr>
              <w:t>.</w:t>
            </w:r>
          </w:p>
          <w:p w14:paraId="05D6A57D" w14:textId="77777777" w:rsidR="007B18DF" w:rsidRDefault="007B18DF" w:rsidP="007B18DF">
            <w:pPr>
              <w:ind w:left="144" w:right="286"/>
              <w:jc w:val="both"/>
              <w:rPr>
                <w:rFonts w:ascii="Arial" w:hAnsi="Arial" w:cs="Arial"/>
                <w:b/>
                <w:sz w:val="20"/>
                <w:szCs w:val="20"/>
                <w:lang w:val="es-MX"/>
              </w:rPr>
            </w:pPr>
            <w:r w:rsidRPr="005004BD">
              <w:rPr>
                <w:rFonts w:ascii="Arial" w:hAnsi="Arial" w:cs="Arial"/>
                <w:b/>
                <w:sz w:val="20"/>
                <w:szCs w:val="20"/>
                <w:lang w:val="es-MX"/>
              </w:rPr>
              <w:t>.</w:t>
            </w:r>
          </w:p>
          <w:p w14:paraId="16976330" w14:textId="77777777" w:rsidR="007B18DF" w:rsidRDefault="007B18DF" w:rsidP="007B18DF">
            <w:pPr>
              <w:ind w:left="144" w:right="286"/>
              <w:jc w:val="both"/>
              <w:rPr>
                <w:rFonts w:ascii="Arial" w:hAnsi="Arial" w:cs="Arial"/>
                <w:b/>
                <w:sz w:val="20"/>
                <w:szCs w:val="20"/>
                <w:lang w:val="es-MX"/>
              </w:rPr>
            </w:pPr>
          </w:p>
          <w:p w14:paraId="48C4D372" w14:textId="77777777" w:rsidR="007B18DF" w:rsidRPr="00DB2C2B" w:rsidRDefault="007B18DF" w:rsidP="003737BE">
            <w:pPr>
              <w:ind w:left="144" w:right="286"/>
              <w:jc w:val="both"/>
              <w:rPr>
                <w:rFonts w:ascii="Arial" w:hAnsi="Arial" w:cs="Arial"/>
                <w:sz w:val="20"/>
                <w:szCs w:val="20"/>
                <w:lang w:val="es-MX"/>
              </w:rPr>
            </w:pPr>
            <w:r w:rsidRPr="00DB2C2B">
              <w:rPr>
                <w:rFonts w:ascii="Arial" w:hAnsi="Arial" w:cs="Arial"/>
                <w:b/>
                <w:sz w:val="20"/>
                <w:szCs w:val="20"/>
                <w:lang w:val="es-MX"/>
              </w:rPr>
              <w:t xml:space="preserve">SEGUNDO. </w:t>
            </w:r>
            <w:r w:rsidRPr="00DB2C2B">
              <w:rPr>
                <w:rFonts w:ascii="Arial" w:hAnsi="Arial" w:cs="Arial"/>
                <w:sz w:val="20"/>
                <w:szCs w:val="20"/>
                <w:lang w:val="es-MX"/>
              </w:rPr>
              <w:t xml:space="preserve">Se desestimó la presente </w:t>
            </w:r>
            <w:proofErr w:type="spellStart"/>
            <w:r w:rsidRPr="00DB2C2B">
              <w:rPr>
                <w:rFonts w:ascii="Arial" w:hAnsi="Arial" w:cs="Arial"/>
                <w:sz w:val="20"/>
                <w:szCs w:val="20"/>
                <w:lang w:val="es-MX"/>
              </w:rPr>
              <w:t>acción</w:t>
            </w:r>
            <w:proofErr w:type="spellEnd"/>
            <w:r w:rsidRPr="00DB2C2B">
              <w:rPr>
                <w:rFonts w:ascii="Arial" w:hAnsi="Arial" w:cs="Arial"/>
                <w:sz w:val="20"/>
                <w:szCs w:val="20"/>
                <w:lang w:val="es-MX"/>
              </w:rPr>
              <w:t xml:space="preserve"> de inconstitucionalidad respecto del </w:t>
            </w:r>
            <w:proofErr w:type="spellStart"/>
            <w:r w:rsidRPr="00DB2C2B">
              <w:rPr>
                <w:rFonts w:ascii="Arial" w:hAnsi="Arial" w:cs="Arial"/>
                <w:sz w:val="20"/>
                <w:szCs w:val="20"/>
                <w:lang w:val="es-MX"/>
              </w:rPr>
              <w:t>articulo</w:t>
            </w:r>
            <w:proofErr w:type="spellEnd"/>
            <w:r w:rsidRPr="00DB2C2B">
              <w:rPr>
                <w:rFonts w:ascii="Arial" w:hAnsi="Arial" w:cs="Arial"/>
                <w:sz w:val="20"/>
                <w:szCs w:val="20"/>
                <w:lang w:val="es-MX"/>
              </w:rPr>
              <w:t xml:space="preserve"> 4°, </w:t>
            </w:r>
            <w:proofErr w:type="spellStart"/>
            <w:r w:rsidRPr="00DB2C2B">
              <w:rPr>
                <w:rFonts w:ascii="Arial" w:hAnsi="Arial" w:cs="Arial"/>
                <w:sz w:val="20"/>
                <w:szCs w:val="20"/>
                <w:lang w:val="es-MX"/>
              </w:rPr>
              <w:t>fracción</w:t>
            </w:r>
            <w:proofErr w:type="spellEnd"/>
            <w:r w:rsidRPr="00DB2C2B">
              <w:rPr>
                <w:rFonts w:ascii="Arial" w:hAnsi="Arial" w:cs="Arial"/>
                <w:sz w:val="20"/>
                <w:szCs w:val="20"/>
                <w:lang w:val="es-MX"/>
              </w:rPr>
              <w:t xml:space="preserve"> V,</w:t>
            </w:r>
            <w:r>
              <w:rPr>
                <w:rFonts w:ascii="Arial" w:hAnsi="Arial" w:cs="Arial"/>
                <w:sz w:val="20"/>
                <w:szCs w:val="20"/>
                <w:lang w:val="es-MX"/>
              </w:rPr>
              <w:t xml:space="preserve"> </w:t>
            </w:r>
            <w:proofErr w:type="spellStart"/>
            <w:r w:rsidRPr="00DB2C2B">
              <w:rPr>
                <w:rFonts w:ascii="Arial" w:hAnsi="Arial" w:cs="Arial"/>
                <w:sz w:val="20"/>
                <w:szCs w:val="20"/>
                <w:lang w:val="es-MX"/>
              </w:rPr>
              <w:t>párrafo</w:t>
            </w:r>
            <w:proofErr w:type="spellEnd"/>
            <w:r w:rsidRPr="00DB2C2B">
              <w:rPr>
                <w:rFonts w:ascii="Arial" w:hAnsi="Arial" w:cs="Arial"/>
                <w:sz w:val="20"/>
                <w:szCs w:val="20"/>
                <w:lang w:val="es-MX"/>
              </w:rPr>
              <w:t xml:space="preserve"> segundo, en la </w:t>
            </w:r>
            <w:proofErr w:type="spellStart"/>
            <w:r w:rsidRPr="00DB2C2B">
              <w:rPr>
                <w:rFonts w:ascii="Arial" w:hAnsi="Arial" w:cs="Arial"/>
                <w:sz w:val="20"/>
                <w:szCs w:val="20"/>
                <w:lang w:val="es-MX"/>
              </w:rPr>
              <w:t>porción</w:t>
            </w:r>
            <w:proofErr w:type="spellEnd"/>
            <w:r w:rsidRPr="00DB2C2B">
              <w:rPr>
                <w:rFonts w:ascii="Arial" w:hAnsi="Arial" w:cs="Arial"/>
                <w:sz w:val="20"/>
                <w:szCs w:val="20"/>
                <w:lang w:val="es-MX"/>
              </w:rPr>
              <w:t xml:space="preserve"> normativa que establece “...formar </w:t>
            </w:r>
            <w:proofErr w:type="gramStart"/>
            <w:r w:rsidRPr="00DB2C2B">
              <w:rPr>
                <w:rFonts w:ascii="Arial" w:hAnsi="Arial" w:cs="Arial"/>
                <w:sz w:val="20"/>
                <w:szCs w:val="20"/>
                <w:lang w:val="es-MX"/>
              </w:rPr>
              <w:t>frentes,...</w:t>
            </w:r>
            <w:proofErr w:type="gramEnd"/>
            <w:r w:rsidRPr="00DB2C2B">
              <w:rPr>
                <w:rFonts w:ascii="Arial" w:hAnsi="Arial" w:cs="Arial"/>
                <w:sz w:val="20"/>
                <w:szCs w:val="20"/>
                <w:lang w:val="es-MX"/>
              </w:rPr>
              <w:t xml:space="preserve"> o fusiones, ni...”, de la </w:t>
            </w:r>
            <w:proofErr w:type="spellStart"/>
            <w:r w:rsidRPr="00DB2C2B">
              <w:rPr>
                <w:rFonts w:ascii="Arial" w:hAnsi="Arial" w:cs="Arial"/>
                <w:sz w:val="20"/>
                <w:szCs w:val="20"/>
                <w:lang w:val="es-MX"/>
              </w:rPr>
              <w:t>Constitución</w:t>
            </w:r>
            <w:proofErr w:type="spellEnd"/>
            <w:r w:rsidRPr="00DB2C2B">
              <w:rPr>
                <w:rFonts w:ascii="Arial" w:hAnsi="Arial" w:cs="Arial"/>
                <w:sz w:val="20"/>
                <w:szCs w:val="20"/>
                <w:lang w:val="es-MX"/>
              </w:rPr>
              <w:t xml:space="preserve"> </w:t>
            </w:r>
            <w:proofErr w:type="spellStart"/>
            <w:r w:rsidRPr="00DB2C2B">
              <w:rPr>
                <w:rFonts w:ascii="Arial" w:hAnsi="Arial" w:cs="Arial"/>
                <w:sz w:val="20"/>
                <w:szCs w:val="20"/>
                <w:lang w:val="es-MX"/>
              </w:rPr>
              <w:t>Política</w:t>
            </w:r>
            <w:proofErr w:type="spellEnd"/>
            <w:r w:rsidRPr="00DB2C2B">
              <w:rPr>
                <w:rFonts w:ascii="Arial" w:hAnsi="Arial" w:cs="Arial"/>
                <w:sz w:val="20"/>
                <w:szCs w:val="20"/>
                <w:lang w:val="es-MX"/>
              </w:rPr>
              <w:t xml:space="preserve"> del Estado de Puebla.</w:t>
            </w:r>
          </w:p>
          <w:p w14:paraId="41F0A04B" w14:textId="77777777" w:rsidR="007B18DF" w:rsidRDefault="007B18DF" w:rsidP="003737BE">
            <w:pPr>
              <w:ind w:left="144" w:right="286"/>
              <w:jc w:val="both"/>
              <w:rPr>
                <w:rFonts w:ascii="Arial" w:hAnsi="Arial" w:cs="Arial"/>
                <w:b/>
                <w:sz w:val="20"/>
                <w:szCs w:val="20"/>
                <w:lang w:val="es-MX"/>
              </w:rPr>
            </w:pPr>
          </w:p>
          <w:p w14:paraId="47423BF5" w14:textId="77777777" w:rsidR="007B18DF" w:rsidRDefault="007B18DF" w:rsidP="003737BE">
            <w:pPr>
              <w:ind w:left="144" w:right="286"/>
              <w:jc w:val="both"/>
              <w:rPr>
                <w:rFonts w:ascii="Arial" w:hAnsi="Arial" w:cs="Arial"/>
                <w:sz w:val="20"/>
                <w:szCs w:val="20"/>
                <w:lang w:val="es-MX"/>
              </w:rPr>
            </w:pPr>
            <w:r w:rsidRPr="00A90406">
              <w:rPr>
                <w:rFonts w:ascii="Arial" w:hAnsi="Arial" w:cs="Arial"/>
                <w:b/>
                <w:sz w:val="20"/>
                <w:szCs w:val="20"/>
                <w:lang w:val="es-MX"/>
              </w:rPr>
              <w:t>TERCERO.</w:t>
            </w:r>
            <w:r w:rsidRPr="00A90406">
              <w:rPr>
                <w:rFonts w:ascii="Arial" w:hAnsi="Arial" w:cs="Arial"/>
                <w:sz w:val="20"/>
                <w:szCs w:val="20"/>
                <w:lang w:val="es-MX"/>
              </w:rPr>
              <w:t xml:space="preserve"> Se declaró la invalidez de los artículos 3º, fracción II, séptimo párrafo, y 4º, fracción V, párrafo segundo, en la porción normativa que establece “coaliciones”, de la Constitución Política del Estado de Puebla, lo cual surtirá sus efectos a partir de la notificación de los puntos resolutivos de esta sentencia al Congreso del Estado de Puebla.</w:t>
            </w:r>
          </w:p>
          <w:p w14:paraId="5302F042" w14:textId="77777777" w:rsidR="007B18DF" w:rsidRPr="00562734" w:rsidRDefault="007B18DF" w:rsidP="003737BE">
            <w:pPr>
              <w:ind w:left="144" w:right="286"/>
              <w:jc w:val="both"/>
              <w:rPr>
                <w:rFonts w:ascii="Arial" w:hAnsi="Arial" w:cs="Arial"/>
                <w:sz w:val="20"/>
                <w:szCs w:val="20"/>
                <w:lang w:val="es-MX"/>
              </w:rPr>
            </w:pPr>
          </w:p>
          <w:p w14:paraId="32C7EE0B" w14:textId="77777777" w:rsidR="007B18DF" w:rsidRPr="00786DD2" w:rsidRDefault="007B18DF" w:rsidP="003737BE">
            <w:pPr>
              <w:ind w:left="144" w:right="286"/>
              <w:jc w:val="both"/>
              <w:rPr>
                <w:rFonts w:ascii="Arial" w:hAnsi="Arial" w:cs="Arial"/>
                <w:sz w:val="20"/>
                <w:szCs w:val="20"/>
                <w:lang w:val="es-MX"/>
              </w:rPr>
            </w:pPr>
            <w:r>
              <w:rPr>
                <w:rFonts w:ascii="Arial" w:hAnsi="Arial" w:cs="Arial"/>
                <w:b/>
                <w:w w:val="105"/>
                <w:sz w:val="20"/>
                <w:szCs w:val="20"/>
                <w:lang w:val="es-MX"/>
              </w:rPr>
              <w:t>(…)</w:t>
            </w:r>
          </w:p>
          <w:p w14:paraId="3B03DC36" w14:textId="77777777" w:rsidR="007B18DF" w:rsidRDefault="007B18DF" w:rsidP="003737BE">
            <w:pPr>
              <w:pStyle w:val="TableParagraph"/>
              <w:spacing w:before="240" w:after="240"/>
              <w:ind w:left="144" w:right="57"/>
              <w:contextualSpacing/>
              <w:jc w:val="both"/>
              <w:rPr>
                <w:rFonts w:ascii="Arial" w:hAnsi="Arial" w:cs="Arial"/>
                <w:b/>
                <w:w w:val="105"/>
                <w:sz w:val="20"/>
                <w:szCs w:val="20"/>
                <w:lang w:val="es-MX"/>
              </w:rPr>
            </w:pPr>
            <w:r>
              <w:rPr>
                <w:rFonts w:ascii="Arial" w:hAnsi="Arial" w:cs="Arial"/>
                <w:b/>
                <w:w w:val="105"/>
                <w:sz w:val="20"/>
                <w:szCs w:val="20"/>
                <w:lang w:val="es-MX"/>
              </w:rPr>
              <w:t>.</w:t>
            </w:r>
          </w:p>
          <w:p w14:paraId="1E23D0A5" w14:textId="77777777" w:rsidR="007B18DF" w:rsidRDefault="007B18DF" w:rsidP="003737BE">
            <w:pPr>
              <w:pStyle w:val="TableParagraph"/>
              <w:spacing w:before="240" w:after="240"/>
              <w:ind w:left="144" w:right="57"/>
              <w:contextualSpacing/>
              <w:jc w:val="both"/>
              <w:rPr>
                <w:rFonts w:ascii="Arial" w:hAnsi="Arial" w:cs="Arial"/>
                <w:b/>
                <w:w w:val="105"/>
                <w:sz w:val="20"/>
                <w:szCs w:val="20"/>
                <w:lang w:val="es-MX"/>
              </w:rPr>
            </w:pPr>
            <w:r>
              <w:rPr>
                <w:rFonts w:ascii="Arial" w:hAnsi="Arial" w:cs="Arial"/>
                <w:b/>
                <w:w w:val="105"/>
                <w:sz w:val="20"/>
                <w:szCs w:val="20"/>
                <w:lang w:val="es-MX"/>
              </w:rPr>
              <w:t>.</w:t>
            </w:r>
          </w:p>
          <w:p w14:paraId="5F08194A" w14:textId="77777777" w:rsidR="007B18DF" w:rsidRDefault="007B18DF" w:rsidP="003737BE">
            <w:pPr>
              <w:pStyle w:val="TableParagraph"/>
              <w:spacing w:before="240" w:after="240"/>
              <w:ind w:left="144" w:right="57"/>
              <w:contextualSpacing/>
              <w:jc w:val="both"/>
              <w:rPr>
                <w:rFonts w:ascii="Arial" w:hAnsi="Arial" w:cs="Arial"/>
                <w:b/>
                <w:w w:val="105"/>
                <w:sz w:val="20"/>
                <w:szCs w:val="20"/>
                <w:lang w:val="es-MX"/>
              </w:rPr>
            </w:pPr>
            <w:r>
              <w:rPr>
                <w:rFonts w:ascii="Arial" w:hAnsi="Arial" w:cs="Arial"/>
                <w:b/>
                <w:w w:val="105"/>
                <w:sz w:val="20"/>
                <w:szCs w:val="20"/>
                <w:lang w:val="es-MX"/>
              </w:rPr>
              <w:t>.</w:t>
            </w:r>
          </w:p>
          <w:p w14:paraId="54BF136F" w14:textId="77777777" w:rsidR="007B18DF" w:rsidRDefault="007B18DF" w:rsidP="003737BE">
            <w:pPr>
              <w:pStyle w:val="TableParagraph"/>
              <w:spacing w:before="240" w:after="240"/>
              <w:ind w:left="144" w:right="57"/>
              <w:contextualSpacing/>
              <w:jc w:val="both"/>
              <w:rPr>
                <w:rFonts w:ascii="Arial" w:hAnsi="Arial" w:cs="Arial"/>
                <w:b/>
                <w:w w:val="105"/>
                <w:sz w:val="20"/>
                <w:szCs w:val="20"/>
                <w:lang w:val="es-MX"/>
              </w:rPr>
            </w:pPr>
          </w:p>
          <w:p w14:paraId="41596436" w14:textId="77777777" w:rsidR="007B18DF" w:rsidRDefault="007B18DF" w:rsidP="003737BE">
            <w:pPr>
              <w:pStyle w:val="TableParagraph"/>
              <w:spacing w:before="240" w:after="240"/>
              <w:ind w:left="144" w:right="57"/>
              <w:contextualSpacing/>
              <w:jc w:val="both"/>
              <w:rPr>
                <w:rFonts w:ascii="Arial" w:hAnsi="Arial" w:cs="Arial"/>
                <w:b/>
                <w:w w:val="105"/>
                <w:sz w:val="20"/>
                <w:szCs w:val="20"/>
                <w:lang w:val="es-MX"/>
              </w:rPr>
            </w:pPr>
            <w:r w:rsidRPr="00DB2C2B">
              <w:rPr>
                <w:rFonts w:ascii="Arial" w:hAnsi="Arial" w:cs="Arial"/>
                <w:b/>
                <w:w w:val="105"/>
                <w:sz w:val="20"/>
                <w:szCs w:val="20"/>
                <w:lang w:val="es-MX"/>
              </w:rPr>
              <w:t>En relación con el punto resolutivo segundo:</w:t>
            </w:r>
          </w:p>
          <w:p w14:paraId="1D66521F" w14:textId="77777777" w:rsidR="007B18DF" w:rsidRPr="00DB2C2B" w:rsidRDefault="007B18DF" w:rsidP="003737BE">
            <w:pPr>
              <w:pStyle w:val="TableParagraph"/>
              <w:spacing w:before="240" w:after="240"/>
              <w:ind w:left="144" w:right="57"/>
              <w:contextualSpacing/>
              <w:jc w:val="both"/>
              <w:rPr>
                <w:rFonts w:ascii="Arial" w:hAnsi="Arial" w:cs="Arial"/>
                <w:b/>
                <w:w w:val="105"/>
                <w:sz w:val="20"/>
                <w:szCs w:val="20"/>
                <w:lang w:val="es-MX"/>
              </w:rPr>
            </w:pPr>
          </w:p>
          <w:p w14:paraId="79693551" w14:textId="77777777" w:rsidR="007B18DF" w:rsidRPr="00DB2C2B" w:rsidRDefault="007B18DF" w:rsidP="003737BE">
            <w:pPr>
              <w:pStyle w:val="TableParagraph"/>
              <w:spacing w:before="240" w:after="240"/>
              <w:ind w:left="144" w:right="57"/>
              <w:contextualSpacing/>
              <w:jc w:val="both"/>
              <w:rPr>
                <w:rFonts w:ascii="Arial" w:hAnsi="Arial" w:cs="Arial"/>
                <w:w w:val="105"/>
                <w:sz w:val="20"/>
                <w:szCs w:val="20"/>
                <w:lang w:val="es-MX"/>
              </w:rPr>
            </w:pPr>
            <w:r w:rsidRPr="00DB2C2B">
              <w:rPr>
                <w:rFonts w:ascii="Arial" w:hAnsi="Arial" w:cs="Arial"/>
                <w:w w:val="105"/>
                <w:sz w:val="20"/>
                <w:szCs w:val="20"/>
                <w:lang w:val="es-MX"/>
              </w:rPr>
              <w:t xml:space="preserve">Se pronunció una mayoría de 6 votos de los </w:t>
            </w:r>
            <w:proofErr w:type="gramStart"/>
            <w:r w:rsidRPr="00DB2C2B">
              <w:rPr>
                <w:rFonts w:ascii="Arial" w:hAnsi="Arial" w:cs="Arial"/>
                <w:w w:val="105"/>
                <w:sz w:val="20"/>
                <w:szCs w:val="20"/>
                <w:lang w:val="es-MX"/>
              </w:rPr>
              <w:t>Ministros</w:t>
            </w:r>
            <w:proofErr w:type="gramEnd"/>
            <w:r w:rsidRPr="00DB2C2B">
              <w:rPr>
                <w:rFonts w:ascii="Arial" w:hAnsi="Arial" w:cs="Arial"/>
                <w:w w:val="105"/>
                <w:sz w:val="20"/>
                <w:szCs w:val="20"/>
                <w:lang w:val="es-MX"/>
              </w:rPr>
              <w:t xml:space="preserve"> Gutiérrez Ortiz Mena, Luna Ramos, Zaldívar Lelo de Larrea, Medina Mora I., Sánchez Cordero de García Villegas y Presidente Aguilar Morales, respecto del considerando séptimo, consistente en declarar la invalidez del artículo 4, fracción V, párrafo segundo, en la porción normativa que establece “formar frentes… o fusiones, ni”, de la Constitución Política del Estado Libre y Soberano de Puebla. Los Ministros Franco González Salas, Pardo Rebolledo, Silva Meza y Pérez Dayán votaron en contra. Dado el resultado obtenido, el Tribunal Pleno determinó desestimar el planteamiento consistente en declarar la invalidez del artículo 4, fracción V, párrafo segundo, en la</w:t>
            </w:r>
            <w:r>
              <w:t xml:space="preserve"> </w:t>
            </w:r>
            <w:r w:rsidRPr="00DB2C2B">
              <w:rPr>
                <w:rFonts w:ascii="Arial" w:hAnsi="Arial" w:cs="Arial"/>
                <w:w w:val="105"/>
                <w:sz w:val="20"/>
                <w:szCs w:val="20"/>
                <w:lang w:val="es-MX"/>
              </w:rPr>
              <w:t>porción normativa que establece “…formar frentes… o</w:t>
            </w:r>
            <w:r>
              <w:rPr>
                <w:rFonts w:ascii="Arial" w:hAnsi="Arial" w:cs="Arial"/>
                <w:w w:val="105"/>
                <w:sz w:val="20"/>
                <w:szCs w:val="20"/>
                <w:lang w:val="es-MX"/>
              </w:rPr>
              <w:t xml:space="preserve"> </w:t>
            </w:r>
            <w:r w:rsidRPr="00DB2C2B">
              <w:rPr>
                <w:rFonts w:ascii="Arial" w:hAnsi="Arial" w:cs="Arial"/>
                <w:w w:val="105"/>
                <w:sz w:val="20"/>
                <w:szCs w:val="20"/>
                <w:lang w:val="es-MX"/>
              </w:rPr>
              <w:t>fusiones, ni…”, de la Constitución Política del Estado Libre y</w:t>
            </w:r>
            <w:r>
              <w:rPr>
                <w:rFonts w:ascii="Arial" w:hAnsi="Arial" w:cs="Arial"/>
                <w:w w:val="105"/>
                <w:sz w:val="20"/>
                <w:szCs w:val="20"/>
                <w:lang w:val="es-MX"/>
              </w:rPr>
              <w:t xml:space="preserve"> </w:t>
            </w:r>
            <w:r w:rsidRPr="00DB2C2B">
              <w:rPr>
                <w:rFonts w:ascii="Arial" w:hAnsi="Arial" w:cs="Arial"/>
                <w:w w:val="105"/>
                <w:sz w:val="20"/>
                <w:szCs w:val="20"/>
                <w:lang w:val="es-MX"/>
              </w:rPr>
              <w:t>Soberano de Puebla, al no alcanzar una mayoría calificada,</w:t>
            </w:r>
          </w:p>
          <w:p w14:paraId="542F5E42" w14:textId="77777777" w:rsidR="007B18DF" w:rsidRPr="00DB2C2B" w:rsidRDefault="007B18DF" w:rsidP="003737BE">
            <w:pPr>
              <w:pStyle w:val="TableParagraph"/>
              <w:spacing w:before="240" w:after="240"/>
              <w:ind w:left="144" w:right="57"/>
              <w:contextualSpacing/>
              <w:jc w:val="both"/>
              <w:rPr>
                <w:rFonts w:ascii="Arial" w:hAnsi="Arial" w:cs="Arial"/>
                <w:w w:val="105"/>
                <w:sz w:val="20"/>
                <w:szCs w:val="20"/>
                <w:lang w:val="es-MX"/>
              </w:rPr>
            </w:pPr>
            <w:r w:rsidRPr="00DB2C2B">
              <w:rPr>
                <w:rFonts w:ascii="Arial" w:hAnsi="Arial" w:cs="Arial"/>
                <w:w w:val="105"/>
                <w:sz w:val="20"/>
                <w:szCs w:val="20"/>
                <w:lang w:val="es-MX"/>
              </w:rPr>
              <w:t>con fundamento en lo dispuesto en los artículos 105, fracción</w:t>
            </w:r>
            <w:r>
              <w:rPr>
                <w:rFonts w:ascii="Arial" w:hAnsi="Arial" w:cs="Arial"/>
                <w:w w:val="105"/>
                <w:sz w:val="20"/>
                <w:szCs w:val="20"/>
                <w:lang w:val="es-MX"/>
              </w:rPr>
              <w:t xml:space="preserve"> </w:t>
            </w:r>
            <w:r w:rsidRPr="00DB2C2B">
              <w:rPr>
                <w:rFonts w:ascii="Arial" w:hAnsi="Arial" w:cs="Arial"/>
                <w:w w:val="105"/>
                <w:sz w:val="20"/>
                <w:szCs w:val="20"/>
                <w:lang w:val="es-MX"/>
              </w:rPr>
              <w:t>II, párrafo quinto, de la Constitución Política de los Estados</w:t>
            </w:r>
            <w:r>
              <w:rPr>
                <w:rFonts w:ascii="Arial" w:hAnsi="Arial" w:cs="Arial"/>
                <w:w w:val="105"/>
                <w:sz w:val="20"/>
                <w:szCs w:val="20"/>
                <w:lang w:val="es-MX"/>
              </w:rPr>
              <w:t xml:space="preserve"> </w:t>
            </w:r>
            <w:r w:rsidRPr="00DB2C2B">
              <w:rPr>
                <w:rFonts w:ascii="Arial" w:hAnsi="Arial" w:cs="Arial"/>
                <w:w w:val="105"/>
                <w:sz w:val="20"/>
                <w:szCs w:val="20"/>
                <w:lang w:val="es-MX"/>
              </w:rPr>
              <w:t>Unidos Mexicanos, y 72 de la Ley Reglamentaria de las</w:t>
            </w:r>
            <w:r>
              <w:rPr>
                <w:rFonts w:ascii="Arial" w:hAnsi="Arial" w:cs="Arial"/>
                <w:w w:val="105"/>
                <w:sz w:val="20"/>
                <w:szCs w:val="20"/>
                <w:lang w:val="es-MX"/>
              </w:rPr>
              <w:t xml:space="preserve"> </w:t>
            </w:r>
            <w:r w:rsidRPr="00DB2C2B">
              <w:rPr>
                <w:rFonts w:ascii="Arial" w:hAnsi="Arial" w:cs="Arial"/>
                <w:w w:val="105"/>
                <w:sz w:val="20"/>
                <w:szCs w:val="20"/>
                <w:lang w:val="es-MX"/>
              </w:rPr>
              <w:t>Fracciones I y II del Artículo 105 de la Constitución Política de</w:t>
            </w:r>
            <w:r>
              <w:rPr>
                <w:rFonts w:ascii="Arial" w:hAnsi="Arial" w:cs="Arial"/>
                <w:w w:val="105"/>
                <w:sz w:val="20"/>
                <w:szCs w:val="20"/>
                <w:lang w:val="es-MX"/>
              </w:rPr>
              <w:t xml:space="preserve"> </w:t>
            </w:r>
            <w:r w:rsidRPr="00DB2C2B">
              <w:rPr>
                <w:rFonts w:ascii="Arial" w:hAnsi="Arial" w:cs="Arial"/>
                <w:w w:val="105"/>
                <w:sz w:val="20"/>
                <w:szCs w:val="20"/>
                <w:lang w:val="es-MX"/>
              </w:rPr>
              <w:t>los Estados Unidos Mexicanos.</w:t>
            </w:r>
            <w:r>
              <w:rPr>
                <w:rFonts w:ascii="Arial" w:hAnsi="Arial" w:cs="Arial"/>
                <w:w w:val="105"/>
                <w:sz w:val="20"/>
                <w:szCs w:val="20"/>
                <w:lang w:val="es-MX"/>
              </w:rPr>
              <w:t xml:space="preserve"> </w:t>
            </w:r>
            <w:r w:rsidRPr="00DB2C2B">
              <w:rPr>
                <w:rFonts w:ascii="Arial" w:hAnsi="Arial" w:cs="Arial"/>
                <w:w w:val="105"/>
                <w:sz w:val="20"/>
                <w:szCs w:val="20"/>
                <w:lang w:val="es-MX"/>
              </w:rPr>
              <w:t xml:space="preserve">El </w:t>
            </w:r>
            <w:proofErr w:type="gramStart"/>
            <w:r w:rsidRPr="00DB2C2B">
              <w:rPr>
                <w:rFonts w:ascii="Arial" w:hAnsi="Arial" w:cs="Arial"/>
                <w:w w:val="105"/>
                <w:sz w:val="20"/>
                <w:szCs w:val="20"/>
                <w:lang w:val="es-MX"/>
              </w:rPr>
              <w:t>Ministro</w:t>
            </w:r>
            <w:proofErr w:type="gramEnd"/>
            <w:r w:rsidRPr="00DB2C2B">
              <w:rPr>
                <w:rFonts w:ascii="Arial" w:hAnsi="Arial" w:cs="Arial"/>
                <w:w w:val="105"/>
                <w:sz w:val="20"/>
                <w:szCs w:val="20"/>
                <w:lang w:val="es-MX"/>
              </w:rPr>
              <w:t xml:space="preserve"> Cossío Díaz no asistió a la sesión de</w:t>
            </w:r>
            <w:r>
              <w:rPr>
                <w:rFonts w:ascii="Arial" w:hAnsi="Arial" w:cs="Arial"/>
                <w:w w:val="105"/>
                <w:sz w:val="20"/>
                <w:szCs w:val="20"/>
                <w:lang w:val="es-MX"/>
              </w:rPr>
              <w:t xml:space="preserve"> </w:t>
            </w:r>
            <w:r w:rsidRPr="00DB2C2B">
              <w:rPr>
                <w:rFonts w:ascii="Arial" w:hAnsi="Arial" w:cs="Arial"/>
                <w:w w:val="105"/>
                <w:sz w:val="20"/>
                <w:szCs w:val="20"/>
                <w:lang w:val="es-MX"/>
              </w:rPr>
              <w:t>veintidós de octubre de dos mil quince previo aviso a la</w:t>
            </w:r>
            <w:r>
              <w:rPr>
                <w:rFonts w:ascii="Arial" w:hAnsi="Arial" w:cs="Arial"/>
                <w:w w:val="105"/>
                <w:sz w:val="20"/>
                <w:szCs w:val="20"/>
                <w:lang w:val="es-MX"/>
              </w:rPr>
              <w:t xml:space="preserve"> </w:t>
            </w:r>
            <w:r w:rsidRPr="00DB2C2B">
              <w:rPr>
                <w:rFonts w:ascii="Arial" w:hAnsi="Arial" w:cs="Arial"/>
                <w:w w:val="105"/>
                <w:sz w:val="20"/>
                <w:szCs w:val="20"/>
                <w:lang w:val="es-MX"/>
              </w:rPr>
              <w:t>Presidencia.</w:t>
            </w:r>
            <w:r w:rsidRPr="00DB2C2B">
              <w:rPr>
                <w:rFonts w:ascii="Arial" w:hAnsi="Arial" w:cs="Arial"/>
                <w:w w:val="105"/>
                <w:sz w:val="20"/>
                <w:szCs w:val="20"/>
                <w:lang w:val="es-MX"/>
              </w:rPr>
              <w:cr/>
            </w:r>
          </w:p>
          <w:p w14:paraId="383FF14E" w14:textId="77777777" w:rsidR="007B18DF" w:rsidRPr="00D53D1B" w:rsidRDefault="007B18DF" w:rsidP="003737BE">
            <w:pPr>
              <w:pStyle w:val="TableParagraph"/>
              <w:spacing w:before="240" w:after="240"/>
              <w:ind w:left="144" w:right="57"/>
              <w:contextualSpacing/>
              <w:jc w:val="both"/>
              <w:rPr>
                <w:rFonts w:ascii="Arial" w:hAnsi="Arial" w:cs="Arial"/>
                <w:b/>
                <w:w w:val="105"/>
                <w:sz w:val="20"/>
                <w:szCs w:val="20"/>
                <w:lang w:val="es-MX"/>
              </w:rPr>
            </w:pPr>
            <w:r w:rsidRPr="00D53D1B">
              <w:rPr>
                <w:rFonts w:ascii="Arial" w:hAnsi="Arial" w:cs="Arial"/>
                <w:b/>
                <w:w w:val="105"/>
                <w:sz w:val="20"/>
                <w:szCs w:val="20"/>
                <w:lang w:val="es-MX"/>
              </w:rPr>
              <w:t>En relación con el punto resolutivo tercero:</w:t>
            </w:r>
          </w:p>
          <w:p w14:paraId="08190353" w14:textId="77777777" w:rsidR="007B18DF" w:rsidRPr="00D53D1B" w:rsidRDefault="007B18DF" w:rsidP="003737BE">
            <w:pPr>
              <w:pStyle w:val="TableParagraph"/>
              <w:spacing w:before="240" w:after="240"/>
              <w:ind w:left="57" w:right="57"/>
              <w:contextualSpacing/>
              <w:jc w:val="both"/>
              <w:rPr>
                <w:rFonts w:ascii="Arial" w:hAnsi="Arial" w:cs="Arial"/>
                <w:w w:val="105"/>
                <w:sz w:val="20"/>
                <w:szCs w:val="20"/>
                <w:lang w:val="es-MX"/>
              </w:rPr>
            </w:pPr>
          </w:p>
          <w:p w14:paraId="42A12D4A" w14:textId="77777777" w:rsidR="007B18DF" w:rsidRDefault="007B18DF" w:rsidP="003737BE">
            <w:pPr>
              <w:pStyle w:val="TableParagraph"/>
              <w:spacing w:before="240" w:after="240"/>
              <w:ind w:left="144" w:right="286"/>
              <w:contextualSpacing/>
              <w:jc w:val="both"/>
              <w:rPr>
                <w:rFonts w:ascii="Arial" w:hAnsi="Arial" w:cs="Arial"/>
                <w:w w:val="105"/>
                <w:sz w:val="20"/>
                <w:szCs w:val="20"/>
                <w:lang w:val="es-MX"/>
              </w:rPr>
            </w:pPr>
            <w:r w:rsidRPr="00D53D1B">
              <w:rPr>
                <w:rFonts w:ascii="Arial" w:hAnsi="Arial" w:cs="Arial"/>
                <w:w w:val="105"/>
                <w:sz w:val="20"/>
                <w:szCs w:val="20"/>
                <w:lang w:val="es-MX"/>
              </w:rPr>
              <w:t xml:space="preserve">Se aprobó por unanimidad de </w:t>
            </w:r>
            <w:r>
              <w:rPr>
                <w:rFonts w:ascii="Arial" w:hAnsi="Arial" w:cs="Arial"/>
                <w:w w:val="105"/>
                <w:sz w:val="20"/>
                <w:szCs w:val="20"/>
                <w:lang w:val="es-MX"/>
              </w:rPr>
              <w:t>10</w:t>
            </w:r>
            <w:r w:rsidRPr="00D53D1B">
              <w:rPr>
                <w:rFonts w:ascii="Arial" w:hAnsi="Arial" w:cs="Arial"/>
                <w:w w:val="105"/>
                <w:sz w:val="20"/>
                <w:szCs w:val="20"/>
                <w:lang w:val="es-MX"/>
              </w:rPr>
              <w:t xml:space="preserve"> votos de los</w:t>
            </w:r>
            <w:r>
              <w:rPr>
                <w:rFonts w:ascii="Arial" w:hAnsi="Arial" w:cs="Arial"/>
                <w:w w:val="105"/>
                <w:sz w:val="20"/>
                <w:szCs w:val="20"/>
                <w:lang w:val="es-MX"/>
              </w:rPr>
              <w:t xml:space="preserve"> </w:t>
            </w:r>
            <w:r w:rsidRPr="00D53D1B">
              <w:rPr>
                <w:rFonts w:ascii="Arial" w:hAnsi="Arial" w:cs="Arial"/>
                <w:w w:val="105"/>
                <w:sz w:val="20"/>
                <w:szCs w:val="20"/>
                <w:lang w:val="es-MX"/>
              </w:rPr>
              <w:t>Ministros Gutiérrez Ortiz Mena, Luna Ramos, Franco</w:t>
            </w:r>
            <w:r>
              <w:rPr>
                <w:rFonts w:ascii="Arial" w:hAnsi="Arial" w:cs="Arial"/>
                <w:w w:val="105"/>
                <w:sz w:val="20"/>
                <w:szCs w:val="20"/>
                <w:lang w:val="es-MX"/>
              </w:rPr>
              <w:t xml:space="preserve"> </w:t>
            </w:r>
            <w:r w:rsidRPr="00D53D1B">
              <w:rPr>
                <w:rFonts w:ascii="Arial" w:hAnsi="Arial" w:cs="Arial"/>
                <w:w w:val="105"/>
                <w:sz w:val="20"/>
                <w:szCs w:val="20"/>
                <w:lang w:val="es-MX"/>
              </w:rPr>
              <w:t>González Salas por consideraciones distintas, Zaldívar Lelo</w:t>
            </w:r>
            <w:r>
              <w:rPr>
                <w:rFonts w:ascii="Arial" w:hAnsi="Arial" w:cs="Arial"/>
                <w:w w:val="105"/>
                <w:sz w:val="20"/>
                <w:szCs w:val="20"/>
                <w:lang w:val="es-MX"/>
              </w:rPr>
              <w:t xml:space="preserve"> </w:t>
            </w:r>
            <w:r w:rsidRPr="00D53D1B">
              <w:rPr>
                <w:rFonts w:ascii="Arial" w:hAnsi="Arial" w:cs="Arial"/>
                <w:w w:val="105"/>
                <w:sz w:val="20"/>
                <w:szCs w:val="20"/>
                <w:lang w:val="es-MX"/>
              </w:rPr>
              <w:t>de Larrea por consideraciones distintas, Pardo Rebolledo</w:t>
            </w:r>
            <w:r>
              <w:rPr>
                <w:rFonts w:ascii="Arial" w:hAnsi="Arial" w:cs="Arial"/>
                <w:w w:val="105"/>
                <w:sz w:val="20"/>
                <w:szCs w:val="20"/>
                <w:lang w:val="es-MX"/>
              </w:rPr>
              <w:t xml:space="preserve"> </w:t>
            </w:r>
            <w:r w:rsidRPr="00D53D1B">
              <w:rPr>
                <w:rFonts w:ascii="Arial" w:hAnsi="Arial" w:cs="Arial"/>
                <w:w w:val="105"/>
                <w:sz w:val="20"/>
                <w:szCs w:val="20"/>
                <w:lang w:val="es-MX"/>
              </w:rPr>
              <w:t>separándose de algunas consideraciones, Silva Meza,</w:t>
            </w:r>
            <w:r>
              <w:rPr>
                <w:rFonts w:ascii="Arial" w:hAnsi="Arial" w:cs="Arial"/>
                <w:w w:val="105"/>
                <w:sz w:val="20"/>
                <w:szCs w:val="20"/>
                <w:lang w:val="es-MX"/>
              </w:rPr>
              <w:t xml:space="preserve"> </w:t>
            </w:r>
            <w:r w:rsidRPr="00D53D1B">
              <w:rPr>
                <w:rFonts w:ascii="Arial" w:hAnsi="Arial" w:cs="Arial"/>
                <w:w w:val="105"/>
                <w:sz w:val="20"/>
                <w:szCs w:val="20"/>
                <w:lang w:val="es-MX"/>
              </w:rPr>
              <w:t>Medina Mora I., Sánchez Cordero de García Villegas, Pérez</w:t>
            </w:r>
            <w:r>
              <w:rPr>
                <w:rFonts w:ascii="Arial" w:hAnsi="Arial" w:cs="Arial"/>
                <w:w w:val="105"/>
                <w:sz w:val="20"/>
                <w:szCs w:val="20"/>
                <w:lang w:val="es-MX"/>
              </w:rPr>
              <w:t xml:space="preserve"> </w:t>
            </w:r>
            <w:r w:rsidRPr="00D53D1B">
              <w:rPr>
                <w:rFonts w:ascii="Arial" w:hAnsi="Arial" w:cs="Arial"/>
                <w:w w:val="105"/>
                <w:sz w:val="20"/>
                <w:szCs w:val="20"/>
                <w:lang w:val="es-MX"/>
              </w:rPr>
              <w:t>Dayán y Presidente Aguilar Morales por consideraciones</w:t>
            </w:r>
            <w:r>
              <w:rPr>
                <w:rFonts w:ascii="Arial" w:hAnsi="Arial" w:cs="Arial"/>
                <w:w w:val="105"/>
                <w:sz w:val="20"/>
                <w:szCs w:val="20"/>
                <w:lang w:val="es-MX"/>
              </w:rPr>
              <w:t xml:space="preserve"> </w:t>
            </w:r>
            <w:r w:rsidRPr="00D53D1B">
              <w:rPr>
                <w:rFonts w:ascii="Arial" w:hAnsi="Arial" w:cs="Arial"/>
                <w:w w:val="105"/>
                <w:sz w:val="20"/>
                <w:szCs w:val="20"/>
                <w:lang w:val="es-MX"/>
              </w:rPr>
              <w:t>distintas, respecto del considerando sexto, consistente en</w:t>
            </w:r>
            <w:r>
              <w:rPr>
                <w:rFonts w:ascii="Arial" w:hAnsi="Arial" w:cs="Arial"/>
                <w:w w:val="105"/>
                <w:sz w:val="20"/>
                <w:szCs w:val="20"/>
                <w:lang w:val="es-MX"/>
              </w:rPr>
              <w:t xml:space="preserve"> </w:t>
            </w:r>
            <w:r w:rsidRPr="00D53D1B">
              <w:rPr>
                <w:rFonts w:ascii="Arial" w:hAnsi="Arial" w:cs="Arial"/>
                <w:w w:val="105"/>
                <w:sz w:val="20"/>
                <w:szCs w:val="20"/>
                <w:lang w:val="es-MX"/>
              </w:rPr>
              <w:t>declarar la invalidez del artículo 3, fracción II, párrafo séptimo,</w:t>
            </w:r>
            <w:r>
              <w:rPr>
                <w:rFonts w:ascii="Arial" w:hAnsi="Arial" w:cs="Arial"/>
                <w:w w:val="105"/>
                <w:sz w:val="20"/>
                <w:szCs w:val="20"/>
                <w:lang w:val="es-MX"/>
              </w:rPr>
              <w:t xml:space="preserve"> </w:t>
            </w:r>
            <w:r w:rsidRPr="00D53D1B">
              <w:rPr>
                <w:rFonts w:ascii="Arial" w:hAnsi="Arial" w:cs="Arial"/>
                <w:w w:val="105"/>
                <w:sz w:val="20"/>
                <w:szCs w:val="20"/>
                <w:lang w:val="es-MX"/>
              </w:rPr>
              <w:t>de la Constitución Política del Estado Libre y Soberano de</w:t>
            </w:r>
            <w:r>
              <w:rPr>
                <w:rFonts w:ascii="Arial" w:hAnsi="Arial" w:cs="Arial"/>
                <w:w w:val="105"/>
                <w:sz w:val="20"/>
                <w:szCs w:val="20"/>
                <w:lang w:val="es-MX"/>
              </w:rPr>
              <w:t xml:space="preserve"> </w:t>
            </w:r>
            <w:r w:rsidRPr="00D53D1B">
              <w:rPr>
                <w:rFonts w:ascii="Arial" w:hAnsi="Arial" w:cs="Arial"/>
                <w:w w:val="105"/>
                <w:sz w:val="20"/>
                <w:szCs w:val="20"/>
                <w:lang w:val="es-MX"/>
              </w:rPr>
              <w:t xml:space="preserve">Puebla. Los </w:t>
            </w:r>
            <w:proofErr w:type="gramStart"/>
            <w:r w:rsidRPr="00D53D1B">
              <w:rPr>
                <w:rFonts w:ascii="Arial" w:hAnsi="Arial" w:cs="Arial"/>
                <w:w w:val="105"/>
                <w:sz w:val="20"/>
                <w:szCs w:val="20"/>
                <w:lang w:val="es-MX"/>
              </w:rPr>
              <w:t>Ministros</w:t>
            </w:r>
            <w:proofErr w:type="gramEnd"/>
            <w:r w:rsidRPr="00D53D1B">
              <w:rPr>
                <w:rFonts w:ascii="Arial" w:hAnsi="Arial" w:cs="Arial"/>
                <w:w w:val="105"/>
                <w:sz w:val="20"/>
                <w:szCs w:val="20"/>
                <w:lang w:val="es-MX"/>
              </w:rPr>
              <w:t xml:space="preserve"> Zaldívar Lelo de Larrea y</w:t>
            </w:r>
            <w:r>
              <w:rPr>
                <w:rFonts w:ascii="Arial" w:hAnsi="Arial" w:cs="Arial"/>
                <w:w w:val="105"/>
                <w:sz w:val="20"/>
                <w:szCs w:val="20"/>
                <w:lang w:val="es-MX"/>
              </w:rPr>
              <w:t xml:space="preserve"> </w:t>
            </w:r>
            <w:r w:rsidRPr="00D53D1B">
              <w:rPr>
                <w:rFonts w:ascii="Arial" w:hAnsi="Arial" w:cs="Arial"/>
                <w:w w:val="105"/>
                <w:sz w:val="20"/>
                <w:szCs w:val="20"/>
                <w:lang w:val="es-MX"/>
              </w:rPr>
              <w:t>Presidente Aguilar Morales anunciaron sendos votos</w:t>
            </w:r>
            <w:r>
              <w:rPr>
                <w:rFonts w:ascii="Arial" w:hAnsi="Arial" w:cs="Arial"/>
                <w:w w:val="105"/>
                <w:sz w:val="20"/>
                <w:szCs w:val="20"/>
                <w:lang w:val="es-MX"/>
              </w:rPr>
              <w:t xml:space="preserve"> </w:t>
            </w:r>
            <w:r w:rsidRPr="00D53D1B">
              <w:rPr>
                <w:rFonts w:ascii="Arial" w:hAnsi="Arial" w:cs="Arial"/>
                <w:w w:val="105"/>
                <w:sz w:val="20"/>
                <w:szCs w:val="20"/>
                <w:lang w:val="es-MX"/>
              </w:rPr>
              <w:t>concurrentes.</w:t>
            </w:r>
          </w:p>
          <w:p w14:paraId="1FA55A73" w14:textId="77777777" w:rsidR="003737BE" w:rsidRDefault="003737BE" w:rsidP="003737BE">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258BB436" w14:textId="77777777" w:rsidR="003737BE" w:rsidRDefault="003737BE" w:rsidP="003737BE">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7B8D4B90" w14:textId="77777777" w:rsidR="003737BE" w:rsidRDefault="003737BE" w:rsidP="003737BE">
            <w:pPr>
              <w:pStyle w:val="Prrafodelista"/>
              <w:ind w:left="144" w:right="144"/>
              <w:jc w:val="both"/>
              <w:rPr>
                <w:rFonts w:ascii="Arial" w:hAnsi="Arial" w:cs="Arial"/>
                <w:b/>
                <w:sz w:val="20"/>
                <w:szCs w:val="20"/>
                <w:lang w:val="es-MX"/>
              </w:rPr>
            </w:pPr>
            <w:r>
              <w:rPr>
                <w:rFonts w:ascii="Arial" w:hAnsi="Arial" w:cs="Arial"/>
                <w:b/>
                <w:sz w:val="20"/>
                <w:szCs w:val="20"/>
                <w:lang w:val="es-MX"/>
              </w:rPr>
              <w:t xml:space="preserve">. </w:t>
            </w:r>
          </w:p>
          <w:p w14:paraId="2207E9F1" w14:textId="4DB35B39" w:rsidR="007B18DF" w:rsidRPr="003737BE" w:rsidRDefault="003737BE" w:rsidP="003737BE">
            <w:pPr>
              <w:pStyle w:val="Prrafodelista"/>
              <w:ind w:left="144" w:right="144"/>
              <w:jc w:val="both"/>
              <w:rPr>
                <w:rFonts w:ascii="Arial" w:hAnsi="Arial" w:cs="Arial"/>
                <w:b/>
                <w:sz w:val="20"/>
                <w:szCs w:val="20"/>
                <w:lang w:val="es-MX"/>
              </w:rPr>
            </w:pPr>
            <w:r>
              <w:rPr>
                <w:rFonts w:ascii="Arial" w:hAnsi="Arial" w:cs="Arial"/>
                <w:b/>
                <w:sz w:val="20"/>
                <w:szCs w:val="20"/>
                <w:lang w:val="es-MX"/>
              </w:rPr>
              <w:t>(…)</w:t>
            </w:r>
          </w:p>
        </w:tc>
      </w:tr>
      <w:tr w:rsidR="007B18DF" w:rsidRPr="00ED2D84" w14:paraId="098BC0A5" w14:textId="77777777" w:rsidTr="00C75296">
        <w:trPr>
          <w:trHeight w:val="283"/>
        </w:trPr>
        <w:tc>
          <w:tcPr>
            <w:tcW w:w="1877" w:type="dxa"/>
            <w:vAlign w:val="center"/>
          </w:tcPr>
          <w:p w14:paraId="57705BE4" w14:textId="77777777" w:rsidR="007B18DF" w:rsidRPr="00ED2D84" w:rsidRDefault="007B18DF" w:rsidP="00C75296">
            <w:pPr>
              <w:ind w:left="170" w:right="198"/>
              <w:jc w:val="center"/>
              <w:rPr>
                <w:rFonts w:ascii="Arial" w:hAnsi="Arial" w:cs="Arial"/>
                <w:b/>
                <w:sz w:val="20"/>
                <w:szCs w:val="20"/>
                <w:lang w:val="es-MX"/>
              </w:rPr>
            </w:pPr>
          </w:p>
          <w:p w14:paraId="0C8221E8" w14:textId="77777777" w:rsidR="007B18DF" w:rsidRPr="00ED2D84" w:rsidRDefault="007B18DF" w:rsidP="00C75296">
            <w:pPr>
              <w:ind w:left="170" w:right="198"/>
              <w:jc w:val="center"/>
              <w:rPr>
                <w:rFonts w:ascii="Arial" w:hAnsi="Arial" w:cs="Arial"/>
                <w:b/>
                <w:sz w:val="20"/>
                <w:szCs w:val="20"/>
                <w:lang w:val="es-MX"/>
              </w:rPr>
            </w:pPr>
          </w:p>
          <w:p w14:paraId="775B8038" w14:textId="77777777" w:rsidR="007B18DF" w:rsidRPr="00ED2D84" w:rsidRDefault="007B18DF" w:rsidP="00C75296">
            <w:pPr>
              <w:ind w:left="170" w:right="198"/>
              <w:jc w:val="center"/>
              <w:rPr>
                <w:rFonts w:ascii="Arial" w:hAnsi="Arial" w:cs="Arial"/>
                <w:b/>
                <w:sz w:val="20"/>
                <w:szCs w:val="20"/>
                <w:lang w:val="es-MX"/>
              </w:rPr>
            </w:pPr>
          </w:p>
          <w:p w14:paraId="0C52D45D" w14:textId="77777777" w:rsidR="007B18DF" w:rsidRPr="00ED2D84" w:rsidRDefault="007B18DF" w:rsidP="00C75296">
            <w:pPr>
              <w:ind w:left="170" w:right="198"/>
              <w:jc w:val="center"/>
              <w:rPr>
                <w:rFonts w:ascii="Arial" w:hAnsi="Arial" w:cs="Arial"/>
                <w:b/>
                <w:sz w:val="20"/>
                <w:szCs w:val="20"/>
                <w:lang w:val="es-MX"/>
              </w:rPr>
            </w:pPr>
          </w:p>
          <w:p w14:paraId="13550E99" w14:textId="77777777" w:rsidR="007B18DF" w:rsidRDefault="00AF100A" w:rsidP="00C75296">
            <w:pPr>
              <w:ind w:left="170" w:right="198"/>
              <w:jc w:val="center"/>
              <w:rPr>
                <w:rStyle w:val="Hipervnculo"/>
                <w:rFonts w:ascii="Arial" w:hAnsi="Arial" w:cs="Arial"/>
                <w:b/>
                <w:sz w:val="20"/>
                <w:szCs w:val="20"/>
                <w:lang w:val="es-MX"/>
              </w:rPr>
            </w:pPr>
            <w:hyperlink r:id="rId15" w:history="1">
              <w:r w:rsidR="007B18DF" w:rsidRPr="00ED2D84">
                <w:rPr>
                  <w:rStyle w:val="Hipervnculo"/>
                  <w:rFonts w:ascii="Arial" w:hAnsi="Arial" w:cs="Arial"/>
                  <w:b/>
                  <w:sz w:val="20"/>
                  <w:szCs w:val="20"/>
                  <w:lang w:val="es-MX"/>
                </w:rPr>
                <w:t>129/2015 y sus acumuladas 130/2015, 131/2015, 132/2015, 133/2015 Y 137/2015</w:t>
              </w:r>
            </w:hyperlink>
          </w:p>
          <w:p w14:paraId="2AD0F9F6" w14:textId="77777777" w:rsidR="007B18DF" w:rsidRDefault="007B18DF" w:rsidP="00C75296">
            <w:pPr>
              <w:ind w:left="170" w:right="198"/>
              <w:jc w:val="center"/>
              <w:rPr>
                <w:rStyle w:val="Hipervnculo"/>
              </w:rPr>
            </w:pPr>
          </w:p>
          <w:p w14:paraId="0DF02AE4" w14:textId="2E12185A" w:rsidR="007B18DF" w:rsidRPr="00ED2D84" w:rsidRDefault="007B18DF" w:rsidP="00C75296">
            <w:pPr>
              <w:ind w:left="170" w:right="198"/>
              <w:jc w:val="center"/>
              <w:rPr>
                <w:rFonts w:ascii="Arial" w:hAnsi="Arial" w:cs="Arial"/>
                <w:b/>
                <w:sz w:val="20"/>
                <w:szCs w:val="20"/>
                <w:lang w:val="es-MX"/>
              </w:rPr>
            </w:pPr>
            <w:r w:rsidRPr="00ED2D84">
              <w:rPr>
                <w:rFonts w:ascii="Arial" w:hAnsi="Arial" w:cs="Arial"/>
                <w:color w:val="000000"/>
                <w:sz w:val="20"/>
                <w:szCs w:val="20"/>
                <w:lang w:val="es-MX"/>
              </w:rPr>
              <w:t>Quintana Roo</w:t>
            </w:r>
          </w:p>
        </w:tc>
        <w:tc>
          <w:tcPr>
            <w:tcW w:w="12294" w:type="dxa"/>
          </w:tcPr>
          <w:p w14:paraId="715E80E8" w14:textId="77777777" w:rsidR="003737BE" w:rsidRDefault="003737BE" w:rsidP="003737BE">
            <w:pPr>
              <w:pStyle w:val="Prrafodelista"/>
              <w:ind w:left="252" w:right="198"/>
              <w:jc w:val="both"/>
              <w:rPr>
                <w:rFonts w:ascii="Arial" w:hAnsi="Arial" w:cs="Arial"/>
                <w:b/>
                <w:sz w:val="20"/>
                <w:szCs w:val="20"/>
              </w:rPr>
            </w:pPr>
          </w:p>
          <w:p w14:paraId="6AB2E248" w14:textId="74BF7E55" w:rsidR="007B18DF" w:rsidRPr="00ED2D84" w:rsidRDefault="007B18DF" w:rsidP="007B18DF">
            <w:pPr>
              <w:pStyle w:val="Prrafodelista"/>
              <w:numPr>
                <w:ilvl w:val="0"/>
                <w:numId w:val="9"/>
              </w:numPr>
              <w:ind w:left="252" w:right="198" w:hanging="142"/>
              <w:jc w:val="both"/>
              <w:rPr>
                <w:rFonts w:ascii="Arial" w:hAnsi="Arial" w:cs="Arial"/>
                <w:b/>
                <w:sz w:val="20"/>
                <w:szCs w:val="20"/>
              </w:rPr>
            </w:pPr>
            <w:r w:rsidRPr="00ED2D84">
              <w:rPr>
                <w:rFonts w:ascii="Arial" w:hAnsi="Arial" w:cs="Arial"/>
                <w:b/>
                <w:sz w:val="20"/>
                <w:szCs w:val="20"/>
              </w:rPr>
              <w:t>Fiscalización.</w:t>
            </w:r>
          </w:p>
          <w:p w14:paraId="6B9FD06D" w14:textId="77777777" w:rsidR="007B18DF" w:rsidRPr="00ED2D84" w:rsidRDefault="007B18DF" w:rsidP="007B18DF">
            <w:pPr>
              <w:pStyle w:val="Prrafodelista"/>
              <w:ind w:left="170" w:right="198"/>
              <w:jc w:val="both"/>
              <w:rPr>
                <w:rFonts w:ascii="Arial" w:hAnsi="Arial" w:cs="Arial"/>
                <w:color w:val="000000"/>
                <w:sz w:val="20"/>
                <w:szCs w:val="20"/>
                <w:lang w:val="es-MX"/>
              </w:rPr>
            </w:pPr>
            <w:r w:rsidRPr="00ED2D84">
              <w:rPr>
                <w:rFonts w:ascii="Arial" w:hAnsi="Arial" w:cs="Arial"/>
                <w:color w:val="000000"/>
                <w:sz w:val="20"/>
                <w:szCs w:val="20"/>
                <w:lang w:val="es-MX"/>
              </w:rPr>
              <w:lastRenderedPageBreak/>
              <w:t xml:space="preserve"> </w:t>
            </w:r>
          </w:p>
          <w:p w14:paraId="6D0BD17E" w14:textId="77777777" w:rsidR="007B18DF" w:rsidRPr="00ED2D84" w:rsidRDefault="007B18DF" w:rsidP="007B18DF">
            <w:pPr>
              <w:pStyle w:val="Prrafodelista"/>
              <w:ind w:left="170" w:right="198"/>
              <w:jc w:val="both"/>
              <w:rPr>
                <w:rFonts w:ascii="Arial" w:hAnsi="Arial" w:cs="Arial"/>
                <w:color w:val="000000"/>
                <w:sz w:val="20"/>
                <w:szCs w:val="20"/>
                <w:lang w:val="es-MX"/>
              </w:rPr>
            </w:pPr>
            <w:r w:rsidRPr="00ED2D84">
              <w:rPr>
                <w:rFonts w:ascii="Arial" w:hAnsi="Arial" w:cs="Arial"/>
                <w:color w:val="000000"/>
                <w:sz w:val="20"/>
                <w:szCs w:val="20"/>
                <w:lang w:val="es-MX"/>
              </w:rPr>
              <w:t>Los Partidos de la Revolución Democrática y Morena, impugnaron el párrafo segundo del artículo 57; el párrafo primero, el inciso A) de la fracción I, la fracción II, y los párrafos primero y tercero de la fracción III del artículo 85; el artículo 86; las fracciones II y III del artículo 87; los párrafos primero y segundo del artículo 88; el artículo 89; el párrafo primero del artículo 90; el párrafo segundo del artículo 91; el párrafo primero, el inciso A) de la fracción I, la fracción II, los incisos A), E) y G) de la fracción III, las fracciones IV y V, y los párrafos segundo, tercero y cuarto del artículo 94; y los artículos 95-bis, 95-ter, 95-quáter y 95-quintus de la Ley Electoral de Quintana Roo, por invasión de la esfera competencial, tanto del Congreso de la Unión como del Instituto Nacional Electoral en materia de fiscalización, en términos de lo dispuesto por el artículo 41, párrafo segundo, base V, apartado B, inciso a), numeral 6, de la Constitución Federal.</w:t>
            </w:r>
          </w:p>
          <w:p w14:paraId="7970BE30" w14:textId="77777777" w:rsidR="007B18DF" w:rsidRPr="00ED2D84" w:rsidRDefault="007B18DF" w:rsidP="007B18DF">
            <w:pPr>
              <w:pStyle w:val="Prrafodelista"/>
              <w:ind w:left="170" w:right="198"/>
              <w:jc w:val="both"/>
              <w:rPr>
                <w:rFonts w:ascii="Arial" w:hAnsi="Arial" w:cs="Arial"/>
                <w:color w:val="000000"/>
                <w:sz w:val="20"/>
                <w:szCs w:val="20"/>
                <w:lang w:val="es-MX"/>
              </w:rPr>
            </w:pPr>
            <w:r w:rsidRPr="00ED2D84">
              <w:rPr>
                <w:rFonts w:ascii="Arial" w:hAnsi="Arial" w:cs="Arial"/>
                <w:color w:val="000000"/>
                <w:sz w:val="20"/>
                <w:szCs w:val="20"/>
                <w:lang w:val="es-MX"/>
              </w:rPr>
              <w:t xml:space="preserve">Respecto de lo anterior, el Partido de la Revolución Democrática hizo valer los siguientes argumentos: </w:t>
            </w:r>
          </w:p>
          <w:p w14:paraId="753D3B88" w14:textId="77777777" w:rsidR="007B18DF" w:rsidRPr="00ED2D84" w:rsidRDefault="007B18DF" w:rsidP="007B18DF">
            <w:pPr>
              <w:pStyle w:val="Prrafodelista"/>
              <w:ind w:left="170" w:right="198"/>
              <w:jc w:val="both"/>
              <w:rPr>
                <w:rFonts w:ascii="Arial" w:hAnsi="Arial" w:cs="Arial"/>
                <w:color w:val="000000"/>
                <w:sz w:val="20"/>
                <w:szCs w:val="20"/>
                <w:lang w:val="es-MX"/>
              </w:rPr>
            </w:pPr>
          </w:p>
          <w:p w14:paraId="4921D99A" w14:textId="77777777" w:rsidR="007B18DF" w:rsidRPr="00ED2D84" w:rsidRDefault="007B18DF" w:rsidP="007B18DF">
            <w:pPr>
              <w:pStyle w:val="Prrafodelista"/>
              <w:widowControl/>
              <w:numPr>
                <w:ilvl w:val="0"/>
                <w:numId w:val="6"/>
              </w:numPr>
              <w:autoSpaceDE/>
              <w:autoSpaceDN/>
              <w:ind w:left="170" w:right="198"/>
              <w:contextualSpacing/>
              <w:jc w:val="both"/>
              <w:rPr>
                <w:rFonts w:ascii="Arial" w:hAnsi="Arial" w:cs="Arial"/>
                <w:b/>
                <w:color w:val="000000"/>
                <w:sz w:val="20"/>
                <w:szCs w:val="20"/>
                <w:lang w:val="es-MX"/>
              </w:rPr>
            </w:pPr>
            <w:r w:rsidRPr="00ED2D84">
              <w:rPr>
                <w:rFonts w:ascii="Arial" w:hAnsi="Arial" w:cs="Arial"/>
                <w:b/>
                <w:color w:val="000000"/>
                <w:sz w:val="20"/>
                <w:szCs w:val="20"/>
                <w:lang w:val="es-MX"/>
              </w:rPr>
              <w:t>Respecto del párrafo segundo del artículo 57, que las entidades federativas no tienen competencia para legislar ni fiscalizar a las agrupaciones políticas nacionales; y</w:t>
            </w:r>
          </w:p>
          <w:p w14:paraId="32A5B2E7" w14:textId="77777777" w:rsidR="007B18DF" w:rsidRPr="00ED2D84" w:rsidRDefault="007B18DF" w:rsidP="007B18DF">
            <w:pPr>
              <w:pStyle w:val="Prrafodelista"/>
              <w:widowControl/>
              <w:autoSpaceDE/>
              <w:autoSpaceDN/>
              <w:ind w:left="170" w:right="198"/>
              <w:contextualSpacing/>
              <w:jc w:val="both"/>
              <w:rPr>
                <w:rFonts w:ascii="Arial" w:hAnsi="Arial" w:cs="Arial"/>
                <w:b/>
                <w:color w:val="000000"/>
                <w:sz w:val="20"/>
                <w:szCs w:val="20"/>
                <w:lang w:val="es-MX"/>
              </w:rPr>
            </w:pPr>
          </w:p>
          <w:p w14:paraId="19CD061C" w14:textId="77777777" w:rsidR="007B18DF" w:rsidRPr="00ED2D84" w:rsidRDefault="007B18DF" w:rsidP="007B18DF">
            <w:pPr>
              <w:pStyle w:val="Prrafodelista"/>
              <w:widowControl/>
              <w:numPr>
                <w:ilvl w:val="0"/>
                <w:numId w:val="6"/>
              </w:numPr>
              <w:autoSpaceDE/>
              <w:autoSpaceDN/>
              <w:ind w:left="170" w:right="198"/>
              <w:contextualSpacing/>
              <w:jc w:val="both"/>
              <w:rPr>
                <w:rFonts w:ascii="Arial" w:hAnsi="Arial" w:cs="Arial"/>
                <w:b/>
                <w:color w:val="000000"/>
                <w:sz w:val="20"/>
                <w:szCs w:val="20"/>
                <w:lang w:val="es-MX"/>
              </w:rPr>
            </w:pPr>
            <w:r w:rsidRPr="00ED2D84">
              <w:rPr>
                <w:rFonts w:ascii="Arial" w:hAnsi="Arial" w:cs="Arial"/>
                <w:b/>
                <w:color w:val="000000"/>
                <w:sz w:val="20"/>
                <w:szCs w:val="20"/>
                <w:lang w:val="es-MX"/>
              </w:rPr>
              <w:t xml:space="preserve">En relación con los demás artículos que establecen reglas de fiscalización que invaden la esfera de competencia del Congreso de la Unión y del Instituto Nacional Electoral en esta materia; </w:t>
            </w:r>
          </w:p>
          <w:p w14:paraId="697030DE" w14:textId="77777777" w:rsidR="007B18DF" w:rsidRPr="00ED2D84" w:rsidRDefault="007B18DF" w:rsidP="007B18DF">
            <w:pPr>
              <w:pStyle w:val="Prrafodelista"/>
              <w:widowControl/>
              <w:autoSpaceDE/>
              <w:autoSpaceDN/>
              <w:ind w:left="170" w:right="198"/>
              <w:contextualSpacing/>
              <w:jc w:val="both"/>
              <w:rPr>
                <w:rFonts w:ascii="Arial" w:hAnsi="Arial" w:cs="Arial"/>
                <w:b/>
                <w:color w:val="000000"/>
                <w:sz w:val="20"/>
                <w:szCs w:val="20"/>
                <w:lang w:val="es-MX"/>
              </w:rPr>
            </w:pPr>
          </w:p>
          <w:p w14:paraId="100FA68B" w14:textId="77777777" w:rsidR="007B18DF" w:rsidRPr="00ED2D84" w:rsidRDefault="007B18DF" w:rsidP="007B18DF">
            <w:pPr>
              <w:ind w:left="170" w:right="198"/>
              <w:jc w:val="both"/>
              <w:rPr>
                <w:rFonts w:ascii="Arial" w:hAnsi="Arial" w:cs="Arial"/>
                <w:color w:val="000000"/>
                <w:sz w:val="20"/>
                <w:szCs w:val="20"/>
                <w:lang w:val="es-MX"/>
              </w:rPr>
            </w:pPr>
            <w:r w:rsidRPr="00ED2D84">
              <w:rPr>
                <w:rFonts w:ascii="Arial" w:hAnsi="Arial" w:cs="Arial"/>
                <w:color w:val="000000"/>
                <w:sz w:val="20"/>
                <w:szCs w:val="20"/>
                <w:lang w:val="es-MX"/>
              </w:rPr>
              <w:t>Por su parte, el Partido MORENA sólo plantea la invasión de la esfera competencial del Congreso de la Unión y del Instituto Nacional Electoral, respecto de la fracción V, y los párrafos segundo y tercero del artículo 94.</w:t>
            </w:r>
          </w:p>
          <w:p w14:paraId="4374D992" w14:textId="77777777" w:rsidR="007B18DF" w:rsidRPr="00ED2D84" w:rsidRDefault="007B18DF" w:rsidP="007B18DF">
            <w:pPr>
              <w:ind w:left="170" w:right="198"/>
              <w:jc w:val="both"/>
              <w:rPr>
                <w:rFonts w:ascii="Arial" w:hAnsi="Arial" w:cs="Arial"/>
                <w:b/>
                <w:color w:val="000000"/>
                <w:sz w:val="20"/>
                <w:szCs w:val="20"/>
                <w:lang w:val="es-MX"/>
              </w:rPr>
            </w:pPr>
          </w:p>
          <w:p w14:paraId="74CB7CEB" w14:textId="77777777" w:rsidR="007B18DF" w:rsidRPr="00ED2D84" w:rsidRDefault="007B18DF" w:rsidP="007B18DF">
            <w:pPr>
              <w:pStyle w:val="Prrafodelista"/>
              <w:ind w:left="170" w:right="198"/>
              <w:jc w:val="both"/>
              <w:rPr>
                <w:rFonts w:ascii="Arial" w:hAnsi="Arial" w:cs="Arial"/>
                <w:b/>
                <w:color w:val="000000"/>
                <w:sz w:val="20"/>
                <w:szCs w:val="20"/>
                <w:lang w:val="es-MX"/>
              </w:rPr>
            </w:pPr>
            <w:r w:rsidRPr="00ED2D84">
              <w:rPr>
                <w:rFonts w:ascii="Arial" w:hAnsi="Arial" w:cs="Arial"/>
                <w:b/>
                <w:color w:val="000000"/>
                <w:sz w:val="20"/>
                <w:szCs w:val="20"/>
                <w:lang w:val="es-MX"/>
              </w:rPr>
              <w:t>Propuesta</w:t>
            </w:r>
          </w:p>
          <w:p w14:paraId="3D843D21" w14:textId="77777777" w:rsidR="007B18DF" w:rsidRPr="00ED2D84" w:rsidRDefault="007B18DF" w:rsidP="007B18DF">
            <w:pPr>
              <w:pStyle w:val="Prrafodelista"/>
              <w:ind w:left="170" w:right="198"/>
              <w:jc w:val="both"/>
              <w:rPr>
                <w:rFonts w:ascii="Arial" w:hAnsi="Arial" w:cs="Arial"/>
                <w:b/>
                <w:color w:val="000000"/>
                <w:sz w:val="20"/>
                <w:szCs w:val="20"/>
                <w:lang w:val="es-MX"/>
              </w:rPr>
            </w:pPr>
          </w:p>
          <w:p w14:paraId="1529FB46" w14:textId="77777777" w:rsidR="007B18DF" w:rsidRPr="00ED2D84" w:rsidRDefault="007B18DF" w:rsidP="007B18DF">
            <w:pPr>
              <w:pStyle w:val="Prrafodelista"/>
              <w:ind w:left="170" w:right="198"/>
              <w:jc w:val="both"/>
              <w:rPr>
                <w:rFonts w:ascii="Arial" w:hAnsi="Arial" w:cs="Arial"/>
                <w:color w:val="000000"/>
                <w:sz w:val="20"/>
                <w:szCs w:val="20"/>
                <w:lang w:val="es-MX"/>
              </w:rPr>
            </w:pPr>
            <w:r w:rsidRPr="00ED2D84">
              <w:rPr>
                <w:rFonts w:ascii="Arial" w:hAnsi="Arial" w:cs="Arial"/>
                <w:color w:val="000000"/>
                <w:sz w:val="20"/>
                <w:szCs w:val="20"/>
                <w:lang w:val="es-MX"/>
              </w:rPr>
              <w:t xml:space="preserve">El </w:t>
            </w:r>
            <w:proofErr w:type="gramStart"/>
            <w:r w:rsidRPr="00ED2D84">
              <w:rPr>
                <w:rFonts w:ascii="Arial" w:hAnsi="Arial" w:cs="Arial"/>
                <w:color w:val="000000"/>
                <w:sz w:val="20"/>
                <w:szCs w:val="20"/>
                <w:lang w:val="es-MX"/>
              </w:rPr>
              <w:t>Ministro</w:t>
            </w:r>
            <w:proofErr w:type="gramEnd"/>
            <w:r w:rsidRPr="00ED2D84">
              <w:rPr>
                <w:rFonts w:ascii="Arial" w:hAnsi="Arial" w:cs="Arial"/>
                <w:color w:val="000000"/>
                <w:sz w:val="20"/>
                <w:szCs w:val="20"/>
                <w:lang w:val="es-MX"/>
              </w:rPr>
              <w:t xml:space="preserve"> ponente propuso la invalidez de la porción normativa </w:t>
            </w:r>
            <w:r w:rsidRPr="00ED2D84">
              <w:rPr>
                <w:rFonts w:ascii="Arial" w:hAnsi="Arial" w:cs="Arial"/>
                <w:i/>
                <w:color w:val="000000"/>
                <w:sz w:val="20"/>
                <w:szCs w:val="20"/>
                <w:lang w:val="es-MX"/>
              </w:rPr>
              <w:t>“nacionales”</w:t>
            </w:r>
            <w:r w:rsidRPr="00ED2D84">
              <w:rPr>
                <w:rFonts w:ascii="Arial" w:hAnsi="Arial" w:cs="Arial"/>
                <w:color w:val="000000"/>
                <w:sz w:val="20"/>
                <w:szCs w:val="20"/>
                <w:lang w:val="es-MX"/>
              </w:rPr>
              <w:t xml:space="preserve"> del párrafo segundo del artículo 57.</w:t>
            </w:r>
          </w:p>
          <w:p w14:paraId="06996F92" w14:textId="77777777" w:rsidR="007B18DF" w:rsidRPr="00ED2D84" w:rsidRDefault="007B18DF" w:rsidP="007B18DF">
            <w:pPr>
              <w:pStyle w:val="Prrafodelista"/>
              <w:ind w:left="170" w:right="198"/>
              <w:jc w:val="both"/>
              <w:rPr>
                <w:rFonts w:ascii="Arial" w:hAnsi="Arial" w:cs="Arial"/>
                <w:color w:val="000000"/>
                <w:sz w:val="20"/>
                <w:szCs w:val="20"/>
                <w:lang w:val="es-MX"/>
              </w:rPr>
            </w:pPr>
            <w:r w:rsidRPr="00ED2D84">
              <w:rPr>
                <w:rFonts w:ascii="Arial" w:hAnsi="Arial" w:cs="Arial"/>
                <w:color w:val="000000"/>
                <w:sz w:val="20"/>
                <w:szCs w:val="20"/>
                <w:lang w:val="es-MX"/>
              </w:rPr>
              <w:t>Lo anterior, porque las leyes generales, además, de las facultades de fiscalización de partidos políticos y candidatos que la Constitución le atribuye, reserva al Instituto Nacional Electoral la fiscalización de las agrupaciones políticas nacionales.</w:t>
            </w:r>
          </w:p>
          <w:p w14:paraId="4759DDED" w14:textId="77777777" w:rsidR="007B18DF" w:rsidRPr="00ED2D84" w:rsidRDefault="007B18DF" w:rsidP="007B18DF">
            <w:pPr>
              <w:pStyle w:val="Prrafodelista"/>
              <w:ind w:left="170" w:right="198"/>
              <w:jc w:val="both"/>
              <w:rPr>
                <w:rFonts w:ascii="Arial" w:hAnsi="Arial" w:cs="Arial"/>
                <w:color w:val="000000"/>
                <w:sz w:val="20"/>
                <w:szCs w:val="20"/>
                <w:lang w:val="es-MX"/>
              </w:rPr>
            </w:pPr>
          </w:p>
          <w:p w14:paraId="5DA3952D" w14:textId="77777777" w:rsidR="007B18DF" w:rsidRPr="00ED2D84" w:rsidRDefault="007B18DF" w:rsidP="007B18DF">
            <w:pPr>
              <w:pStyle w:val="Prrafodelista"/>
              <w:ind w:left="170" w:right="198"/>
              <w:jc w:val="both"/>
              <w:rPr>
                <w:rFonts w:ascii="Arial" w:hAnsi="Arial" w:cs="Arial"/>
                <w:color w:val="000000"/>
                <w:sz w:val="20"/>
                <w:szCs w:val="20"/>
                <w:lang w:val="es-MX"/>
              </w:rPr>
            </w:pPr>
            <w:r w:rsidRPr="00ED2D84">
              <w:rPr>
                <w:rFonts w:ascii="Arial" w:hAnsi="Arial" w:cs="Arial"/>
                <w:color w:val="000000"/>
                <w:sz w:val="20"/>
                <w:szCs w:val="20"/>
                <w:lang w:val="es-MX"/>
              </w:rPr>
              <w:t>Por otro lado, en relación con el segundo argumento planteado por el Partido de la Revolución Democrática, en el sentido de que los demás preceptos que impugna establecen reglas de fiscalización que invaden la esfera de competencia del Congreso de la Unión y del Instituto Nacional Electoral en esta materia, mismo argumento que hace valer el Partido MORENA, pero sólo respecto de la fracción V, y los párrafos segundo y tercero del artículo 94 de la Ley Electoral local; advirtió que no todos ellos se refieren a fiscalización y, por tanto, no adolecen del vicio que les atribuyen los promoventes.</w:t>
            </w:r>
          </w:p>
          <w:p w14:paraId="679ED582" w14:textId="77777777" w:rsidR="007B18DF" w:rsidRPr="00ED2D84" w:rsidRDefault="007B18DF" w:rsidP="007B18DF">
            <w:pPr>
              <w:pStyle w:val="Prrafodelista"/>
              <w:ind w:left="170" w:right="198"/>
              <w:jc w:val="both"/>
              <w:rPr>
                <w:rFonts w:ascii="Arial" w:hAnsi="Arial" w:cs="Arial"/>
                <w:color w:val="000000"/>
                <w:sz w:val="20"/>
                <w:szCs w:val="20"/>
                <w:lang w:val="es-MX"/>
              </w:rPr>
            </w:pPr>
          </w:p>
          <w:p w14:paraId="5371C739" w14:textId="77777777" w:rsidR="007B18DF" w:rsidRPr="00ED2D84" w:rsidRDefault="007B18DF" w:rsidP="007B18DF">
            <w:pPr>
              <w:pStyle w:val="Prrafodelista"/>
              <w:ind w:left="170" w:right="198"/>
              <w:jc w:val="both"/>
              <w:rPr>
                <w:rFonts w:ascii="Arial" w:hAnsi="Arial" w:cs="Arial"/>
                <w:color w:val="000000"/>
                <w:sz w:val="20"/>
                <w:szCs w:val="20"/>
                <w:lang w:val="es-MX"/>
              </w:rPr>
            </w:pPr>
            <w:r w:rsidRPr="00ED2D84">
              <w:rPr>
                <w:rFonts w:ascii="Arial" w:hAnsi="Arial" w:cs="Arial"/>
                <w:color w:val="000000"/>
                <w:sz w:val="20"/>
                <w:szCs w:val="20"/>
                <w:lang w:val="es-MX"/>
              </w:rPr>
              <w:t>En efecto, el párrafo primero, inciso a) de la fracción I, la fracción II, en los párrafos primero y tercero de la fracción III del artículo 85, el artículo 86, las fracciones II y III del artículo 87; los párrafos primero y segundo del artículo 88; la primera parte del artículo 89; y el párrafo primero del artículo 90, todos ellos de la Ley Electoral de Quintana Roo, regulan aspectos relacionados con el financiamiento de partidos políticos.</w:t>
            </w:r>
          </w:p>
          <w:p w14:paraId="4EF4BE3B" w14:textId="77777777" w:rsidR="007B18DF" w:rsidRPr="00ED2D84" w:rsidRDefault="007B18DF" w:rsidP="007B18DF">
            <w:pPr>
              <w:pStyle w:val="Prrafodelista"/>
              <w:ind w:left="170" w:right="198"/>
              <w:jc w:val="both"/>
              <w:rPr>
                <w:rFonts w:ascii="Arial" w:hAnsi="Arial" w:cs="Arial"/>
                <w:color w:val="000000"/>
                <w:sz w:val="20"/>
                <w:szCs w:val="20"/>
                <w:lang w:val="es-MX"/>
              </w:rPr>
            </w:pPr>
          </w:p>
          <w:p w14:paraId="1E32C630" w14:textId="77777777" w:rsidR="007B18DF" w:rsidRPr="00ED2D84" w:rsidRDefault="007B18DF" w:rsidP="007B18DF">
            <w:pPr>
              <w:pStyle w:val="Prrafodelista"/>
              <w:ind w:left="170" w:right="198"/>
              <w:jc w:val="both"/>
              <w:rPr>
                <w:rFonts w:ascii="Arial" w:hAnsi="Arial" w:cs="Arial"/>
                <w:color w:val="000000"/>
                <w:sz w:val="20"/>
                <w:szCs w:val="20"/>
                <w:lang w:val="es-MX"/>
              </w:rPr>
            </w:pPr>
            <w:r w:rsidRPr="00ED2D84">
              <w:rPr>
                <w:rFonts w:ascii="Arial" w:hAnsi="Arial" w:cs="Arial"/>
                <w:color w:val="000000"/>
                <w:sz w:val="20"/>
                <w:szCs w:val="20"/>
                <w:lang w:val="es-MX"/>
              </w:rPr>
              <w:lastRenderedPageBreak/>
              <w:t>En este sentido, la segunda parte del artículo 89, el párrafo segundo del artículo 91; el párrafo primero, inciso A) de la fracción I, la fracción II, los incisos A), E) y G) de la fracción III, las fracciones IV y V, y los párrafos segundo, tercero y cuarto, del artículo 94; y los artículos 95-bis, 95-ter, 95-quáter y 95-quintus, todos de la Ley Electoral de Quintana Roo, regulan aspectos relacionados con la fiscalización.</w:t>
            </w:r>
          </w:p>
          <w:p w14:paraId="1CE9D05E" w14:textId="77777777" w:rsidR="007B18DF" w:rsidRPr="00ED2D84" w:rsidRDefault="007B18DF" w:rsidP="007B18DF">
            <w:pPr>
              <w:pStyle w:val="Prrafodelista"/>
              <w:ind w:left="170" w:right="198"/>
              <w:jc w:val="both"/>
              <w:rPr>
                <w:rFonts w:ascii="Arial" w:hAnsi="Arial" w:cs="Arial"/>
                <w:color w:val="000000"/>
                <w:sz w:val="20"/>
                <w:szCs w:val="20"/>
                <w:lang w:val="es-MX"/>
              </w:rPr>
            </w:pPr>
            <w:r w:rsidRPr="00ED2D84">
              <w:rPr>
                <w:rFonts w:ascii="Arial" w:hAnsi="Arial" w:cs="Arial"/>
                <w:color w:val="000000"/>
                <w:sz w:val="20"/>
                <w:szCs w:val="20"/>
                <w:lang w:val="es-MX"/>
              </w:rPr>
              <w:t>Al respecto, sostuvo, que si bien las Legislaturas estatales carecen de atribuciones para regular la fiscalización de los recursos de los partidos políticos y las campañas de los candidatos, en términos del artículo 41, párrafo segundo, base V, apartado B, inciso a), numeral 6, de la Constitución Federal; esta disposición se complementa en el mismo texto constitucional con la diversa regla que prevé que el Instituto Nacional Electoral puede delegar su atribución fiscalizadora en los organismos públicos locales electorales, lo que abre la posibilidad de que los Congresos locales regulen el procedimiento de fiscalización, siempre que la normatividad estatal sólo sea vinculante dentro del régimen jurídico interno de la entidad federativa para las autoridades locales y no imponga ningún tipo de norma o condicionante a las facultades del Instituto Nacional Electoral.</w:t>
            </w:r>
          </w:p>
          <w:p w14:paraId="50EB7113" w14:textId="77777777" w:rsidR="007B18DF" w:rsidRPr="00ED2D84" w:rsidRDefault="007B18DF" w:rsidP="007B18DF">
            <w:pPr>
              <w:pStyle w:val="Prrafodelista"/>
              <w:ind w:left="170" w:right="198"/>
              <w:jc w:val="both"/>
              <w:rPr>
                <w:rFonts w:ascii="Arial" w:hAnsi="Arial" w:cs="Arial"/>
                <w:color w:val="000000"/>
                <w:sz w:val="20"/>
                <w:szCs w:val="20"/>
                <w:lang w:val="es-MX"/>
              </w:rPr>
            </w:pPr>
          </w:p>
          <w:p w14:paraId="735DD851" w14:textId="77777777" w:rsidR="007B18DF" w:rsidRPr="00ED2D84" w:rsidRDefault="007B18DF" w:rsidP="007B18DF">
            <w:pPr>
              <w:pStyle w:val="Prrafodelista"/>
              <w:ind w:left="170" w:right="198"/>
              <w:jc w:val="both"/>
              <w:rPr>
                <w:rFonts w:ascii="Arial" w:hAnsi="Arial" w:cs="Arial"/>
                <w:color w:val="000000"/>
                <w:sz w:val="20"/>
                <w:szCs w:val="20"/>
                <w:lang w:val="es-MX"/>
              </w:rPr>
            </w:pPr>
            <w:r w:rsidRPr="00ED2D84">
              <w:rPr>
                <w:rFonts w:ascii="Arial" w:hAnsi="Arial" w:cs="Arial"/>
                <w:color w:val="000000"/>
                <w:sz w:val="20"/>
                <w:szCs w:val="20"/>
                <w:lang w:val="es-MX"/>
              </w:rPr>
              <w:t xml:space="preserve">Agregó que dicha normatividad debe ajustarse al contenido de las leyes generales; sin que esto implique que deba legislarse en idénticos términos, pues se debe atender a las circunstancias particulares de cada entidad y, en todo caso, verificar que se respeten las reglas básicas que prevé la legislación general en esta materia, esto es, que se prevean obligaciones, sujetos obligados, responsabilidades, procedimientos, plazos y autoridades competentes, entre otros.  </w:t>
            </w:r>
          </w:p>
          <w:p w14:paraId="72408346" w14:textId="77777777" w:rsidR="007B18DF" w:rsidRPr="00ED2D84" w:rsidRDefault="007B18DF" w:rsidP="007B18DF">
            <w:pPr>
              <w:pStyle w:val="Default"/>
              <w:ind w:left="170" w:right="198"/>
              <w:jc w:val="both"/>
              <w:rPr>
                <w:rFonts w:ascii="Arial" w:hAnsi="Arial" w:cs="Arial"/>
                <w:sz w:val="20"/>
                <w:szCs w:val="20"/>
              </w:rPr>
            </w:pPr>
            <w:r w:rsidRPr="00ED2D84">
              <w:rPr>
                <w:rFonts w:ascii="Arial" w:hAnsi="Arial" w:cs="Arial"/>
                <w:sz w:val="20"/>
                <w:szCs w:val="20"/>
              </w:rPr>
              <w:t xml:space="preserve">Por lo tanto, se declaró procedente y parcialmente fundada la acción de inconstitucionalidad 129/2015; son parcialmente procedentes y parcialmente fundadas las acciones de inconstitucionalidad 130/2015, 132/2015 y 133/2015; y son procedentes pero infundadas las acciones de inconstitucionalidad 131/2015 y 137/2015. </w:t>
            </w:r>
          </w:p>
          <w:p w14:paraId="2FF90B58" w14:textId="77777777" w:rsidR="007B18DF" w:rsidRDefault="007B18DF" w:rsidP="007B18DF">
            <w:pPr>
              <w:pStyle w:val="corte4fondo"/>
              <w:spacing w:line="240" w:lineRule="auto"/>
              <w:ind w:left="170" w:right="198" w:firstLine="0"/>
              <w:rPr>
                <w:rFonts w:cs="Arial"/>
                <w:b/>
                <w:sz w:val="20"/>
              </w:rPr>
            </w:pPr>
          </w:p>
          <w:p w14:paraId="0034ECA4"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Resolutivos.</w:t>
            </w:r>
          </w:p>
          <w:p w14:paraId="0966EF80"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4CFEC383"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649F61C7"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5177011C"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5D7265A3" w14:textId="77777777" w:rsidR="007B18DF" w:rsidRDefault="007B18DF" w:rsidP="007B18DF">
            <w:pPr>
              <w:ind w:left="170" w:right="198"/>
              <w:jc w:val="both"/>
              <w:rPr>
                <w:rFonts w:ascii="Arial" w:hAnsi="Arial" w:cs="Arial"/>
                <w:b/>
                <w:sz w:val="20"/>
                <w:szCs w:val="20"/>
              </w:rPr>
            </w:pPr>
          </w:p>
          <w:p w14:paraId="08B20F96" w14:textId="77777777" w:rsidR="007B18DF" w:rsidRPr="00ED2D84" w:rsidRDefault="007B18DF" w:rsidP="007B18DF">
            <w:pPr>
              <w:ind w:left="170" w:right="198"/>
              <w:jc w:val="both"/>
              <w:rPr>
                <w:rFonts w:ascii="Arial" w:hAnsi="Arial" w:cs="Arial"/>
                <w:sz w:val="20"/>
                <w:szCs w:val="20"/>
              </w:rPr>
            </w:pPr>
            <w:r w:rsidRPr="00ED2D84">
              <w:rPr>
                <w:rFonts w:ascii="Arial" w:hAnsi="Arial" w:cs="Arial"/>
                <w:b/>
                <w:sz w:val="20"/>
                <w:szCs w:val="20"/>
              </w:rPr>
              <w:t>CUARTO.</w:t>
            </w:r>
            <w:r w:rsidRPr="00ED2D84">
              <w:rPr>
                <w:rFonts w:ascii="Arial" w:hAnsi="Arial" w:cs="Arial"/>
                <w:sz w:val="20"/>
                <w:szCs w:val="20"/>
              </w:rPr>
              <w:t xml:space="preserve"> Se reconoce la validez de los artículos 19, párrafos tercero y octavo, 20, párrafo segundo, 80-quater, párrafo cuarto, parte segunda, 85, párrafo primero, fracciones I, inciso A), II, párrafo segundo y III, párrafos primero y tercero, 86, 87, fracciones II y III, 88, párrafos primero y segundo, 89, 90, párrafo primero, 94, párrafos primero, fracciones I, inciso A), II, III, incisos A), E) y G), IV y V, y segundo, 95-bis, 95-ter, 95-quater y 95-quintus, 140, fracción IV, 149, 151, párrafo primero, 152, 159, párrafo tercero, 161, fracciones I, II, III y IV, 169, párrafo primero, 191, párrafo segundo, 193, fracciones III, V, IX, X y XI, 201, párrafos segundo y tercero, 272, párrafo quinto, 303, párrafo sexto, 321, 325, párrafo tercero, inciso b), 327 y 328 de la Ley Electoral del Estado de Quintana Roo, así como respecto del artículo 57 de la Ley Estatal de Medios de Impugnación en Materia Electoral.</w:t>
            </w:r>
          </w:p>
          <w:p w14:paraId="320C9A27" w14:textId="77777777" w:rsidR="007B18DF" w:rsidRPr="00ED2D84" w:rsidRDefault="007B18DF" w:rsidP="007B18DF">
            <w:pPr>
              <w:ind w:left="170" w:right="198" w:firstLine="708"/>
              <w:jc w:val="both"/>
              <w:rPr>
                <w:rFonts w:ascii="Arial" w:hAnsi="Arial" w:cs="Arial"/>
                <w:sz w:val="20"/>
                <w:szCs w:val="20"/>
              </w:rPr>
            </w:pPr>
          </w:p>
          <w:p w14:paraId="28828789" w14:textId="77777777" w:rsidR="007B18DF" w:rsidRPr="00ED2D84" w:rsidRDefault="007B18DF" w:rsidP="007B18DF">
            <w:pPr>
              <w:ind w:left="170" w:right="198"/>
              <w:jc w:val="both"/>
              <w:rPr>
                <w:rFonts w:ascii="Arial" w:hAnsi="Arial" w:cs="Arial"/>
                <w:sz w:val="20"/>
                <w:szCs w:val="20"/>
              </w:rPr>
            </w:pPr>
            <w:r w:rsidRPr="00ED2D84">
              <w:rPr>
                <w:rFonts w:ascii="Arial" w:hAnsi="Arial" w:cs="Arial"/>
                <w:b/>
                <w:sz w:val="20"/>
                <w:szCs w:val="20"/>
              </w:rPr>
              <w:t>QUINTO.</w:t>
            </w:r>
            <w:r w:rsidRPr="00ED2D84">
              <w:rPr>
                <w:rFonts w:ascii="Arial" w:hAnsi="Arial" w:cs="Arial"/>
                <w:sz w:val="20"/>
                <w:szCs w:val="20"/>
              </w:rPr>
              <w:t xml:space="preserve"> Se declara la invalidez de los artículos 19, párrafos cuarto, quinto y sexto, 28, párrafo segundo, 57, párrafo segundo, en la porción normativa “nacionales y”, 73, fracción I, 74, párrafo sexto, 91, párrafo segundo, en la porción normativa “y serán responsables </w:t>
            </w:r>
            <w:r w:rsidRPr="00ED2D84">
              <w:rPr>
                <w:rFonts w:ascii="Arial" w:hAnsi="Arial" w:cs="Arial"/>
                <w:sz w:val="20"/>
                <w:szCs w:val="20"/>
              </w:rPr>
              <w:lastRenderedPageBreak/>
              <w:t xml:space="preserve">solidarios del partido político o partidos políticos, respecto al uso y destino del financiamiento público y de la presentación de los informes correspondientes. Su responsabilidad cesará hasta el total cumplimiento de esta obligación”, 94, párrafos tercero y cuarto, en la porción normativa “, y serán aprobados por el Consejo General”, 103, párrafos primero, segundo y cuarto, 104, 106, fracción XI, 107, párrafos primero, tercero y cuarto, 109, párrafo primero, fracciones I, incisos b) y c), y II, párrafos cuarto y quinto, 110, 111, párrafo segundo, 134, fracción IV, 172, párrafo cuarto, 177, párrafo segundo, 178, 181, 182, 183, 185, párrafo primero, fracciones I y II, párrafo segundo, 186, párrafos primero y cuarto, 191, párrafo primero, 193, fracción IV, 201, párrafo primero, 324, en la porción normativa “Se entenderá por calumnia la imputación de hechos o delitos falsos con impacto en un proceso electoral.”, y 325, párrafo segundo; así como, por extensión, la de los artículos 69, 77, fracción XVIII, 103, párrafo tercero, 105, 106, párrafo primero, fracciones I a X, 107, párrafo segundo, 108, 109, fracciones I, párrafo primero, y II, párrafos primero, segundo y tercero, 111, párrafo primero, 131, fracción III, en las porciones normativas “cualquier alusión a la vida privada, ofensas, difamación o”, “que denigre a otros aspirantes, precandidatos, partidos políticos, instituciones públicas o privadas” e “y terceros”, 144, fracción X, en las porciones normativas “cualquier alusión a la vida privada, ofensas, difamación o” y “que denigre a otros candidatos, partidos políticos, instituciones públicas o privadas, y terceros”, 169, párrafos tercero y cuarto, 177, párrafos tercero a décimo segundo, 184, 189, párrafo segundo, 322, párrafo segundo y 323 de la Ley Electoral del Estado de Quintana Roo. </w:t>
            </w:r>
          </w:p>
          <w:p w14:paraId="3296638B"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4E759DFE"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113AF297"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1D79521D" w14:textId="77777777" w:rsidR="007B18DF" w:rsidRDefault="007B18DF" w:rsidP="007B18DF">
            <w:pPr>
              <w:pStyle w:val="corte4fondo"/>
              <w:spacing w:line="240" w:lineRule="auto"/>
              <w:ind w:left="170" w:right="198" w:firstLine="0"/>
              <w:rPr>
                <w:rFonts w:cs="Arial"/>
                <w:b/>
                <w:sz w:val="20"/>
              </w:rPr>
            </w:pPr>
            <w:r w:rsidRPr="00ED2D84">
              <w:rPr>
                <w:rFonts w:cs="Arial"/>
                <w:b/>
                <w:sz w:val="20"/>
              </w:rPr>
              <w:t>(…)</w:t>
            </w:r>
          </w:p>
          <w:p w14:paraId="524FF268" w14:textId="77777777" w:rsidR="007B18DF" w:rsidRDefault="007B18DF" w:rsidP="007B18DF">
            <w:pPr>
              <w:pStyle w:val="corte4fondo"/>
              <w:spacing w:line="240" w:lineRule="auto"/>
              <w:ind w:left="170" w:right="198" w:firstLine="0"/>
              <w:rPr>
                <w:rFonts w:cs="Arial"/>
                <w:b/>
                <w:sz w:val="20"/>
              </w:rPr>
            </w:pPr>
          </w:p>
          <w:p w14:paraId="601371BF"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En relación con el punto resolutivo cuarto:</w:t>
            </w:r>
          </w:p>
          <w:p w14:paraId="64FF90CA"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3B627E82"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4C9C14FF"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1ADE5753"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5EC8D914" w14:textId="77777777" w:rsidR="007B18DF" w:rsidRPr="00ED2D84" w:rsidRDefault="007B18DF" w:rsidP="007B18DF">
            <w:pPr>
              <w:pStyle w:val="corte4fondo"/>
              <w:spacing w:line="240" w:lineRule="auto"/>
              <w:ind w:left="170" w:right="198" w:firstLine="0"/>
              <w:rPr>
                <w:rFonts w:cs="Arial"/>
                <w:sz w:val="20"/>
              </w:rPr>
            </w:pPr>
          </w:p>
          <w:p w14:paraId="5A3CAA82" w14:textId="77777777" w:rsidR="007B18DF" w:rsidRPr="00ED2D84" w:rsidRDefault="007B18DF" w:rsidP="007B18DF">
            <w:pPr>
              <w:pStyle w:val="corte4fondo"/>
              <w:spacing w:line="240" w:lineRule="auto"/>
              <w:ind w:left="170" w:right="198" w:firstLine="0"/>
              <w:rPr>
                <w:rFonts w:cs="Arial"/>
                <w:sz w:val="20"/>
              </w:rPr>
            </w:pPr>
            <w:r w:rsidRPr="00ED2D84">
              <w:rPr>
                <w:rFonts w:cs="Arial"/>
                <w:sz w:val="20"/>
              </w:rPr>
              <w:t xml:space="preserve">Se aprobó por mayoría de nueve votos de los señores Ministros Cossío Díaz, Luna Ramos, Franco González Salas, Pardo Rebolledo, Piña Hernández, Medina Mora I., Laynez Potisek, Pérez Dayán y Presidente Aguilar Morales, respecto del considerando noveno, tema 4, relativo a la fiscalización, parte segunda, consistente en reconocer la validez de los artículos 85, párrafo primero, fracciones I, inciso A), II, párrafo segundo y III, párrafos primero y tercero, 86, 87, fracciones II y III, 88, párrafos primero y segundo, y 90, párrafo primero, de la Ley Electoral de Quintana Roo. El señor </w:t>
            </w:r>
            <w:proofErr w:type="gramStart"/>
            <w:r w:rsidRPr="00ED2D84">
              <w:rPr>
                <w:rFonts w:cs="Arial"/>
                <w:sz w:val="20"/>
              </w:rPr>
              <w:t>Ministro</w:t>
            </w:r>
            <w:proofErr w:type="gramEnd"/>
            <w:r w:rsidRPr="00ED2D84">
              <w:rPr>
                <w:rFonts w:cs="Arial"/>
                <w:sz w:val="20"/>
              </w:rPr>
              <w:t xml:space="preserve"> Zaldívar Lelo de Larrea votó en contra.</w:t>
            </w:r>
          </w:p>
          <w:p w14:paraId="646619B0"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3BF45452"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2753B066"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50A2EE07"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15926C7F" w14:textId="77777777" w:rsidR="007B18DF" w:rsidRDefault="007B18DF" w:rsidP="007B18DF">
            <w:pPr>
              <w:pStyle w:val="corte4fondo"/>
              <w:spacing w:line="240" w:lineRule="auto"/>
              <w:ind w:left="170" w:right="198" w:firstLine="0"/>
              <w:rPr>
                <w:rFonts w:cs="Arial"/>
                <w:sz w:val="20"/>
              </w:rPr>
            </w:pPr>
          </w:p>
          <w:p w14:paraId="2D58F178" w14:textId="77777777" w:rsidR="007B18DF" w:rsidRPr="00ED2D84" w:rsidRDefault="007B18DF" w:rsidP="007B18DF">
            <w:pPr>
              <w:pStyle w:val="corte4fondo"/>
              <w:spacing w:line="240" w:lineRule="auto"/>
              <w:ind w:left="170" w:right="198" w:firstLine="0"/>
              <w:rPr>
                <w:rFonts w:cs="Arial"/>
                <w:sz w:val="20"/>
              </w:rPr>
            </w:pPr>
            <w:r w:rsidRPr="00ED2D84">
              <w:rPr>
                <w:rFonts w:cs="Arial"/>
                <w:sz w:val="20"/>
              </w:rPr>
              <w:lastRenderedPageBreak/>
              <w:t xml:space="preserve">Se aprobó por mayoría de nueve votos de los señores Ministros Luna Ramos, Franco González Salas, Zaldívar Lelo de Larrea, Pardo Rebolledo, Piña Hernández, Medina Mora I., Laynez Potisek, Pérez Dayán y Presidente Aguilar Morales, respecto del considerando noveno, tema 4, relativo a la fiscalización, parte segunda, consistente en reconocer la validez de los artículos 94, párrafo primero, fracciones I, inciso A), II, III, incisos A), E) y G), y IV, 95-bis, 95-ter, 95-quater y 95-quintus de la Ley Electoral de Quintana Roo. El señor </w:t>
            </w:r>
            <w:proofErr w:type="gramStart"/>
            <w:r w:rsidRPr="00ED2D84">
              <w:rPr>
                <w:rFonts w:cs="Arial"/>
                <w:sz w:val="20"/>
              </w:rPr>
              <w:t>Ministro</w:t>
            </w:r>
            <w:proofErr w:type="gramEnd"/>
            <w:r w:rsidRPr="00ED2D84">
              <w:rPr>
                <w:rFonts w:cs="Arial"/>
                <w:sz w:val="20"/>
              </w:rPr>
              <w:t xml:space="preserve"> Cossío Díaz votó en contra.</w:t>
            </w:r>
          </w:p>
          <w:p w14:paraId="48345E50" w14:textId="77777777" w:rsidR="007B18DF" w:rsidRDefault="007B18DF" w:rsidP="007B18DF">
            <w:pPr>
              <w:pStyle w:val="corte4fondo"/>
              <w:spacing w:line="240" w:lineRule="auto"/>
              <w:ind w:left="170" w:right="198" w:firstLine="0"/>
              <w:rPr>
                <w:rFonts w:cs="Arial"/>
                <w:sz w:val="20"/>
              </w:rPr>
            </w:pPr>
          </w:p>
          <w:p w14:paraId="1C12F51D" w14:textId="77777777" w:rsidR="007B18DF" w:rsidRPr="00ED2D84" w:rsidRDefault="007B18DF" w:rsidP="007B18DF">
            <w:pPr>
              <w:pStyle w:val="corte4fondo"/>
              <w:spacing w:line="240" w:lineRule="auto"/>
              <w:ind w:left="170" w:right="198" w:firstLine="0"/>
              <w:rPr>
                <w:rFonts w:cs="Arial"/>
                <w:sz w:val="20"/>
              </w:rPr>
            </w:pPr>
            <w:r w:rsidRPr="00ED2D84">
              <w:rPr>
                <w:rFonts w:cs="Arial"/>
                <w:sz w:val="20"/>
              </w:rPr>
              <w:t xml:space="preserve">Se aprobó por unanimidad de diez votos de los señores </w:t>
            </w:r>
            <w:proofErr w:type="gramStart"/>
            <w:r w:rsidRPr="00ED2D84">
              <w:rPr>
                <w:rFonts w:cs="Arial"/>
                <w:sz w:val="20"/>
              </w:rPr>
              <w:t>Ministros</w:t>
            </w:r>
            <w:proofErr w:type="gramEnd"/>
            <w:r w:rsidRPr="00ED2D84">
              <w:rPr>
                <w:rFonts w:cs="Arial"/>
                <w:sz w:val="20"/>
              </w:rPr>
              <w:t xml:space="preserve"> Cossío Díaz, Luna Ramos, Franco González Salas, Zaldívar Lelo de Larrea, Pardo Rebolledo, Piña Hernández, Medina Mora I., Laynez Potisek, Pérez Dayán y Presidente Aguilar Morales, respecto del considerando noveno, tema 4, relativo a la fiscalización, parte segunda, consistente en reconocer la validez del artículo 94, fracción V y párrafo segundo, de la Ley Electoral de Quintana Roo.</w:t>
            </w:r>
          </w:p>
          <w:p w14:paraId="1E52090B" w14:textId="77777777" w:rsidR="007B18DF" w:rsidRDefault="007B18DF" w:rsidP="007B18DF">
            <w:pPr>
              <w:pStyle w:val="corte4fondo"/>
              <w:spacing w:line="240" w:lineRule="auto"/>
              <w:ind w:left="170" w:right="198" w:firstLine="0"/>
              <w:rPr>
                <w:rFonts w:cs="Arial"/>
                <w:b/>
                <w:sz w:val="20"/>
              </w:rPr>
            </w:pPr>
          </w:p>
          <w:p w14:paraId="4C31A49E"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27850F07"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369E39EA"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6F208C96" w14:textId="77777777" w:rsidR="007B18DF" w:rsidRDefault="007B18DF" w:rsidP="007B18DF">
            <w:pPr>
              <w:pStyle w:val="corte4fondo"/>
              <w:spacing w:line="240" w:lineRule="auto"/>
              <w:ind w:left="170" w:right="198" w:firstLine="0"/>
              <w:rPr>
                <w:rFonts w:cs="Arial"/>
                <w:b/>
                <w:sz w:val="20"/>
              </w:rPr>
            </w:pPr>
            <w:r w:rsidRPr="00ED2D84">
              <w:rPr>
                <w:rFonts w:cs="Arial"/>
                <w:b/>
                <w:sz w:val="20"/>
              </w:rPr>
              <w:t>(…)</w:t>
            </w:r>
          </w:p>
          <w:p w14:paraId="4EBE5ABD" w14:textId="77777777" w:rsidR="007B18DF" w:rsidRDefault="007B18DF" w:rsidP="007B18DF">
            <w:pPr>
              <w:pStyle w:val="corte4fondo"/>
              <w:spacing w:line="240" w:lineRule="auto"/>
              <w:ind w:left="170" w:right="198" w:firstLine="0"/>
              <w:rPr>
                <w:rFonts w:cs="Arial"/>
                <w:b/>
                <w:sz w:val="20"/>
              </w:rPr>
            </w:pPr>
          </w:p>
          <w:p w14:paraId="77ABF56D"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En relación con el punto resolutivo quinto:</w:t>
            </w:r>
          </w:p>
          <w:p w14:paraId="1AF33E9A"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00B551EC"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47147226"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766BE41C"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241AF657" w14:textId="77777777" w:rsidR="007B18DF" w:rsidRPr="00ED2D84" w:rsidRDefault="007B18DF" w:rsidP="007B18DF">
            <w:pPr>
              <w:pStyle w:val="corte4fondo"/>
              <w:spacing w:line="240" w:lineRule="auto"/>
              <w:ind w:left="170" w:right="198" w:firstLine="0"/>
              <w:rPr>
                <w:rFonts w:cs="Arial"/>
                <w:sz w:val="20"/>
              </w:rPr>
            </w:pPr>
          </w:p>
          <w:p w14:paraId="39693E4C" w14:textId="77777777" w:rsidR="007B18DF" w:rsidRPr="00ED2D84" w:rsidRDefault="007B18DF" w:rsidP="007B18DF">
            <w:pPr>
              <w:pStyle w:val="corte4fondo"/>
              <w:spacing w:line="240" w:lineRule="auto"/>
              <w:ind w:left="170" w:right="198" w:firstLine="0"/>
              <w:rPr>
                <w:rFonts w:cs="Arial"/>
                <w:sz w:val="20"/>
              </w:rPr>
            </w:pPr>
            <w:r w:rsidRPr="00ED2D84">
              <w:rPr>
                <w:rFonts w:cs="Arial"/>
                <w:sz w:val="20"/>
              </w:rPr>
              <w:t>Se aprobó por unanimidad de diez votos de los señores Ministros Cossío Díaz por la invalidez total de los artículos 91 y 94, Luna Ramos, Franco González Salas, Zaldívar Lelo de Larrea, Pardo Rebolledo, Piña Hernández, Medina Mora I., Laynez Potisek, Pérez Dayán y Presidente Aguilar Morales, respecto del considerando noveno, tema 4, relativo a la fiscalización, parte primera, consistente en declarar la invalidez de los artículos 57, párrafo segundo, en la porción normativa “nacionales y”, 91, párrafo segundo, en la porción normativa “y serán responsables solidarios del partido político o partidos políticos, respecto al uso y destino del financiamiento público y de la presentación de los informes correspondientes. Su responsabilidad cesará hasta el total cumplimiento de esta obligación”, y 94, párrafos tercero y cuarto, en la porción normativa “, y serán aprobados por el Consejo General”, de la Ley Electoral de Quintana Roo.</w:t>
            </w:r>
          </w:p>
          <w:p w14:paraId="1587C985"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154AB9FA"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6ECD6A4F"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59744545"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51AA33A2" w14:textId="70C17AE6" w:rsidR="007B18DF" w:rsidRPr="003737BE" w:rsidRDefault="007B18DF" w:rsidP="003737BE">
            <w:pPr>
              <w:shd w:val="clear" w:color="auto" w:fill="FFFFFF"/>
              <w:ind w:right="198"/>
              <w:jc w:val="both"/>
              <w:rPr>
                <w:rFonts w:ascii="Arial" w:hAnsi="Arial" w:cs="Arial"/>
                <w:b/>
                <w:sz w:val="20"/>
                <w:szCs w:val="20"/>
              </w:rPr>
            </w:pPr>
          </w:p>
        </w:tc>
      </w:tr>
      <w:tr w:rsidR="007B18DF" w:rsidRPr="00ED2D84" w14:paraId="15632DD1" w14:textId="77777777" w:rsidTr="00C75296">
        <w:trPr>
          <w:trHeight w:val="283"/>
        </w:trPr>
        <w:tc>
          <w:tcPr>
            <w:tcW w:w="1877" w:type="dxa"/>
            <w:vAlign w:val="center"/>
          </w:tcPr>
          <w:p w14:paraId="7BAE9AD5" w14:textId="77777777" w:rsidR="007B18DF" w:rsidRPr="00ED2D84" w:rsidRDefault="007B18DF" w:rsidP="00C75296">
            <w:pPr>
              <w:pStyle w:val="Default"/>
              <w:ind w:left="170" w:right="198"/>
              <w:jc w:val="center"/>
              <w:rPr>
                <w:rFonts w:ascii="Arial" w:hAnsi="Arial" w:cs="Arial"/>
                <w:color w:val="auto"/>
                <w:sz w:val="20"/>
                <w:szCs w:val="20"/>
              </w:rPr>
            </w:pPr>
          </w:p>
          <w:p w14:paraId="7476E96B" w14:textId="77777777" w:rsidR="007B18DF" w:rsidRPr="00ED2D84" w:rsidRDefault="007B18DF" w:rsidP="00C75296">
            <w:pPr>
              <w:ind w:left="170" w:right="198"/>
              <w:jc w:val="center"/>
              <w:rPr>
                <w:rFonts w:ascii="Arial" w:hAnsi="Arial" w:cs="Arial"/>
                <w:b/>
                <w:sz w:val="20"/>
                <w:szCs w:val="20"/>
                <w:lang w:val="es-MX"/>
              </w:rPr>
            </w:pPr>
          </w:p>
          <w:p w14:paraId="10E59A72" w14:textId="77777777" w:rsidR="007B18DF" w:rsidRPr="00ED2D84" w:rsidRDefault="007B18DF" w:rsidP="00C75296">
            <w:pPr>
              <w:ind w:left="170" w:right="198"/>
              <w:jc w:val="center"/>
              <w:rPr>
                <w:rFonts w:ascii="Arial" w:hAnsi="Arial" w:cs="Arial"/>
                <w:b/>
                <w:sz w:val="20"/>
                <w:szCs w:val="20"/>
                <w:lang w:val="es-MX"/>
              </w:rPr>
            </w:pPr>
          </w:p>
          <w:p w14:paraId="5362C288" w14:textId="77777777" w:rsidR="007B18DF" w:rsidRPr="00ED2D84" w:rsidRDefault="007B18DF" w:rsidP="00C75296">
            <w:pPr>
              <w:ind w:left="170" w:right="198"/>
              <w:jc w:val="center"/>
              <w:rPr>
                <w:rFonts w:ascii="Arial" w:hAnsi="Arial" w:cs="Arial"/>
                <w:b/>
                <w:sz w:val="20"/>
                <w:szCs w:val="20"/>
                <w:lang w:val="es-MX"/>
              </w:rPr>
            </w:pPr>
          </w:p>
          <w:p w14:paraId="0ECDC150" w14:textId="77777777" w:rsidR="007B18DF" w:rsidRPr="00ED2D84" w:rsidRDefault="007B18DF" w:rsidP="00C75296">
            <w:pPr>
              <w:ind w:left="170" w:right="198"/>
              <w:jc w:val="center"/>
              <w:rPr>
                <w:rStyle w:val="Hipervnculo"/>
                <w:rFonts w:ascii="Arial" w:hAnsi="Arial" w:cs="Arial"/>
                <w:b/>
                <w:sz w:val="20"/>
                <w:szCs w:val="20"/>
                <w:lang w:val="es-MX"/>
              </w:rPr>
            </w:pPr>
            <w:r w:rsidRPr="00ED2D84">
              <w:rPr>
                <w:rFonts w:ascii="Arial" w:hAnsi="Arial" w:cs="Arial"/>
                <w:b/>
                <w:sz w:val="20"/>
                <w:szCs w:val="20"/>
                <w:lang w:val="es-MX"/>
              </w:rPr>
              <w:fldChar w:fldCharType="begin"/>
            </w:r>
            <w:r w:rsidRPr="00ED2D84">
              <w:rPr>
                <w:rFonts w:ascii="Arial" w:hAnsi="Arial" w:cs="Arial"/>
                <w:b/>
                <w:sz w:val="20"/>
                <w:szCs w:val="20"/>
                <w:lang w:val="es-MX"/>
              </w:rPr>
              <w:instrText xml:space="preserve"> HYPERLINK "https://www2.scjn.gob.mx/juridica/engroses/3/2015/19/3_184858_2526.doc" </w:instrText>
            </w:r>
            <w:r w:rsidRPr="00ED2D84">
              <w:rPr>
                <w:rFonts w:ascii="Arial" w:hAnsi="Arial" w:cs="Arial"/>
                <w:b/>
                <w:sz w:val="20"/>
                <w:szCs w:val="20"/>
                <w:lang w:val="es-MX"/>
              </w:rPr>
            </w:r>
            <w:r w:rsidRPr="00ED2D84">
              <w:rPr>
                <w:rFonts w:ascii="Arial" w:hAnsi="Arial" w:cs="Arial"/>
                <w:b/>
                <w:sz w:val="20"/>
                <w:szCs w:val="20"/>
                <w:lang w:val="es-MX"/>
              </w:rPr>
              <w:fldChar w:fldCharType="separate"/>
            </w:r>
            <w:r w:rsidRPr="00ED2D84">
              <w:rPr>
                <w:rStyle w:val="Hipervnculo"/>
                <w:rFonts w:ascii="Arial" w:hAnsi="Arial" w:cs="Arial"/>
                <w:b/>
                <w:sz w:val="20"/>
                <w:szCs w:val="20"/>
                <w:lang w:val="es-MX"/>
              </w:rPr>
              <w:t>50/2015 y sus acumuladas 55/2015, 56/2015 y 58/2015</w:t>
            </w:r>
          </w:p>
          <w:p w14:paraId="54A6C97A" w14:textId="77777777" w:rsidR="007B18DF" w:rsidRDefault="007B18DF" w:rsidP="00C75296">
            <w:pPr>
              <w:ind w:left="170" w:right="198"/>
              <w:jc w:val="center"/>
              <w:rPr>
                <w:rFonts w:ascii="Arial" w:hAnsi="Arial" w:cs="Arial"/>
                <w:b/>
                <w:sz w:val="20"/>
                <w:szCs w:val="20"/>
                <w:lang w:val="es-MX"/>
              </w:rPr>
            </w:pPr>
            <w:r w:rsidRPr="00ED2D84">
              <w:rPr>
                <w:rFonts w:ascii="Arial" w:hAnsi="Arial" w:cs="Arial"/>
                <w:b/>
                <w:sz w:val="20"/>
                <w:szCs w:val="20"/>
                <w:lang w:val="es-MX"/>
              </w:rPr>
              <w:fldChar w:fldCharType="end"/>
            </w:r>
          </w:p>
          <w:p w14:paraId="33C32D6D" w14:textId="1D8C3B3E" w:rsidR="007B18DF" w:rsidRPr="00C4535A" w:rsidRDefault="007B18DF" w:rsidP="00C75296">
            <w:pPr>
              <w:ind w:left="170" w:right="198"/>
              <w:jc w:val="center"/>
              <w:rPr>
                <w:rFonts w:ascii="Arial" w:hAnsi="Arial" w:cs="Arial"/>
                <w:b/>
                <w:bCs/>
                <w:sz w:val="20"/>
                <w:szCs w:val="20"/>
                <w:lang w:val="es-MX"/>
              </w:rPr>
            </w:pPr>
            <w:r w:rsidRPr="00C4535A">
              <w:rPr>
                <w:rFonts w:ascii="Arial" w:hAnsi="Arial" w:cs="Arial"/>
                <w:b/>
                <w:bCs/>
                <w:color w:val="000000"/>
                <w:sz w:val="20"/>
                <w:szCs w:val="20"/>
                <w:lang w:val="es-MX"/>
              </w:rPr>
              <w:t>Veracruz</w:t>
            </w:r>
          </w:p>
        </w:tc>
        <w:tc>
          <w:tcPr>
            <w:tcW w:w="12294" w:type="dxa"/>
          </w:tcPr>
          <w:p w14:paraId="2370F6BD" w14:textId="77777777" w:rsidR="007B18DF" w:rsidRPr="00ED2D84" w:rsidRDefault="007B18DF" w:rsidP="007B18DF">
            <w:pPr>
              <w:pStyle w:val="Prrafodelista"/>
              <w:numPr>
                <w:ilvl w:val="0"/>
                <w:numId w:val="9"/>
              </w:numPr>
              <w:ind w:left="252" w:right="198" w:hanging="142"/>
              <w:jc w:val="both"/>
              <w:rPr>
                <w:rFonts w:ascii="Arial" w:eastAsia="Arial Unicode MS" w:hAnsi="Arial" w:cs="Arial"/>
                <w:b/>
                <w:bCs/>
                <w:sz w:val="20"/>
                <w:szCs w:val="20"/>
              </w:rPr>
            </w:pPr>
            <w:r w:rsidRPr="00ED2D84">
              <w:rPr>
                <w:rFonts w:ascii="Arial" w:eastAsia="Arial Unicode MS" w:hAnsi="Arial" w:cs="Arial"/>
                <w:b/>
                <w:bCs/>
                <w:sz w:val="20"/>
                <w:szCs w:val="20"/>
              </w:rPr>
              <w:lastRenderedPageBreak/>
              <w:t>Regulación en materia de fiscalización político-electoral.</w:t>
            </w:r>
          </w:p>
          <w:p w14:paraId="3FB66E7A" w14:textId="77777777" w:rsidR="007B18DF" w:rsidRPr="00ED2D84" w:rsidRDefault="007B18DF" w:rsidP="007B18DF">
            <w:pPr>
              <w:ind w:left="170" w:right="198"/>
              <w:jc w:val="both"/>
              <w:rPr>
                <w:rFonts w:ascii="Arial" w:eastAsia="Arial Unicode MS" w:hAnsi="Arial" w:cs="Arial"/>
                <w:b/>
                <w:bCs/>
                <w:sz w:val="20"/>
                <w:szCs w:val="20"/>
              </w:rPr>
            </w:pPr>
          </w:p>
          <w:p w14:paraId="54B9128A" w14:textId="77777777" w:rsidR="007B18DF" w:rsidRPr="00ED2D84" w:rsidRDefault="007B18DF" w:rsidP="007B18DF">
            <w:pPr>
              <w:ind w:left="170" w:right="198"/>
              <w:jc w:val="both"/>
              <w:rPr>
                <w:rFonts w:ascii="Arial" w:hAnsi="Arial" w:cs="Arial"/>
                <w:color w:val="000000"/>
                <w:sz w:val="20"/>
                <w:szCs w:val="20"/>
                <w:lang w:val="es-MX"/>
              </w:rPr>
            </w:pPr>
            <w:r w:rsidRPr="00ED2D84">
              <w:rPr>
                <w:rFonts w:ascii="Arial" w:hAnsi="Arial" w:cs="Arial"/>
                <w:color w:val="000000"/>
                <w:sz w:val="20"/>
                <w:szCs w:val="20"/>
                <w:lang w:val="es-MX"/>
              </w:rPr>
              <w:lastRenderedPageBreak/>
              <w:t>El Partido de la Revolución Democrática sostuvo que los artículos 29, fracciones VI y VII, 30, 31, 32, 35, 48, 49, 50, apartado B, 67, 108, fracción X, 122, 296, párrafo segundo y 305 del Código Electoral del Estado de Veracruz, son inconstitucionales, pues invaden la esfera de competencia del Congreso de la Unión y del Instituto Nacional Electoral en materia de fiscalización político-electoral.</w:t>
            </w:r>
          </w:p>
          <w:p w14:paraId="5B091844" w14:textId="77777777" w:rsidR="007B18DF" w:rsidRPr="00ED2D84" w:rsidRDefault="007B18DF" w:rsidP="007B18DF">
            <w:pPr>
              <w:ind w:left="170" w:right="198"/>
              <w:jc w:val="both"/>
              <w:rPr>
                <w:rFonts w:ascii="Arial" w:hAnsi="Arial" w:cs="Arial"/>
                <w:color w:val="000000"/>
                <w:sz w:val="20"/>
                <w:szCs w:val="20"/>
                <w:lang w:val="es-MX"/>
              </w:rPr>
            </w:pPr>
          </w:p>
          <w:p w14:paraId="06F4C445" w14:textId="77777777" w:rsidR="007B18DF" w:rsidRPr="00ED2D84" w:rsidRDefault="007B18DF" w:rsidP="007B18DF">
            <w:pPr>
              <w:ind w:left="170" w:right="198"/>
              <w:jc w:val="both"/>
              <w:rPr>
                <w:rFonts w:ascii="Arial" w:hAnsi="Arial" w:cs="Arial"/>
                <w:color w:val="000000"/>
                <w:sz w:val="20"/>
                <w:szCs w:val="20"/>
                <w:lang w:val="es-MX"/>
              </w:rPr>
            </w:pPr>
            <w:r w:rsidRPr="00ED2D84">
              <w:rPr>
                <w:rFonts w:ascii="Arial" w:hAnsi="Arial" w:cs="Arial"/>
                <w:color w:val="000000"/>
                <w:sz w:val="20"/>
                <w:szCs w:val="20"/>
                <w:lang w:val="es-MX"/>
              </w:rPr>
              <w:t>Lo anterior, porque el Congreso de la Unión tiene la facultad de legislar en dicha materia y el Instituto Nacional Electoral de reglamentarla y realizarla, y puede a su vez delegarla a los organismos electorales locales. En este sentido, si bien la legislación local puede prever un órgano de fiscalización y su funcionamiento, ello está sujeto a que la función de fiscalización le sea delegada por el INE.</w:t>
            </w:r>
          </w:p>
          <w:p w14:paraId="771A3D31" w14:textId="77777777" w:rsidR="007B18DF" w:rsidRPr="00ED2D84" w:rsidRDefault="007B18DF" w:rsidP="007B18DF">
            <w:pPr>
              <w:ind w:left="170" w:right="198"/>
              <w:jc w:val="both"/>
              <w:rPr>
                <w:rFonts w:ascii="Arial" w:hAnsi="Arial" w:cs="Arial"/>
                <w:b/>
                <w:i/>
                <w:color w:val="000000"/>
                <w:sz w:val="20"/>
                <w:szCs w:val="20"/>
                <w:lang w:val="es-MX"/>
              </w:rPr>
            </w:pPr>
          </w:p>
          <w:p w14:paraId="44AA6E7F" w14:textId="77777777" w:rsidR="007B18DF" w:rsidRPr="00ED2D84" w:rsidRDefault="007B18DF" w:rsidP="007B18DF">
            <w:pPr>
              <w:ind w:left="170" w:right="198"/>
              <w:jc w:val="both"/>
              <w:rPr>
                <w:rFonts w:ascii="Arial" w:hAnsi="Arial" w:cs="Arial"/>
                <w:color w:val="000000"/>
                <w:sz w:val="20"/>
                <w:szCs w:val="20"/>
                <w:lang w:val="es-MX"/>
              </w:rPr>
            </w:pPr>
            <w:r w:rsidRPr="00ED2D84">
              <w:rPr>
                <w:rFonts w:ascii="Arial" w:hAnsi="Arial" w:cs="Arial"/>
                <w:color w:val="000000"/>
                <w:sz w:val="20"/>
                <w:szCs w:val="20"/>
                <w:lang w:val="es-MX"/>
              </w:rPr>
              <w:t>Además, no hay base constitucional o legal que permita a la autoridad electoral local fiscalizar a las asociaciones político-locales, organizaciones de observadores en elecciones locales y organizaciones de ciudadanos que pretendan obtener el registro como partido político local; ni la atribución de aplicar el Reglamento de Fiscalización del Instituto Nacional Electoral o establecer una reglamentación paralela al sistema nacional de fiscalización o procedimientos en la materia.</w:t>
            </w:r>
          </w:p>
          <w:p w14:paraId="595DD4FA" w14:textId="77777777" w:rsidR="007B18DF" w:rsidRPr="00ED2D84" w:rsidRDefault="007B18DF" w:rsidP="007B18DF">
            <w:pPr>
              <w:ind w:left="170" w:right="198"/>
              <w:jc w:val="both"/>
              <w:rPr>
                <w:rFonts w:ascii="Arial" w:hAnsi="Arial" w:cs="Arial"/>
                <w:color w:val="000000"/>
                <w:sz w:val="20"/>
                <w:szCs w:val="20"/>
                <w:lang w:val="es-MX"/>
              </w:rPr>
            </w:pPr>
          </w:p>
          <w:p w14:paraId="7FC068A9" w14:textId="77777777" w:rsidR="007B18DF" w:rsidRPr="00ED2D84" w:rsidRDefault="007B18DF" w:rsidP="007B18DF">
            <w:pPr>
              <w:ind w:left="170" w:right="198"/>
              <w:jc w:val="both"/>
              <w:rPr>
                <w:rFonts w:ascii="Arial" w:hAnsi="Arial" w:cs="Arial"/>
                <w:b/>
                <w:color w:val="000000"/>
                <w:sz w:val="20"/>
                <w:szCs w:val="20"/>
                <w:lang w:val="es-MX"/>
              </w:rPr>
            </w:pPr>
            <w:r w:rsidRPr="00ED2D84">
              <w:rPr>
                <w:rFonts w:ascii="Arial" w:hAnsi="Arial" w:cs="Arial"/>
                <w:b/>
                <w:color w:val="000000"/>
                <w:sz w:val="20"/>
                <w:szCs w:val="20"/>
                <w:lang w:val="es-MX"/>
              </w:rPr>
              <w:t>Consideraciones</w:t>
            </w:r>
          </w:p>
          <w:p w14:paraId="137C268A" w14:textId="77777777" w:rsidR="007B18DF" w:rsidRPr="00ED2D84" w:rsidRDefault="007B18DF" w:rsidP="007B18DF">
            <w:pPr>
              <w:ind w:left="170" w:right="198"/>
              <w:jc w:val="both"/>
              <w:rPr>
                <w:rFonts w:ascii="Arial" w:hAnsi="Arial" w:cs="Arial"/>
                <w:color w:val="000000"/>
                <w:sz w:val="20"/>
                <w:szCs w:val="20"/>
                <w:lang w:val="es-MX"/>
              </w:rPr>
            </w:pPr>
          </w:p>
          <w:p w14:paraId="1CDF3B73" w14:textId="77777777" w:rsidR="007B18DF" w:rsidRPr="00ED2D84" w:rsidRDefault="007B18DF" w:rsidP="007B18DF">
            <w:pPr>
              <w:ind w:left="170" w:right="198"/>
              <w:jc w:val="both"/>
              <w:rPr>
                <w:rFonts w:ascii="Arial" w:hAnsi="Arial" w:cs="Arial"/>
                <w:color w:val="000000"/>
                <w:sz w:val="20"/>
                <w:szCs w:val="20"/>
                <w:lang w:val="es-MX"/>
              </w:rPr>
            </w:pPr>
            <w:r w:rsidRPr="00ED2D84">
              <w:rPr>
                <w:rFonts w:ascii="Arial" w:hAnsi="Arial" w:cs="Arial"/>
                <w:color w:val="000000"/>
                <w:sz w:val="20"/>
                <w:szCs w:val="20"/>
                <w:lang w:val="es-MX"/>
              </w:rPr>
              <w:t>L</w:t>
            </w:r>
            <w:r w:rsidRPr="00ED2D84">
              <w:rPr>
                <w:rFonts w:ascii="Arial" w:hAnsi="Arial" w:cs="Arial"/>
                <w:b/>
                <w:bCs/>
                <w:color w:val="000000"/>
                <w:sz w:val="20"/>
                <w:szCs w:val="20"/>
                <w:lang w:val="es-MX"/>
              </w:rPr>
              <w:t>a SCJN declaró infundado</w:t>
            </w:r>
            <w:r w:rsidRPr="00ED2D84">
              <w:rPr>
                <w:rFonts w:ascii="Arial" w:hAnsi="Arial" w:cs="Arial"/>
                <w:color w:val="000000"/>
                <w:sz w:val="20"/>
                <w:szCs w:val="20"/>
                <w:lang w:val="es-MX"/>
              </w:rPr>
              <w:t xml:space="preserve"> el concepto de invalidez respecto de los artículos 29, fracciones VI y VII, 30, 31, 32, 108, fracción X y 122 los cuales regulan las facultades de fiscalización, por lo que debe reconocerse su validez. Lo anterior, porque sostuvo que las facultades de fiscalización de partidos políticos y candidatos que la Constitución General le </w:t>
            </w:r>
            <w:proofErr w:type="gramStart"/>
            <w:r w:rsidRPr="00ED2D84">
              <w:rPr>
                <w:rFonts w:ascii="Arial" w:hAnsi="Arial" w:cs="Arial"/>
                <w:color w:val="000000"/>
                <w:sz w:val="20"/>
                <w:szCs w:val="20"/>
                <w:lang w:val="es-MX"/>
              </w:rPr>
              <w:t>atribuyen,</w:t>
            </w:r>
            <w:proofErr w:type="gramEnd"/>
            <w:r w:rsidRPr="00ED2D84">
              <w:rPr>
                <w:rFonts w:ascii="Arial" w:hAnsi="Arial" w:cs="Arial"/>
                <w:color w:val="000000"/>
                <w:sz w:val="20"/>
                <w:szCs w:val="20"/>
                <w:lang w:val="es-MX"/>
              </w:rPr>
              <w:t xml:space="preserve"> únicamente reservan al Instituto Nacional Electoral la fiscalización de las agrupaciones políticas nacionales, sin hacer referencia a las de carácter local, por lo que, conforme a la distribución competencial respectiva, dicha cuestión corresponde regularla a las entidades federativas.</w:t>
            </w:r>
          </w:p>
          <w:p w14:paraId="3AF870E9" w14:textId="77777777" w:rsidR="007B18DF" w:rsidRPr="00ED2D84" w:rsidRDefault="007B18DF" w:rsidP="007B18DF">
            <w:pPr>
              <w:ind w:left="170" w:right="198"/>
              <w:jc w:val="both"/>
              <w:rPr>
                <w:rFonts w:ascii="Arial" w:hAnsi="Arial" w:cs="Arial"/>
                <w:color w:val="000000"/>
                <w:sz w:val="20"/>
                <w:szCs w:val="20"/>
                <w:lang w:val="es-MX"/>
              </w:rPr>
            </w:pPr>
          </w:p>
          <w:p w14:paraId="68107515" w14:textId="77777777" w:rsidR="007B18DF" w:rsidRPr="00ED2D84" w:rsidRDefault="007B18DF" w:rsidP="007B18DF">
            <w:pPr>
              <w:ind w:left="170" w:right="198"/>
              <w:jc w:val="both"/>
              <w:rPr>
                <w:rFonts w:ascii="Arial" w:hAnsi="Arial" w:cs="Arial"/>
                <w:color w:val="000000"/>
                <w:sz w:val="20"/>
                <w:szCs w:val="20"/>
                <w:lang w:val="es-MX"/>
              </w:rPr>
            </w:pPr>
            <w:r w:rsidRPr="00ED2D84">
              <w:rPr>
                <w:rFonts w:ascii="Arial" w:hAnsi="Arial" w:cs="Arial"/>
                <w:color w:val="000000"/>
                <w:sz w:val="20"/>
                <w:szCs w:val="20"/>
                <w:lang w:val="es-MX"/>
              </w:rPr>
              <w:t xml:space="preserve">Por lo tocante al artículo 35, la SCJN precisó que no está circunscrito a las agrupaciones políticas y puede cobrar aplicación en caso de que la facultad de fiscalización le sea delegada al Instituto Electoral Veracruzano, por lo que no invade la competencia federal, máxime que es acorde con la legislación general en la materia, por lo que debe reconocerse su validez. </w:t>
            </w:r>
          </w:p>
          <w:p w14:paraId="5A6889AF" w14:textId="77777777" w:rsidR="007B18DF" w:rsidRPr="00ED2D84" w:rsidRDefault="007B18DF" w:rsidP="007B18DF">
            <w:pPr>
              <w:ind w:left="170" w:right="198"/>
              <w:jc w:val="both"/>
              <w:rPr>
                <w:rFonts w:ascii="Arial" w:hAnsi="Arial" w:cs="Arial"/>
                <w:color w:val="000000"/>
                <w:sz w:val="20"/>
                <w:szCs w:val="20"/>
                <w:lang w:val="es-MX"/>
              </w:rPr>
            </w:pPr>
          </w:p>
          <w:p w14:paraId="7776DD5B" w14:textId="77777777" w:rsidR="007B18DF" w:rsidRPr="00ED2D84" w:rsidRDefault="007B18DF" w:rsidP="007B18DF">
            <w:pPr>
              <w:ind w:left="170" w:right="198"/>
              <w:jc w:val="both"/>
              <w:rPr>
                <w:rFonts w:ascii="Arial" w:hAnsi="Arial" w:cs="Arial"/>
                <w:color w:val="000000"/>
                <w:sz w:val="20"/>
                <w:szCs w:val="20"/>
                <w:lang w:val="es-MX"/>
              </w:rPr>
            </w:pPr>
            <w:r w:rsidRPr="00ED2D84">
              <w:rPr>
                <w:rFonts w:ascii="Arial" w:hAnsi="Arial" w:cs="Arial"/>
                <w:color w:val="000000"/>
                <w:sz w:val="20"/>
                <w:szCs w:val="20"/>
                <w:lang w:val="es-MX"/>
              </w:rPr>
              <w:t xml:space="preserve">Ahora bien, en lo referente al 48, impone a los medios de comunicación que realicen contratos publicitarios con los partidos políticos o coaliciones, la obligación de proporcionar al Instituto Electoral Veracruzano la información que les requiera con motivo de la fiscalización de los recursos, lo que no resulta inconstitucional, pues dicha obligación necesariamente está supeditada a que la facultad de fiscalización le sea delegada a dicho Instituto. Por lo que, sólo invalidó las porciones normativas del artículo 48 que dicen: “de la Unidad de Fiscalización y”, así como “en sus respectivos ámbitos de competencia,” </w:t>
            </w:r>
            <w:proofErr w:type="gramStart"/>
            <w:r w:rsidRPr="00ED2D84">
              <w:rPr>
                <w:rFonts w:ascii="Arial" w:hAnsi="Arial" w:cs="Arial"/>
                <w:color w:val="000000"/>
                <w:sz w:val="20"/>
                <w:szCs w:val="20"/>
                <w:lang w:val="es-MX"/>
              </w:rPr>
              <w:t>y</w:t>
            </w:r>
            <w:proofErr w:type="gramEnd"/>
            <w:r w:rsidRPr="00ED2D84">
              <w:rPr>
                <w:rFonts w:ascii="Arial" w:hAnsi="Arial" w:cs="Arial"/>
                <w:color w:val="000000"/>
                <w:sz w:val="20"/>
                <w:szCs w:val="20"/>
                <w:lang w:val="es-MX"/>
              </w:rPr>
              <w:t xml:space="preserve"> por otra parte, en lo referente al artículo 49, la SCJN invalidó la porción normativa que indica “y el respeto a los topes de gastos de precampaña y campaña” porque ambas invaden competencias federales.</w:t>
            </w:r>
          </w:p>
          <w:p w14:paraId="2616E3A5" w14:textId="77777777" w:rsidR="007B18DF" w:rsidRPr="00ED2D84" w:rsidRDefault="007B18DF" w:rsidP="007B18DF">
            <w:pPr>
              <w:ind w:left="170" w:right="198"/>
              <w:jc w:val="both"/>
              <w:rPr>
                <w:rFonts w:ascii="Arial" w:hAnsi="Arial" w:cs="Arial"/>
                <w:color w:val="000000"/>
                <w:sz w:val="20"/>
                <w:szCs w:val="20"/>
                <w:lang w:val="es-MX"/>
              </w:rPr>
            </w:pPr>
          </w:p>
          <w:p w14:paraId="572806E2" w14:textId="77777777" w:rsidR="007B18DF" w:rsidRPr="00ED2D84" w:rsidRDefault="007B18DF" w:rsidP="007B18DF">
            <w:pPr>
              <w:ind w:left="170" w:right="198"/>
              <w:jc w:val="both"/>
              <w:rPr>
                <w:rFonts w:ascii="Arial" w:hAnsi="Arial" w:cs="Arial"/>
                <w:color w:val="000000"/>
                <w:sz w:val="20"/>
                <w:szCs w:val="20"/>
                <w:lang w:val="es-MX"/>
              </w:rPr>
            </w:pPr>
            <w:r w:rsidRPr="00ED2D84">
              <w:rPr>
                <w:rFonts w:ascii="Arial" w:hAnsi="Arial" w:cs="Arial"/>
                <w:color w:val="000000"/>
                <w:sz w:val="20"/>
                <w:szCs w:val="20"/>
                <w:lang w:val="es-MX"/>
              </w:rPr>
              <w:t xml:space="preserve">Por otro lado, en relación con el artículo 50, se precisó que dicho precepto regula directamente una cuestión relativa a la fiscalización y lo hace en forma diversa a la legislación general, por lo que al margen de que la intervención del Instituto Electoral Veracruzano sólo esté prevista “en su caso”, es decir en caso de que le sea delegada la facultad de fiscalización, se invade la esfera de competencia </w:t>
            </w:r>
            <w:r w:rsidRPr="00ED2D84">
              <w:rPr>
                <w:rFonts w:ascii="Arial" w:hAnsi="Arial" w:cs="Arial"/>
                <w:color w:val="000000"/>
                <w:sz w:val="20"/>
                <w:szCs w:val="20"/>
                <w:lang w:val="es-MX"/>
              </w:rPr>
              <w:lastRenderedPageBreak/>
              <w:t>federal al establecerse las obligaciones de los partidos en materia de fiscalización, por lo que se invalidó dicho precepto.</w:t>
            </w:r>
          </w:p>
          <w:p w14:paraId="359CF30E" w14:textId="77777777" w:rsidR="007B18DF" w:rsidRPr="00ED2D84" w:rsidRDefault="007B18DF" w:rsidP="007B18DF">
            <w:pPr>
              <w:ind w:left="170" w:right="198"/>
              <w:jc w:val="both"/>
              <w:rPr>
                <w:rFonts w:ascii="Arial" w:hAnsi="Arial" w:cs="Arial"/>
                <w:color w:val="000000"/>
                <w:sz w:val="20"/>
                <w:szCs w:val="20"/>
                <w:lang w:val="es-MX"/>
              </w:rPr>
            </w:pPr>
          </w:p>
          <w:p w14:paraId="61252997" w14:textId="77777777" w:rsidR="007B18DF" w:rsidRPr="00ED2D84" w:rsidRDefault="007B18DF" w:rsidP="007B18DF">
            <w:pPr>
              <w:ind w:left="170" w:right="198"/>
              <w:jc w:val="both"/>
              <w:rPr>
                <w:rFonts w:ascii="Arial" w:hAnsi="Arial" w:cs="Arial"/>
                <w:color w:val="000000"/>
                <w:sz w:val="20"/>
                <w:szCs w:val="20"/>
                <w:lang w:val="es-MX"/>
              </w:rPr>
            </w:pPr>
            <w:r w:rsidRPr="00ED2D84">
              <w:rPr>
                <w:rFonts w:ascii="Arial" w:hAnsi="Arial" w:cs="Arial"/>
                <w:color w:val="000000"/>
                <w:sz w:val="20"/>
                <w:szCs w:val="20"/>
                <w:lang w:val="es-MX"/>
              </w:rPr>
              <w:t>Por cuanto hace al artículo 67 del código electoral local, la SCJN invalidó el precepto impugnado porque no está previsto para regir en caso de que las facultades de fiscalización le sean delegadas al organismo público local, sino que pretende regular directamente las obligaciones de los partidos políticos en materia de fiscalización de los gastos de precampaña, previendo incluso que del informe rendido a la Comisión de Fiscalización del Instituto Nacional Electoral se le dé copia al Instituto Electoral Veracruzano y estableciendo condiciones distintas para esa fiscalización.</w:t>
            </w:r>
          </w:p>
          <w:p w14:paraId="69B966F6" w14:textId="77777777" w:rsidR="007B18DF" w:rsidRPr="00ED2D84" w:rsidRDefault="007B18DF" w:rsidP="007B18DF">
            <w:pPr>
              <w:ind w:left="170" w:right="198"/>
              <w:jc w:val="both"/>
              <w:rPr>
                <w:rFonts w:ascii="Arial" w:hAnsi="Arial" w:cs="Arial"/>
                <w:color w:val="000000"/>
                <w:sz w:val="20"/>
                <w:szCs w:val="20"/>
                <w:lang w:val="es-MX"/>
              </w:rPr>
            </w:pPr>
          </w:p>
          <w:p w14:paraId="08AFD4CC" w14:textId="77777777" w:rsidR="007B18DF" w:rsidRPr="00ED2D84" w:rsidRDefault="007B18DF" w:rsidP="007B18DF">
            <w:pPr>
              <w:ind w:left="170" w:right="198"/>
              <w:jc w:val="both"/>
              <w:rPr>
                <w:rFonts w:ascii="Arial" w:hAnsi="Arial" w:cs="Arial"/>
                <w:color w:val="000000"/>
                <w:sz w:val="20"/>
                <w:szCs w:val="20"/>
                <w:lang w:val="es-MX"/>
              </w:rPr>
            </w:pPr>
            <w:r w:rsidRPr="00ED2D84">
              <w:rPr>
                <w:rFonts w:ascii="Arial" w:hAnsi="Arial" w:cs="Arial"/>
                <w:color w:val="000000"/>
                <w:sz w:val="20"/>
                <w:szCs w:val="20"/>
                <w:lang w:val="es-MX"/>
              </w:rPr>
              <w:t>Por último, por lo que toca a los artículos 296 y 305, la SCJN invalidó dichos preceptos porque invaden la esfera de competencia federal en materia de fiscalización. Por tanto, la SCJN reconoció la validez de los artículos 29, fracciones VI y VII, 30, 31, 32, 35, 108, fracción X, y 122 del Código Número 577 Electoral para el Estado de Veracruz de Ignacio de la Llave y declaró la invalidez de los artículos 48 en la porción normativa que indica “de la Unidad de Fiscalización y”, así como “en sus respectivos ámbitos de competencia,”; 49 en la porción normativa que indica: “y el respeto a los topes de gastos de precampaña y campaña”; 50, apartado B, fracción IV, 67, 296 y 305 del Código Número 577 Electoral para el Estado de Veracruz de Ignacio de la Llave.</w:t>
            </w:r>
          </w:p>
          <w:p w14:paraId="5C833906" w14:textId="77777777" w:rsidR="007B18DF" w:rsidRPr="00ED2D84" w:rsidRDefault="007B18DF" w:rsidP="007B18DF">
            <w:pPr>
              <w:pStyle w:val="corte4fondo"/>
              <w:tabs>
                <w:tab w:val="left" w:pos="252"/>
              </w:tabs>
              <w:spacing w:line="240" w:lineRule="auto"/>
              <w:ind w:left="170" w:right="198"/>
              <w:rPr>
                <w:rFonts w:cs="Arial"/>
                <w:sz w:val="20"/>
                <w:lang w:val="es-MX"/>
              </w:rPr>
            </w:pPr>
          </w:p>
          <w:p w14:paraId="312F8DBF"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Resolutivo.</w:t>
            </w:r>
          </w:p>
          <w:p w14:paraId="085DA7D0"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0BFB9EB9"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4F04CF9C"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069D7A8D"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627335C2" w14:textId="77777777" w:rsidR="007B18DF" w:rsidRDefault="007B18DF" w:rsidP="007B18DF">
            <w:pPr>
              <w:ind w:left="170" w:right="198"/>
              <w:jc w:val="both"/>
              <w:rPr>
                <w:rFonts w:ascii="Arial" w:hAnsi="Arial" w:cs="Arial"/>
                <w:b/>
                <w:sz w:val="20"/>
                <w:szCs w:val="20"/>
              </w:rPr>
            </w:pPr>
          </w:p>
          <w:p w14:paraId="78E238B4" w14:textId="77777777" w:rsidR="007B18DF" w:rsidRPr="00ED2D84" w:rsidRDefault="007B18DF" w:rsidP="007B18DF">
            <w:pPr>
              <w:ind w:left="170" w:right="198"/>
              <w:jc w:val="both"/>
              <w:rPr>
                <w:rFonts w:ascii="Arial" w:hAnsi="Arial" w:cs="Arial"/>
                <w:sz w:val="20"/>
                <w:szCs w:val="20"/>
              </w:rPr>
            </w:pPr>
            <w:r w:rsidRPr="00ED2D84">
              <w:rPr>
                <w:rFonts w:ascii="Arial" w:hAnsi="Arial" w:cs="Arial"/>
                <w:b/>
                <w:sz w:val="20"/>
                <w:szCs w:val="20"/>
              </w:rPr>
              <w:t>SÉPTIMO.</w:t>
            </w:r>
            <w:r w:rsidRPr="00ED2D84">
              <w:rPr>
                <w:rFonts w:ascii="Arial" w:hAnsi="Arial" w:cs="Arial"/>
                <w:sz w:val="20"/>
                <w:szCs w:val="20"/>
              </w:rPr>
              <w:t xml:space="preserve"> Se reconoce la validez de los artículos 16, párrafos primero y séptimo, 29, fracciones VI y VII, 30, 31, 32, 35, 40, 41, 42, fracción V, 48 —con excepción de las porciones normativas que indican </w:t>
            </w:r>
            <w:r w:rsidRPr="00ED2D84">
              <w:rPr>
                <w:rFonts w:ascii="Arial" w:hAnsi="Arial" w:cs="Arial"/>
                <w:i/>
                <w:sz w:val="20"/>
                <w:szCs w:val="20"/>
              </w:rPr>
              <w:t>“de la Unidad de Fiscalización y”</w:t>
            </w:r>
            <w:r w:rsidRPr="00ED2D84">
              <w:rPr>
                <w:rFonts w:ascii="Arial" w:hAnsi="Arial" w:cs="Arial"/>
                <w:sz w:val="20"/>
                <w:szCs w:val="20"/>
              </w:rPr>
              <w:t xml:space="preserve">, así como </w:t>
            </w:r>
            <w:r w:rsidRPr="00ED2D84">
              <w:rPr>
                <w:rFonts w:ascii="Arial" w:hAnsi="Arial" w:cs="Arial"/>
                <w:i/>
                <w:sz w:val="20"/>
                <w:szCs w:val="20"/>
              </w:rPr>
              <w:t>“en sus respectivos ámbitos de competencia,”</w:t>
            </w:r>
            <w:r w:rsidRPr="00ED2D84">
              <w:rPr>
                <w:rFonts w:ascii="Arial" w:hAnsi="Arial" w:cs="Arial"/>
                <w:sz w:val="20"/>
                <w:szCs w:val="20"/>
              </w:rPr>
              <w:t>—, 50, apartado B, fracción III, 69, párrafo último, 108, fracciones X y XXXVII, 115, fracciones I, XIII y XVI, 122, 140, párrafo primero, 147, párrafo primero, 154, 155, este último en términos de la interpretación conforme contenida en el considerando vigésimo primero de este fallo, en el sentido de que se excluya a los representantes de los partidos políticos ante el Consejo General del Instituto Electoral Veracruzano, 233, 262, 287, fracción V, 293 y 410 del Código Número 577 Electoral para el Estado de Veracruz de Ignacio de la Llave, publicado el primero de julio de dos mil quince en la Gaceta Oficial de la Entidad.</w:t>
            </w:r>
          </w:p>
          <w:p w14:paraId="19A63A71"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191CCE01"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0117C4C0"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07E398B3" w14:textId="77777777" w:rsidR="007B18DF" w:rsidRDefault="007B18DF" w:rsidP="007B18DF">
            <w:pPr>
              <w:pStyle w:val="corte4fondo"/>
              <w:spacing w:line="240" w:lineRule="auto"/>
              <w:ind w:left="170" w:right="198" w:firstLine="0"/>
              <w:rPr>
                <w:rFonts w:cs="Arial"/>
                <w:b/>
                <w:sz w:val="20"/>
              </w:rPr>
            </w:pPr>
            <w:r w:rsidRPr="00ED2D84">
              <w:rPr>
                <w:rFonts w:cs="Arial"/>
                <w:b/>
                <w:sz w:val="20"/>
              </w:rPr>
              <w:t>(…)</w:t>
            </w:r>
          </w:p>
          <w:p w14:paraId="4165BF2E" w14:textId="77777777" w:rsidR="007B18DF" w:rsidRDefault="007B18DF" w:rsidP="007B18DF">
            <w:pPr>
              <w:pStyle w:val="corte4fondo"/>
              <w:spacing w:line="240" w:lineRule="auto"/>
              <w:ind w:left="170" w:right="198" w:firstLine="0"/>
              <w:rPr>
                <w:rFonts w:cs="Arial"/>
                <w:b/>
                <w:sz w:val="20"/>
              </w:rPr>
            </w:pPr>
          </w:p>
          <w:p w14:paraId="776416DF"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En relación con el punto resolutivo séptimo:</w:t>
            </w:r>
          </w:p>
          <w:p w14:paraId="55CE525C"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673A7C3F"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49BD5B25"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lastRenderedPageBreak/>
              <w:t>.</w:t>
            </w:r>
          </w:p>
          <w:p w14:paraId="005E879E"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45855E76" w14:textId="77777777" w:rsidR="007B18DF" w:rsidRPr="00ED2D84" w:rsidRDefault="007B18DF" w:rsidP="007B18DF">
            <w:pPr>
              <w:spacing w:before="100" w:beforeAutospacing="1"/>
              <w:ind w:left="170" w:right="198"/>
              <w:jc w:val="both"/>
              <w:rPr>
                <w:rFonts w:ascii="Arial" w:hAnsi="Arial" w:cs="Arial"/>
                <w:sz w:val="20"/>
                <w:szCs w:val="20"/>
              </w:rPr>
            </w:pPr>
            <w:r w:rsidRPr="00ED2D84">
              <w:rPr>
                <w:rFonts w:ascii="Arial" w:hAnsi="Arial" w:cs="Arial"/>
                <w:sz w:val="20"/>
                <w:szCs w:val="20"/>
              </w:rPr>
              <w:t>Se aprobó por unanimidad de nueve votos de los señores Ministros Gutiérrez Ortiz Mena, Cossío Díaz, Luna Ramos en contra de consideraciones, Franco González Salas, Zaldívar Lelo de Larrea, Pardo Rebolledo, Medina Mora I., Sánchez Cordero de García Villegas y Presidente Aguilar Morales, respecto del considerando décimo tercero, en su primera y segunda partes, apartado I, consistente en el reconocimiento de validez de los artículos 29, fracciones VI y VII, 30, 31, 32, 35, 108, fracción X, y 122 del Código Número 577 Electoral para el Estado de Veracruz de Ignacio de la Llave.</w:t>
            </w:r>
          </w:p>
          <w:p w14:paraId="2885B933"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2D1EA3B5"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0B7B29DA"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0F015489" w14:textId="77777777" w:rsidR="007B18DF" w:rsidRPr="00ED2D84" w:rsidRDefault="007B18DF" w:rsidP="007B18DF">
            <w:pPr>
              <w:pStyle w:val="corte4fondo"/>
              <w:spacing w:line="240" w:lineRule="auto"/>
              <w:ind w:left="170" w:right="198" w:firstLine="0"/>
              <w:rPr>
                <w:rFonts w:cs="Arial"/>
                <w:b/>
                <w:sz w:val="20"/>
              </w:rPr>
            </w:pPr>
            <w:r w:rsidRPr="00ED2D84">
              <w:rPr>
                <w:rFonts w:cs="Arial"/>
                <w:b/>
                <w:sz w:val="20"/>
              </w:rPr>
              <w:t>(…)</w:t>
            </w:r>
          </w:p>
          <w:p w14:paraId="61B26F42" w14:textId="77777777" w:rsidR="007B18DF" w:rsidRPr="00ED2D84" w:rsidRDefault="007B18DF" w:rsidP="007B18DF">
            <w:pPr>
              <w:pStyle w:val="Prrafodelista"/>
              <w:shd w:val="clear" w:color="auto" w:fill="FFFFFF"/>
              <w:ind w:left="170" w:right="198"/>
              <w:jc w:val="both"/>
              <w:rPr>
                <w:rFonts w:ascii="Arial" w:hAnsi="Arial" w:cs="Arial"/>
                <w:b/>
                <w:sz w:val="20"/>
                <w:szCs w:val="20"/>
              </w:rPr>
            </w:pPr>
          </w:p>
        </w:tc>
      </w:tr>
      <w:tr w:rsidR="000241BA" w:rsidRPr="00ED2D84" w14:paraId="6B715D5B" w14:textId="77777777" w:rsidTr="00C75296">
        <w:trPr>
          <w:trHeight w:val="283"/>
        </w:trPr>
        <w:tc>
          <w:tcPr>
            <w:tcW w:w="1877" w:type="dxa"/>
            <w:vAlign w:val="center"/>
          </w:tcPr>
          <w:p w14:paraId="7C463D4B" w14:textId="77777777" w:rsidR="000241BA" w:rsidRPr="008F2348" w:rsidRDefault="00AF100A" w:rsidP="00C75296">
            <w:pPr>
              <w:pStyle w:val="TableParagraph"/>
              <w:spacing w:before="240" w:after="240" w:line="240" w:lineRule="exact"/>
              <w:ind w:left="57" w:right="57"/>
              <w:contextualSpacing/>
              <w:jc w:val="center"/>
              <w:rPr>
                <w:rFonts w:ascii="Arial" w:hAnsi="Arial" w:cs="Arial"/>
                <w:sz w:val="20"/>
                <w:szCs w:val="20"/>
              </w:rPr>
            </w:pPr>
            <w:hyperlink r:id="rId16" w:history="1">
              <w:r w:rsidR="000241BA" w:rsidRPr="004F3A3F">
                <w:rPr>
                  <w:rStyle w:val="Hipervnculo"/>
                  <w:rFonts w:ascii="Arial" w:hAnsi="Arial" w:cs="Arial"/>
                  <w:sz w:val="20"/>
                  <w:szCs w:val="20"/>
                </w:rPr>
                <w:t>35/2014 Y SUS ACUMULADAS 74/2014, 76/2014 Y 83/2014</w:t>
              </w:r>
            </w:hyperlink>
          </w:p>
          <w:p w14:paraId="2DAA719D" w14:textId="77777777" w:rsidR="000241BA" w:rsidRPr="008F2348" w:rsidRDefault="000241BA" w:rsidP="00C75296">
            <w:pPr>
              <w:pStyle w:val="TableParagraph"/>
              <w:spacing w:before="240" w:after="240" w:line="240" w:lineRule="exact"/>
              <w:ind w:left="57" w:right="57"/>
              <w:contextualSpacing/>
              <w:jc w:val="center"/>
              <w:rPr>
                <w:rFonts w:ascii="Arial" w:hAnsi="Arial" w:cs="Arial"/>
                <w:sz w:val="20"/>
                <w:szCs w:val="20"/>
              </w:rPr>
            </w:pPr>
          </w:p>
          <w:p w14:paraId="7ED5682D" w14:textId="77777777" w:rsidR="000241BA" w:rsidRPr="005D72A3" w:rsidRDefault="000241BA" w:rsidP="00C75296">
            <w:pPr>
              <w:pStyle w:val="TableParagraph"/>
              <w:spacing w:before="240" w:after="240" w:line="240" w:lineRule="exact"/>
              <w:ind w:left="57" w:right="57"/>
              <w:contextualSpacing/>
              <w:jc w:val="center"/>
              <w:rPr>
                <w:rFonts w:ascii="Arial" w:hAnsi="Arial" w:cs="Arial"/>
                <w:b/>
                <w:sz w:val="20"/>
                <w:szCs w:val="20"/>
              </w:rPr>
            </w:pPr>
          </w:p>
          <w:p w14:paraId="43944973" w14:textId="6FFDC9A8" w:rsidR="000241BA" w:rsidRPr="00ED2D84" w:rsidRDefault="000241BA" w:rsidP="00C75296">
            <w:pPr>
              <w:ind w:left="170" w:right="198"/>
              <w:jc w:val="center"/>
              <w:rPr>
                <w:rFonts w:ascii="Arial" w:hAnsi="Arial" w:cs="Arial"/>
                <w:b/>
                <w:sz w:val="20"/>
                <w:szCs w:val="20"/>
                <w:lang w:val="es-MX"/>
              </w:rPr>
            </w:pPr>
            <w:r w:rsidRPr="005D72A3">
              <w:rPr>
                <w:rFonts w:ascii="Arial" w:hAnsi="Arial" w:cs="Arial"/>
                <w:b/>
                <w:sz w:val="20"/>
                <w:szCs w:val="20"/>
              </w:rPr>
              <w:t>Chiapas</w:t>
            </w:r>
          </w:p>
        </w:tc>
        <w:tc>
          <w:tcPr>
            <w:tcW w:w="12294" w:type="dxa"/>
          </w:tcPr>
          <w:p w14:paraId="1ABEC236" w14:textId="77777777" w:rsidR="000241BA" w:rsidRDefault="000241BA" w:rsidP="000241BA">
            <w:pPr>
              <w:pStyle w:val="Prrafodelista"/>
              <w:ind w:left="144" w:right="286"/>
              <w:jc w:val="both"/>
              <w:rPr>
                <w:rFonts w:ascii="Arial" w:hAnsi="Arial" w:cs="Arial"/>
                <w:sz w:val="20"/>
                <w:szCs w:val="20"/>
                <w:lang w:val="es-MX"/>
              </w:rPr>
            </w:pPr>
          </w:p>
          <w:p w14:paraId="232D514F" w14:textId="77777777" w:rsidR="000241BA" w:rsidRPr="00F33DC2" w:rsidRDefault="000241BA" w:rsidP="003737BE">
            <w:pPr>
              <w:pStyle w:val="Prrafodelista"/>
              <w:numPr>
                <w:ilvl w:val="0"/>
                <w:numId w:val="12"/>
              </w:numPr>
              <w:ind w:left="252" w:right="286" w:hanging="142"/>
              <w:jc w:val="both"/>
              <w:rPr>
                <w:rFonts w:ascii="Arial" w:hAnsi="Arial" w:cs="Arial"/>
                <w:b/>
                <w:sz w:val="20"/>
                <w:szCs w:val="20"/>
                <w:lang w:val="es-MX"/>
              </w:rPr>
            </w:pPr>
            <w:r w:rsidRPr="00F33DC2">
              <w:rPr>
                <w:rFonts w:ascii="Arial" w:hAnsi="Arial" w:cs="Arial"/>
                <w:b/>
                <w:sz w:val="20"/>
                <w:szCs w:val="20"/>
                <w:lang w:val="es-MX"/>
              </w:rPr>
              <w:t>Invasión a la facultad conferida a la Unidad de Fiscalización del Instituto Nacional Electoral.</w:t>
            </w:r>
          </w:p>
          <w:p w14:paraId="1C950650" w14:textId="77777777" w:rsidR="000241BA" w:rsidRDefault="000241BA" w:rsidP="000241BA">
            <w:pPr>
              <w:pStyle w:val="Prrafodelista"/>
              <w:ind w:left="144" w:right="286"/>
              <w:jc w:val="both"/>
              <w:rPr>
                <w:rFonts w:ascii="Arial" w:hAnsi="Arial" w:cs="Arial"/>
                <w:sz w:val="20"/>
                <w:szCs w:val="20"/>
                <w:lang w:val="es-MX"/>
              </w:rPr>
            </w:pPr>
          </w:p>
          <w:p w14:paraId="1C1FF0E6" w14:textId="77777777" w:rsidR="000241BA" w:rsidRDefault="000241BA" w:rsidP="000241BA">
            <w:pPr>
              <w:pStyle w:val="Prrafodelista"/>
              <w:ind w:left="144" w:right="286"/>
              <w:jc w:val="both"/>
              <w:rPr>
                <w:rFonts w:ascii="Arial" w:hAnsi="Arial" w:cs="Arial"/>
                <w:sz w:val="20"/>
                <w:szCs w:val="20"/>
                <w:lang w:val="es-MX"/>
              </w:rPr>
            </w:pPr>
            <w:r w:rsidRPr="003E3C9A">
              <w:rPr>
                <w:rFonts w:ascii="Arial" w:hAnsi="Arial" w:cs="Arial"/>
                <w:sz w:val="20"/>
                <w:szCs w:val="20"/>
                <w:lang w:val="es-MX"/>
              </w:rPr>
              <w:t>El Partido de la Revolución Democrática</w:t>
            </w:r>
            <w:r>
              <w:rPr>
                <w:rFonts w:ascii="Arial" w:hAnsi="Arial" w:cs="Arial"/>
                <w:sz w:val="20"/>
                <w:szCs w:val="20"/>
                <w:lang w:val="es-MX"/>
              </w:rPr>
              <w:t xml:space="preserve">, impugnó </w:t>
            </w:r>
            <w:r w:rsidRPr="003E3C9A">
              <w:rPr>
                <w:rFonts w:ascii="Arial" w:hAnsi="Arial" w:cs="Arial"/>
                <w:sz w:val="20"/>
                <w:szCs w:val="20"/>
                <w:lang w:val="es-MX"/>
              </w:rPr>
              <w:t xml:space="preserve">el artículo décimo primero transitorio del </w:t>
            </w:r>
            <w:r w:rsidRPr="00F33DC2">
              <w:rPr>
                <w:rFonts w:ascii="Arial" w:hAnsi="Arial" w:cs="Arial"/>
                <w:sz w:val="20"/>
                <w:szCs w:val="20"/>
                <w:lang w:val="es-MX"/>
              </w:rPr>
              <w:t>Decreto número 521</w:t>
            </w:r>
            <w:r w:rsidRPr="003E3C9A">
              <w:rPr>
                <w:rFonts w:ascii="Arial" w:hAnsi="Arial" w:cs="Arial"/>
                <w:sz w:val="20"/>
                <w:szCs w:val="20"/>
                <w:lang w:val="es-MX"/>
              </w:rPr>
              <w:t xml:space="preserve">, </w:t>
            </w:r>
            <w:r w:rsidRPr="00F33DC2">
              <w:rPr>
                <w:rFonts w:ascii="Arial" w:hAnsi="Arial" w:cs="Arial"/>
                <w:sz w:val="20"/>
                <w:szCs w:val="20"/>
                <w:lang w:val="es-MX"/>
              </w:rPr>
              <w:t>que dispone que</w:t>
            </w:r>
            <w:r>
              <w:rPr>
                <w:rFonts w:ascii="Arial" w:hAnsi="Arial" w:cs="Arial"/>
                <w:sz w:val="20"/>
                <w:szCs w:val="20"/>
                <w:lang w:val="es-MX"/>
              </w:rPr>
              <w:t xml:space="preserve"> </w:t>
            </w:r>
            <w:r w:rsidRPr="00F33DC2">
              <w:rPr>
                <w:rFonts w:ascii="Arial" w:hAnsi="Arial" w:cs="Arial"/>
                <w:sz w:val="20"/>
                <w:szCs w:val="20"/>
                <w:lang w:val="es-MX"/>
              </w:rPr>
              <w:t xml:space="preserve">los gastos realizados por los </w:t>
            </w:r>
            <w:r>
              <w:rPr>
                <w:rFonts w:ascii="Arial" w:hAnsi="Arial" w:cs="Arial"/>
                <w:sz w:val="20"/>
                <w:szCs w:val="20"/>
                <w:lang w:val="es-MX"/>
              </w:rPr>
              <w:t>p</w:t>
            </w:r>
            <w:r w:rsidRPr="00F33DC2">
              <w:rPr>
                <w:rFonts w:ascii="Arial" w:hAnsi="Arial" w:cs="Arial"/>
                <w:sz w:val="20"/>
                <w:szCs w:val="20"/>
                <w:lang w:val="es-MX"/>
              </w:rPr>
              <w:t xml:space="preserve">artidos </w:t>
            </w:r>
            <w:r>
              <w:rPr>
                <w:rFonts w:ascii="Arial" w:hAnsi="Arial" w:cs="Arial"/>
                <w:sz w:val="20"/>
                <w:szCs w:val="20"/>
                <w:lang w:val="es-MX"/>
              </w:rPr>
              <w:t>p</w:t>
            </w:r>
            <w:r w:rsidRPr="00F33DC2">
              <w:rPr>
                <w:rFonts w:ascii="Arial" w:hAnsi="Arial" w:cs="Arial"/>
                <w:sz w:val="20"/>
                <w:szCs w:val="20"/>
                <w:lang w:val="es-MX"/>
              </w:rPr>
              <w:t>olíticos en la entidad, hasta</w:t>
            </w:r>
            <w:r>
              <w:rPr>
                <w:rFonts w:ascii="Arial" w:hAnsi="Arial" w:cs="Arial"/>
                <w:sz w:val="20"/>
                <w:szCs w:val="20"/>
                <w:lang w:val="es-MX"/>
              </w:rPr>
              <w:t xml:space="preserve"> </w:t>
            </w:r>
            <w:r w:rsidRPr="00F33DC2">
              <w:rPr>
                <w:rFonts w:ascii="Arial" w:hAnsi="Arial" w:cs="Arial"/>
                <w:sz w:val="20"/>
                <w:szCs w:val="20"/>
                <w:lang w:val="es-MX"/>
              </w:rPr>
              <w:t>antes de la entrada en vigor de las Leyes Generales, serán</w:t>
            </w:r>
            <w:r>
              <w:rPr>
                <w:rFonts w:ascii="Arial" w:hAnsi="Arial" w:cs="Arial"/>
                <w:sz w:val="20"/>
                <w:szCs w:val="20"/>
                <w:lang w:val="es-MX"/>
              </w:rPr>
              <w:t xml:space="preserve"> </w:t>
            </w:r>
            <w:r w:rsidRPr="00F33DC2">
              <w:rPr>
                <w:rFonts w:ascii="Arial" w:hAnsi="Arial" w:cs="Arial"/>
                <w:sz w:val="20"/>
                <w:szCs w:val="20"/>
                <w:lang w:val="es-MX"/>
              </w:rPr>
              <w:t>fiscalizados por el Instituto de Elecciones y Participación Ciudadana</w:t>
            </w:r>
            <w:r>
              <w:rPr>
                <w:rFonts w:ascii="Arial" w:hAnsi="Arial" w:cs="Arial"/>
                <w:sz w:val="20"/>
                <w:szCs w:val="20"/>
                <w:lang w:val="es-MX"/>
              </w:rPr>
              <w:t xml:space="preserve"> </w:t>
            </w:r>
            <w:r w:rsidRPr="00F33DC2">
              <w:rPr>
                <w:rFonts w:ascii="Arial" w:hAnsi="Arial" w:cs="Arial"/>
                <w:sz w:val="20"/>
                <w:szCs w:val="20"/>
                <w:lang w:val="es-MX"/>
              </w:rPr>
              <w:t>del Estado de Chiapas, es inconstitucional al quitar al I</w:t>
            </w:r>
            <w:r>
              <w:rPr>
                <w:rFonts w:ascii="Arial" w:hAnsi="Arial" w:cs="Arial"/>
                <w:sz w:val="20"/>
                <w:szCs w:val="20"/>
                <w:lang w:val="es-MX"/>
              </w:rPr>
              <w:t>NE</w:t>
            </w:r>
            <w:r w:rsidRPr="00F33DC2">
              <w:rPr>
                <w:rFonts w:ascii="Arial" w:hAnsi="Arial" w:cs="Arial"/>
                <w:sz w:val="20"/>
                <w:szCs w:val="20"/>
                <w:lang w:val="es-MX"/>
              </w:rPr>
              <w:t xml:space="preserve"> la facultad de fiscalización para el ejercicio </w:t>
            </w:r>
            <w:r>
              <w:rPr>
                <w:rFonts w:ascii="Arial" w:hAnsi="Arial" w:cs="Arial"/>
                <w:sz w:val="20"/>
                <w:szCs w:val="20"/>
                <w:lang w:val="es-MX"/>
              </w:rPr>
              <w:t>2014</w:t>
            </w:r>
            <w:r w:rsidRPr="00F33DC2">
              <w:rPr>
                <w:rFonts w:ascii="Arial" w:hAnsi="Arial" w:cs="Arial"/>
                <w:sz w:val="20"/>
                <w:szCs w:val="20"/>
                <w:lang w:val="es-MX"/>
              </w:rPr>
              <w:t xml:space="preserve">, lo que </w:t>
            </w:r>
            <w:r>
              <w:rPr>
                <w:rFonts w:ascii="Arial" w:hAnsi="Arial" w:cs="Arial"/>
                <w:sz w:val="20"/>
                <w:szCs w:val="20"/>
                <w:lang w:val="es-MX"/>
              </w:rPr>
              <w:t>vulnera</w:t>
            </w:r>
            <w:r w:rsidRPr="00F33DC2">
              <w:rPr>
                <w:rFonts w:ascii="Arial" w:hAnsi="Arial" w:cs="Arial"/>
                <w:sz w:val="20"/>
                <w:szCs w:val="20"/>
                <w:lang w:val="es-MX"/>
              </w:rPr>
              <w:t xml:space="preserve"> el artículo transitorio segundo inciso g) del</w:t>
            </w:r>
            <w:r>
              <w:rPr>
                <w:rFonts w:ascii="Arial" w:hAnsi="Arial" w:cs="Arial"/>
                <w:sz w:val="20"/>
                <w:szCs w:val="20"/>
                <w:lang w:val="es-MX"/>
              </w:rPr>
              <w:t xml:space="preserve"> </w:t>
            </w:r>
            <w:r w:rsidRPr="00F33DC2">
              <w:rPr>
                <w:rFonts w:ascii="Arial" w:hAnsi="Arial" w:cs="Arial"/>
                <w:sz w:val="20"/>
                <w:szCs w:val="20"/>
                <w:lang w:val="es-MX"/>
              </w:rPr>
              <w:t>Decreto de reformas a la Constitución General, la Ley General de</w:t>
            </w:r>
            <w:r>
              <w:rPr>
                <w:rFonts w:ascii="Arial" w:hAnsi="Arial" w:cs="Arial"/>
                <w:sz w:val="20"/>
                <w:szCs w:val="20"/>
                <w:lang w:val="es-MX"/>
              </w:rPr>
              <w:t xml:space="preserve"> </w:t>
            </w:r>
            <w:r w:rsidRPr="00F33DC2">
              <w:rPr>
                <w:rFonts w:ascii="Arial" w:hAnsi="Arial" w:cs="Arial"/>
                <w:sz w:val="20"/>
                <w:szCs w:val="20"/>
                <w:lang w:val="es-MX"/>
              </w:rPr>
              <w:t>Partidos Políticos y la Ley General de Instituciones y Procedimientos</w:t>
            </w:r>
            <w:r>
              <w:rPr>
                <w:rFonts w:ascii="Arial" w:hAnsi="Arial" w:cs="Arial"/>
                <w:sz w:val="20"/>
                <w:szCs w:val="20"/>
                <w:lang w:val="es-MX"/>
              </w:rPr>
              <w:t xml:space="preserve"> </w:t>
            </w:r>
            <w:r w:rsidRPr="00F33DC2">
              <w:rPr>
                <w:rFonts w:ascii="Arial" w:hAnsi="Arial" w:cs="Arial"/>
                <w:sz w:val="20"/>
                <w:szCs w:val="20"/>
                <w:lang w:val="es-MX"/>
              </w:rPr>
              <w:t>Electorales.</w:t>
            </w:r>
            <w:r w:rsidRPr="00F33DC2">
              <w:rPr>
                <w:rFonts w:ascii="Arial" w:hAnsi="Arial" w:cs="Arial"/>
                <w:sz w:val="20"/>
                <w:szCs w:val="20"/>
                <w:lang w:val="es-MX"/>
              </w:rPr>
              <w:cr/>
            </w:r>
          </w:p>
          <w:p w14:paraId="1069661F" w14:textId="77777777" w:rsidR="000241BA" w:rsidRPr="00F24D29" w:rsidRDefault="000241BA" w:rsidP="000241BA">
            <w:pPr>
              <w:pStyle w:val="Prrafodelista"/>
              <w:ind w:left="144" w:right="286"/>
              <w:jc w:val="both"/>
              <w:rPr>
                <w:rFonts w:ascii="Arial" w:hAnsi="Arial" w:cs="Arial"/>
                <w:b/>
                <w:sz w:val="20"/>
                <w:szCs w:val="20"/>
                <w:lang w:val="es-MX"/>
              </w:rPr>
            </w:pPr>
            <w:r w:rsidRPr="00F24D29">
              <w:rPr>
                <w:rFonts w:ascii="Arial" w:hAnsi="Arial" w:cs="Arial"/>
                <w:b/>
                <w:sz w:val="20"/>
                <w:szCs w:val="20"/>
                <w:lang w:val="es-MX"/>
              </w:rPr>
              <w:t>Consideraciones</w:t>
            </w:r>
          </w:p>
          <w:p w14:paraId="367F8070" w14:textId="77777777" w:rsidR="000241BA" w:rsidRPr="003E3C9A" w:rsidRDefault="000241BA" w:rsidP="000241BA">
            <w:pPr>
              <w:pStyle w:val="Prrafodelista"/>
              <w:ind w:left="144" w:right="286"/>
              <w:jc w:val="both"/>
              <w:rPr>
                <w:rFonts w:ascii="Arial" w:hAnsi="Arial" w:cs="Arial"/>
                <w:sz w:val="20"/>
                <w:szCs w:val="20"/>
                <w:lang w:val="es-MX"/>
              </w:rPr>
            </w:pPr>
          </w:p>
          <w:p w14:paraId="546F25F9" w14:textId="77777777" w:rsidR="000241BA" w:rsidRPr="003E3C9A" w:rsidRDefault="000241BA" w:rsidP="000241BA">
            <w:pPr>
              <w:pStyle w:val="Prrafodelista"/>
              <w:ind w:left="144" w:right="286"/>
              <w:jc w:val="both"/>
              <w:rPr>
                <w:rFonts w:ascii="Arial" w:hAnsi="Arial" w:cs="Arial"/>
                <w:sz w:val="20"/>
                <w:szCs w:val="20"/>
                <w:lang w:val="es-MX"/>
              </w:rPr>
            </w:pPr>
            <w:r w:rsidRPr="003E3C9A">
              <w:rPr>
                <w:rFonts w:ascii="Arial" w:hAnsi="Arial" w:cs="Arial"/>
                <w:sz w:val="20"/>
                <w:szCs w:val="20"/>
                <w:lang w:val="es-MX"/>
              </w:rPr>
              <w:t xml:space="preserve">El </w:t>
            </w:r>
            <w:r>
              <w:rPr>
                <w:rFonts w:ascii="Arial" w:hAnsi="Arial" w:cs="Arial"/>
                <w:sz w:val="20"/>
                <w:szCs w:val="20"/>
                <w:lang w:val="es-MX"/>
              </w:rPr>
              <w:t xml:space="preserve">Pleno de la SCJN, </w:t>
            </w:r>
            <w:r w:rsidRPr="00164F90">
              <w:rPr>
                <w:rFonts w:ascii="Arial" w:hAnsi="Arial" w:cs="Arial"/>
                <w:b/>
                <w:sz w:val="20"/>
                <w:szCs w:val="20"/>
                <w:lang w:val="es-MX"/>
              </w:rPr>
              <w:t>reconoció la validez</w:t>
            </w:r>
            <w:r>
              <w:rPr>
                <w:rFonts w:ascii="Arial" w:hAnsi="Arial" w:cs="Arial"/>
                <w:sz w:val="20"/>
                <w:szCs w:val="20"/>
                <w:lang w:val="es-MX"/>
              </w:rPr>
              <w:t xml:space="preserve"> del </w:t>
            </w:r>
            <w:r w:rsidRPr="00164F90">
              <w:rPr>
                <w:rFonts w:ascii="Arial" w:hAnsi="Arial" w:cs="Arial"/>
                <w:sz w:val="20"/>
                <w:szCs w:val="20"/>
                <w:lang w:val="es-MX"/>
              </w:rPr>
              <w:t>artículo décimo primero transitorio del Decreto número 521</w:t>
            </w:r>
            <w:r>
              <w:rPr>
                <w:rFonts w:ascii="Arial" w:hAnsi="Arial" w:cs="Arial"/>
                <w:sz w:val="20"/>
                <w:szCs w:val="20"/>
                <w:lang w:val="es-MX"/>
              </w:rPr>
              <w:t>, al considerar que el</w:t>
            </w:r>
            <w:r w:rsidRPr="003E3C9A">
              <w:rPr>
                <w:rFonts w:ascii="Arial" w:hAnsi="Arial" w:cs="Arial"/>
                <w:sz w:val="20"/>
                <w:szCs w:val="20"/>
                <w:lang w:val="es-MX"/>
              </w:rPr>
              <w:t xml:space="preserve"> artículo 41, base V, apartado B, inciso a) numeral 6 constitucional, </w:t>
            </w:r>
            <w:r>
              <w:rPr>
                <w:rFonts w:ascii="Arial" w:hAnsi="Arial" w:cs="Arial"/>
                <w:sz w:val="20"/>
                <w:szCs w:val="20"/>
                <w:lang w:val="es-MX"/>
              </w:rPr>
              <w:t>es el precepto que</w:t>
            </w:r>
            <w:r w:rsidRPr="003E3C9A">
              <w:rPr>
                <w:rFonts w:ascii="Arial" w:hAnsi="Arial" w:cs="Arial"/>
                <w:sz w:val="20"/>
                <w:szCs w:val="20"/>
                <w:lang w:val="es-MX"/>
              </w:rPr>
              <w:t xml:space="preserve"> establece que corresponde al I</w:t>
            </w:r>
            <w:r>
              <w:rPr>
                <w:rFonts w:ascii="Arial" w:hAnsi="Arial" w:cs="Arial"/>
                <w:sz w:val="20"/>
                <w:szCs w:val="20"/>
                <w:lang w:val="es-MX"/>
              </w:rPr>
              <w:t>NE, realizar</w:t>
            </w:r>
            <w:r w:rsidRPr="003E3C9A">
              <w:rPr>
                <w:rFonts w:ascii="Arial" w:hAnsi="Arial" w:cs="Arial"/>
                <w:sz w:val="20"/>
                <w:szCs w:val="20"/>
                <w:lang w:val="es-MX"/>
              </w:rPr>
              <w:t xml:space="preserve"> la fiscalización de los ingresos y egresos de los partidos políticos y candidatos, para la implementación de dicha atribución, en el régimen transitorio de la reforma constitucional de </w:t>
            </w:r>
            <w:r>
              <w:rPr>
                <w:rFonts w:ascii="Arial" w:hAnsi="Arial" w:cs="Arial"/>
                <w:sz w:val="20"/>
                <w:szCs w:val="20"/>
                <w:lang w:val="es-MX"/>
              </w:rPr>
              <w:t>10</w:t>
            </w:r>
            <w:r w:rsidRPr="003E3C9A">
              <w:rPr>
                <w:rFonts w:ascii="Arial" w:hAnsi="Arial" w:cs="Arial"/>
                <w:sz w:val="20"/>
                <w:szCs w:val="20"/>
                <w:lang w:val="es-MX"/>
              </w:rPr>
              <w:t xml:space="preserve"> de febrero de </w:t>
            </w:r>
            <w:r>
              <w:rPr>
                <w:rFonts w:ascii="Arial" w:hAnsi="Arial" w:cs="Arial"/>
                <w:sz w:val="20"/>
                <w:szCs w:val="20"/>
                <w:lang w:val="es-MX"/>
              </w:rPr>
              <w:t>2014, la cual</w:t>
            </w:r>
            <w:r w:rsidRPr="003E3C9A">
              <w:rPr>
                <w:rFonts w:ascii="Arial" w:hAnsi="Arial" w:cs="Arial"/>
                <w:sz w:val="20"/>
                <w:szCs w:val="20"/>
                <w:lang w:val="es-MX"/>
              </w:rPr>
              <w:t xml:space="preserve"> prevé que el Congreso de la Unión</w:t>
            </w:r>
            <w:r>
              <w:rPr>
                <w:rFonts w:ascii="Arial" w:hAnsi="Arial" w:cs="Arial"/>
                <w:sz w:val="20"/>
                <w:szCs w:val="20"/>
                <w:lang w:val="es-MX"/>
              </w:rPr>
              <w:t>,</w:t>
            </w:r>
            <w:r w:rsidRPr="003E3C9A">
              <w:rPr>
                <w:rFonts w:ascii="Arial" w:hAnsi="Arial" w:cs="Arial"/>
                <w:sz w:val="20"/>
                <w:szCs w:val="20"/>
                <w:lang w:val="es-MX"/>
              </w:rPr>
              <w:t xml:space="preserve"> deberá regular un sistema de fiscalización sobre el origen y destino de los recursos con los que cuenten los partidos políticos (segundo transitorio, fracción I, inciso g).</w:t>
            </w:r>
          </w:p>
          <w:p w14:paraId="4710A0C4" w14:textId="77777777" w:rsidR="000241BA" w:rsidRPr="003E3C9A" w:rsidRDefault="000241BA" w:rsidP="000241BA">
            <w:pPr>
              <w:pStyle w:val="Prrafodelista"/>
              <w:ind w:left="144" w:right="286"/>
              <w:jc w:val="both"/>
              <w:rPr>
                <w:rFonts w:ascii="Arial" w:hAnsi="Arial" w:cs="Arial"/>
                <w:sz w:val="20"/>
                <w:szCs w:val="20"/>
                <w:lang w:val="es-MX"/>
              </w:rPr>
            </w:pPr>
          </w:p>
          <w:p w14:paraId="304DC991" w14:textId="77777777" w:rsidR="000241BA" w:rsidRDefault="000241BA" w:rsidP="000241BA">
            <w:pPr>
              <w:pStyle w:val="Prrafodelista"/>
              <w:ind w:left="144"/>
              <w:jc w:val="both"/>
              <w:rPr>
                <w:rFonts w:ascii="Arial" w:hAnsi="Arial" w:cs="Arial"/>
                <w:b/>
                <w:sz w:val="20"/>
                <w:szCs w:val="20"/>
                <w:lang w:val="es-MX"/>
              </w:rPr>
            </w:pPr>
            <w:r>
              <w:rPr>
                <w:rFonts w:ascii="Arial" w:hAnsi="Arial" w:cs="Arial"/>
                <w:b/>
                <w:sz w:val="20"/>
                <w:szCs w:val="20"/>
                <w:lang w:val="es-MX"/>
              </w:rPr>
              <w:t>Resolutivo:</w:t>
            </w:r>
          </w:p>
          <w:p w14:paraId="4F985AB9" w14:textId="77777777" w:rsidR="003737BE" w:rsidRDefault="003737BE" w:rsidP="003737BE">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22DD38C3" w14:textId="77777777" w:rsidR="003737BE" w:rsidRDefault="003737BE" w:rsidP="003737BE">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1BD7443E" w14:textId="77777777" w:rsidR="003737BE" w:rsidRDefault="003737BE" w:rsidP="003737BE">
            <w:pPr>
              <w:pStyle w:val="Prrafodelista"/>
              <w:ind w:left="144" w:right="144"/>
              <w:jc w:val="both"/>
              <w:rPr>
                <w:rFonts w:ascii="Arial" w:hAnsi="Arial" w:cs="Arial"/>
                <w:b/>
                <w:sz w:val="20"/>
                <w:szCs w:val="20"/>
                <w:lang w:val="es-MX"/>
              </w:rPr>
            </w:pPr>
            <w:r>
              <w:rPr>
                <w:rFonts w:ascii="Arial" w:hAnsi="Arial" w:cs="Arial"/>
                <w:b/>
                <w:sz w:val="20"/>
                <w:szCs w:val="20"/>
                <w:lang w:val="es-MX"/>
              </w:rPr>
              <w:t xml:space="preserve">. </w:t>
            </w:r>
          </w:p>
          <w:p w14:paraId="2C61C93A" w14:textId="3B8ED475" w:rsidR="003737BE" w:rsidRDefault="003737BE" w:rsidP="003737BE">
            <w:pPr>
              <w:pStyle w:val="Prrafodelista"/>
              <w:ind w:left="144" w:right="144"/>
              <w:jc w:val="both"/>
              <w:rPr>
                <w:rFonts w:ascii="Arial" w:hAnsi="Arial" w:cs="Arial"/>
                <w:b/>
                <w:sz w:val="20"/>
                <w:szCs w:val="20"/>
                <w:lang w:val="es-MX"/>
              </w:rPr>
            </w:pPr>
            <w:r>
              <w:rPr>
                <w:rFonts w:ascii="Arial" w:hAnsi="Arial" w:cs="Arial"/>
                <w:b/>
                <w:sz w:val="20"/>
                <w:szCs w:val="20"/>
                <w:lang w:val="es-MX"/>
              </w:rPr>
              <w:lastRenderedPageBreak/>
              <w:t>(…)</w:t>
            </w:r>
          </w:p>
          <w:p w14:paraId="71796D15" w14:textId="77777777" w:rsidR="003737BE" w:rsidRDefault="003737BE" w:rsidP="003737BE">
            <w:pPr>
              <w:pStyle w:val="Prrafodelista"/>
              <w:ind w:left="144" w:right="144"/>
              <w:jc w:val="both"/>
              <w:rPr>
                <w:rFonts w:ascii="Arial" w:hAnsi="Arial" w:cs="Arial"/>
                <w:b/>
                <w:sz w:val="20"/>
                <w:szCs w:val="20"/>
                <w:lang w:val="es-MX"/>
              </w:rPr>
            </w:pPr>
          </w:p>
          <w:p w14:paraId="2829FBC1" w14:textId="77777777" w:rsidR="003737BE" w:rsidRDefault="000241BA" w:rsidP="003737BE">
            <w:pPr>
              <w:pStyle w:val="Prrafodelista"/>
              <w:ind w:left="144" w:right="144"/>
              <w:jc w:val="both"/>
              <w:rPr>
                <w:rFonts w:ascii="Arial" w:hAnsi="Arial" w:cs="Arial"/>
                <w:b/>
                <w:sz w:val="20"/>
                <w:szCs w:val="20"/>
                <w:lang w:val="es-MX"/>
              </w:rPr>
            </w:pPr>
            <w:r w:rsidRPr="00F33DC2">
              <w:rPr>
                <w:rFonts w:ascii="Arial" w:hAnsi="Arial" w:cs="Arial"/>
                <w:b/>
                <w:sz w:val="20"/>
                <w:szCs w:val="20"/>
                <w:lang w:val="es-MX"/>
              </w:rPr>
              <w:t>SEXTO.</w:t>
            </w:r>
            <w:r w:rsidRPr="00F33DC2">
              <w:rPr>
                <w:rFonts w:ascii="Arial" w:hAnsi="Arial" w:cs="Arial"/>
                <w:sz w:val="20"/>
                <w:szCs w:val="20"/>
                <w:lang w:val="es-MX"/>
              </w:rPr>
              <w:t xml:space="preserve"> Se reconoció la validez de los artículos 24; 30; 32; 33; 34; 35; 35 Bis; 38; 40, fracción IV; estos dos últimos con la salvedad indicada en el resolutivo quinto de este fallo; 63, tercer párrafo; 109, párrafo penúltimo; 118; 134; 217; 218; 469, fracción X, en términos de la interpretación conforme contenida en el considerando décimo noveno; 508, segundo párrafo; 530, párrafos penúltimo y último; 534; 535 y 536 del Código de Elecciones y Participación Ciudadana del Estado de Chiapas, así como del artículo d</w:t>
            </w:r>
            <w:r w:rsidRPr="00FA4443">
              <w:rPr>
                <w:rFonts w:ascii="Arial" w:hAnsi="Arial" w:cs="Arial"/>
                <w:color w:val="FF0000"/>
                <w:sz w:val="20"/>
                <w:szCs w:val="20"/>
                <w:lang w:val="es-MX"/>
              </w:rPr>
              <w:t xml:space="preserve">écimo primero </w:t>
            </w:r>
            <w:r w:rsidRPr="00ED0A1F">
              <w:rPr>
                <w:rFonts w:ascii="Arial" w:hAnsi="Arial" w:cs="Arial"/>
                <w:color w:val="0D0D0D" w:themeColor="text1" w:themeTint="F2"/>
                <w:sz w:val="20"/>
                <w:szCs w:val="20"/>
                <w:lang w:val="es-MX"/>
              </w:rPr>
              <w:t xml:space="preserve">transitorio </w:t>
            </w:r>
            <w:r w:rsidRPr="00F33DC2">
              <w:rPr>
                <w:rFonts w:ascii="Arial" w:hAnsi="Arial" w:cs="Arial"/>
                <w:sz w:val="20"/>
                <w:szCs w:val="20"/>
                <w:lang w:val="es-MX"/>
              </w:rPr>
              <w:t>del Decreto número 521, por el que se reforman, adicionan y derogan</w:t>
            </w:r>
            <w:r>
              <w:rPr>
                <w:rFonts w:ascii="Arial" w:hAnsi="Arial" w:cs="Arial"/>
                <w:sz w:val="20"/>
                <w:szCs w:val="20"/>
                <w:lang w:val="es-MX"/>
              </w:rPr>
              <w:t xml:space="preserve"> </w:t>
            </w:r>
            <w:r w:rsidRPr="00F33DC2">
              <w:rPr>
                <w:rFonts w:ascii="Arial" w:hAnsi="Arial" w:cs="Arial"/>
                <w:sz w:val="20"/>
                <w:szCs w:val="20"/>
                <w:lang w:val="es-MX"/>
              </w:rPr>
              <w:t>diversas disposiciones del Código de Elecciones y Participación</w:t>
            </w:r>
            <w:r>
              <w:rPr>
                <w:rFonts w:ascii="Arial" w:hAnsi="Arial" w:cs="Arial"/>
                <w:sz w:val="20"/>
                <w:szCs w:val="20"/>
                <w:lang w:val="es-MX"/>
              </w:rPr>
              <w:t xml:space="preserve"> </w:t>
            </w:r>
            <w:r w:rsidRPr="00F33DC2">
              <w:rPr>
                <w:rFonts w:ascii="Arial" w:hAnsi="Arial" w:cs="Arial"/>
                <w:sz w:val="20"/>
                <w:szCs w:val="20"/>
                <w:lang w:val="es-MX"/>
              </w:rPr>
              <w:t>Ciudadana.</w:t>
            </w:r>
            <w:r w:rsidRPr="00F33DC2">
              <w:rPr>
                <w:rFonts w:ascii="Arial" w:hAnsi="Arial" w:cs="Arial"/>
                <w:sz w:val="20"/>
                <w:szCs w:val="20"/>
                <w:lang w:val="es-MX"/>
              </w:rPr>
              <w:cr/>
            </w:r>
            <w:r w:rsidR="003737BE">
              <w:rPr>
                <w:rFonts w:ascii="Arial" w:hAnsi="Arial" w:cs="Arial"/>
                <w:b/>
                <w:sz w:val="20"/>
                <w:szCs w:val="20"/>
                <w:lang w:val="es-MX"/>
              </w:rPr>
              <w:t>.</w:t>
            </w:r>
          </w:p>
          <w:p w14:paraId="6DABDA0D" w14:textId="77777777" w:rsidR="003737BE" w:rsidRDefault="003737BE" w:rsidP="003737BE">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74D914BD" w14:textId="77777777" w:rsidR="003737BE" w:rsidRDefault="003737BE" w:rsidP="003737BE">
            <w:pPr>
              <w:pStyle w:val="Prrafodelista"/>
              <w:ind w:left="144" w:right="144"/>
              <w:jc w:val="both"/>
              <w:rPr>
                <w:rFonts w:ascii="Arial" w:hAnsi="Arial" w:cs="Arial"/>
                <w:b/>
                <w:sz w:val="20"/>
                <w:szCs w:val="20"/>
                <w:lang w:val="es-MX"/>
              </w:rPr>
            </w:pPr>
            <w:r>
              <w:rPr>
                <w:rFonts w:ascii="Arial" w:hAnsi="Arial" w:cs="Arial"/>
                <w:b/>
                <w:sz w:val="20"/>
                <w:szCs w:val="20"/>
                <w:lang w:val="es-MX"/>
              </w:rPr>
              <w:t xml:space="preserve">. </w:t>
            </w:r>
          </w:p>
          <w:p w14:paraId="46FD85C7" w14:textId="77777777" w:rsidR="003737BE" w:rsidRDefault="003737BE" w:rsidP="003737BE">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466E168A" w14:textId="07020B86" w:rsidR="000241BA" w:rsidRDefault="000241BA" w:rsidP="000241BA">
            <w:pPr>
              <w:pStyle w:val="Prrafodelista"/>
              <w:ind w:left="144" w:right="144"/>
              <w:jc w:val="both"/>
              <w:rPr>
                <w:rFonts w:ascii="Arial" w:hAnsi="Arial" w:cs="Arial"/>
                <w:sz w:val="20"/>
                <w:szCs w:val="20"/>
                <w:lang w:val="es-MX"/>
              </w:rPr>
            </w:pPr>
          </w:p>
          <w:p w14:paraId="0863775D" w14:textId="77777777" w:rsidR="000241BA" w:rsidRPr="00D75210" w:rsidRDefault="000241BA" w:rsidP="000241BA">
            <w:pPr>
              <w:pStyle w:val="Prrafodelista"/>
              <w:ind w:left="144" w:right="144"/>
              <w:jc w:val="both"/>
              <w:rPr>
                <w:rFonts w:ascii="Arial" w:hAnsi="Arial" w:cs="Arial"/>
                <w:b/>
                <w:sz w:val="20"/>
                <w:szCs w:val="20"/>
                <w:lang w:val="es-MX"/>
              </w:rPr>
            </w:pPr>
            <w:r w:rsidRPr="00D75210">
              <w:rPr>
                <w:rFonts w:ascii="Arial" w:hAnsi="Arial" w:cs="Arial"/>
                <w:b/>
                <w:sz w:val="20"/>
                <w:szCs w:val="20"/>
                <w:lang w:val="es-MX"/>
              </w:rPr>
              <w:t>En relación con el punto resolutivo sexto:</w:t>
            </w:r>
          </w:p>
          <w:p w14:paraId="6AE6EC58" w14:textId="77777777" w:rsidR="000241BA" w:rsidRPr="00D75210" w:rsidRDefault="000241BA" w:rsidP="000241BA">
            <w:pPr>
              <w:pStyle w:val="Prrafodelista"/>
              <w:ind w:left="144" w:right="144"/>
              <w:jc w:val="both"/>
              <w:rPr>
                <w:rFonts w:ascii="Arial" w:hAnsi="Arial" w:cs="Arial"/>
                <w:sz w:val="20"/>
                <w:szCs w:val="20"/>
                <w:lang w:val="es-MX"/>
              </w:rPr>
            </w:pPr>
          </w:p>
          <w:p w14:paraId="2AD29380" w14:textId="33901C22" w:rsidR="000241BA" w:rsidRPr="003737BE" w:rsidRDefault="000241BA" w:rsidP="003737BE">
            <w:pPr>
              <w:pStyle w:val="Prrafodelista"/>
              <w:ind w:left="144" w:right="286"/>
              <w:jc w:val="both"/>
              <w:rPr>
                <w:rFonts w:ascii="Arial" w:hAnsi="Arial" w:cs="Arial"/>
                <w:sz w:val="20"/>
                <w:szCs w:val="20"/>
                <w:lang w:val="es-MX"/>
              </w:rPr>
            </w:pPr>
            <w:r w:rsidRPr="00D75210">
              <w:rPr>
                <w:rFonts w:ascii="Arial" w:hAnsi="Arial" w:cs="Arial"/>
                <w:sz w:val="20"/>
                <w:szCs w:val="20"/>
                <w:lang w:val="es-MX"/>
              </w:rPr>
              <w:t xml:space="preserve">Se aprobó por unanimidad de </w:t>
            </w:r>
            <w:r>
              <w:rPr>
                <w:rFonts w:ascii="Arial" w:hAnsi="Arial" w:cs="Arial"/>
                <w:sz w:val="20"/>
                <w:szCs w:val="20"/>
                <w:lang w:val="es-MX"/>
              </w:rPr>
              <w:t>10</w:t>
            </w:r>
            <w:r w:rsidRPr="00D75210">
              <w:rPr>
                <w:rFonts w:ascii="Arial" w:hAnsi="Arial" w:cs="Arial"/>
                <w:sz w:val="20"/>
                <w:szCs w:val="20"/>
                <w:lang w:val="es-MX"/>
              </w:rPr>
              <w:t xml:space="preserve"> votos de los Ministros</w:t>
            </w:r>
            <w:r>
              <w:rPr>
                <w:rFonts w:ascii="Arial" w:hAnsi="Arial" w:cs="Arial"/>
                <w:sz w:val="20"/>
                <w:szCs w:val="20"/>
                <w:lang w:val="es-MX"/>
              </w:rPr>
              <w:t xml:space="preserve"> </w:t>
            </w:r>
            <w:r w:rsidRPr="00D75210">
              <w:rPr>
                <w:rFonts w:ascii="Arial" w:hAnsi="Arial" w:cs="Arial"/>
                <w:sz w:val="20"/>
                <w:szCs w:val="20"/>
                <w:lang w:val="es-MX"/>
              </w:rPr>
              <w:t>Gutiérrez Ortiz Mena, Cossío Díaz, Luna Ramos, Franco González</w:t>
            </w:r>
            <w:r>
              <w:rPr>
                <w:rFonts w:ascii="Arial" w:hAnsi="Arial" w:cs="Arial"/>
                <w:sz w:val="20"/>
                <w:szCs w:val="20"/>
                <w:lang w:val="es-MX"/>
              </w:rPr>
              <w:t xml:space="preserve"> </w:t>
            </w:r>
            <w:r w:rsidRPr="00D75210">
              <w:rPr>
                <w:rFonts w:ascii="Arial" w:hAnsi="Arial" w:cs="Arial"/>
                <w:sz w:val="20"/>
                <w:szCs w:val="20"/>
                <w:lang w:val="es-MX"/>
              </w:rPr>
              <w:t>Salas, Zaldívar Lelo de Larrea, Pardo Rebolledo, Aguilar Morales,</w:t>
            </w:r>
            <w:r>
              <w:rPr>
                <w:rFonts w:ascii="Arial" w:hAnsi="Arial" w:cs="Arial"/>
                <w:sz w:val="20"/>
                <w:szCs w:val="20"/>
                <w:lang w:val="es-MX"/>
              </w:rPr>
              <w:t xml:space="preserve"> </w:t>
            </w:r>
            <w:r w:rsidRPr="00D75210">
              <w:rPr>
                <w:rFonts w:ascii="Arial" w:hAnsi="Arial" w:cs="Arial"/>
                <w:sz w:val="20"/>
                <w:szCs w:val="20"/>
                <w:lang w:val="es-MX"/>
              </w:rPr>
              <w:t>Sánchez Cordero de García Villegas, Pérez Dayán y Presidente Silva</w:t>
            </w:r>
            <w:r>
              <w:rPr>
                <w:rFonts w:ascii="Arial" w:hAnsi="Arial" w:cs="Arial"/>
                <w:sz w:val="20"/>
                <w:szCs w:val="20"/>
                <w:lang w:val="es-MX"/>
              </w:rPr>
              <w:t xml:space="preserve"> </w:t>
            </w:r>
            <w:r w:rsidRPr="00D75210">
              <w:rPr>
                <w:rFonts w:ascii="Arial" w:hAnsi="Arial" w:cs="Arial"/>
                <w:sz w:val="20"/>
                <w:szCs w:val="20"/>
                <w:lang w:val="es-MX"/>
              </w:rPr>
              <w:t>Meza, respecto de las propuestas de los considerandos sexto, décimo</w:t>
            </w:r>
            <w:r>
              <w:rPr>
                <w:rFonts w:ascii="Arial" w:hAnsi="Arial" w:cs="Arial"/>
                <w:sz w:val="20"/>
                <w:szCs w:val="20"/>
                <w:lang w:val="es-MX"/>
              </w:rPr>
              <w:t xml:space="preserve"> </w:t>
            </w:r>
            <w:r w:rsidRPr="00D75210">
              <w:rPr>
                <w:rFonts w:ascii="Arial" w:hAnsi="Arial" w:cs="Arial"/>
                <w:sz w:val="20"/>
                <w:szCs w:val="20"/>
                <w:lang w:val="es-MX"/>
              </w:rPr>
              <w:t>segundo, décimo cuarto, décimo séptimo, décimo octavo, vigésimo</w:t>
            </w:r>
            <w:r>
              <w:rPr>
                <w:rFonts w:ascii="Arial" w:hAnsi="Arial" w:cs="Arial"/>
                <w:sz w:val="20"/>
                <w:szCs w:val="20"/>
                <w:lang w:val="es-MX"/>
              </w:rPr>
              <w:t xml:space="preserve"> </w:t>
            </w:r>
            <w:r w:rsidRPr="00D75210">
              <w:rPr>
                <w:rFonts w:ascii="Arial" w:hAnsi="Arial" w:cs="Arial"/>
                <w:sz w:val="20"/>
                <w:szCs w:val="20"/>
                <w:lang w:val="es-MX"/>
              </w:rPr>
              <w:t>primero, vigésimo cuarto, vigésimo séptimo y vigésimo octavo</w:t>
            </w:r>
            <w:r>
              <w:rPr>
                <w:rFonts w:ascii="Arial" w:hAnsi="Arial" w:cs="Arial"/>
                <w:sz w:val="20"/>
                <w:szCs w:val="20"/>
                <w:lang w:val="es-MX"/>
              </w:rPr>
              <w:t xml:space="preserve"> </w:t>
            </w:r>
            <w:r w:rsidRPr="00D75210">
              <w:rPr>
                <w:rFonts w:ascii="Arial" w:hAnsi="Arial" w:cs="Arial"/>
                <w:sz w:val="20"/>
                <w:szCs w:val="20"/>
                <w:lang w:val="es-MX"/>
              </w:rPr>
              <w:t>consistentes, correspondientemente, en reconocer la validez de los</w:t>
            </w:r>
            <w:r>
              <w:rPr>
                <w:rFonts w:ascii="Arial" w:hAnsi="Arial" w:cs="Arial"/>
                <w:sz w:val="20"/>
                <w:szCs w:val="20"/>
                <w:lang w:val="es-MX"/>
              </w:rPr>
              <w:t xml:space="preserve"> </w:t>
            </w:r>
            <w:r w:rsidRPr="00D75210">
              <w:rPr>
                <w:rFonts w:ascii="Arial" w:hAnsi="Arial" w:cs="Arial"/>
                <w:sz w:val="20"/>
                <w:szCs w:val="20"/>
                <w:lang w:val="es-MX"/>
              </w:rPr>
              <w:t>artículos 24, 30, 32, 33, 34, 35, 35, 35 Bis, 63, párrafo tercero, 118,</w:t>
            </w:r>
            <w:r>
              <w:rPr>
                <w:rFonts w:ascii="Arial" w:hAnsi="Arial" w:cs="Arial"/>
                <w:sz w:val="20"/>
                <w:szCs w:val="20"/>
                <w:lang w:val="es-MX"/>
              </w:rPr>
              <w:t xml:space="preserve"> </w:t>
            </w:r>
            <w:r w:rsidRPr="00D75210">
              <w:rPr>
                <w:rFonts w:ascii="Arial" w:hAnsi="Arial" w:cs="Arial"/>
                <w:sz w:val="20"/>
                <w:szCs w:val="20"/>
                <w:lang w:val="es-MX"/>
              </w:rPr>
              <w:t>134, 217, 218, 508, párrafo segundo, 534, 535 y 536 del Código de</w:t>
            </w:r>
            <w:r>
              <w:rPr>
                <w:rFonts w:ascii="Arial" w:hAnsi="Arial" w:cs="Arial"/>
                <w:sz w:val="20"/>
                <w:szCs w:val="20"/>
                <w:lang w:val="es-MX"/>
              </w:rPr>
              <w:t xml:space="preserve"> </w:t>
            </w:r>
            <w:r w:rsidRPr="00D75210">
              <w:rPr>
                <w:rFonts w:ascii="Arial" w:hAnsi="Arial" w:cs="Arial"/>
                <w:sz w:val="20"/>
                <w:szCs w:val="20"/>
                <w:lang w:val="es-MX"/>
              </w:rPr>
              <w:t>Elecciones y Participación Ciudadana del Estado de Chiapas, así</w:t>
            </w:r>
            <w:r>
              <w:rPr>
                <w:rFonts w:ascii="Arial" w:hAnsi="Arial" w:cs="Arial"/>
                <w:sz w:val="20"/>
                <w:szCs w:val="20"/>
                <w:lang w:val="es-MX"/>
              </w:rPr>
              <w:t xml:space="preserve"> </w:t>
            </w:r>
            <w:r w:rsidRPr="00D75210">
              <w:rPr>
                <w:rFonts w:ascii="Arial" w:hAnsi="Arial" w:cs="Arial"/>
                <w:sz w:val="20"/>
                <w:szCs w:val="20"/>
                <w:lang w:val="es-MX"/>
              </w:rPr>
              <w:t>como del artículo décimo primero transitorio del Decreto número 521,</w:t>
            </w:r>
            <w:r>
              <w:rPr>
                <w:rFonts w:ascii="Arial" w:hAnsi="Arial" w:cs="Arial"/>
                <w:sz w:val="20"/>
                <w:szCs w:val="20"/>
                <w:lang w:val="es-MX"/>
              </w:rPr>
              <w:t xml:space="preserve"> </w:t>
            </w:r>
            <w:r w:rsidRPr="00D75210">
              <w:rPr>
                <w:rFonts w:ascii="Arial" w:hAnsi="Arial" w:cs="Arial"/>
                <w:sz w:val="20"/>
                <w:szCs w:val="20"/>
                <w:lang w:val="es-MX"/>
              </w:rPr>
              <w:t>por el que se reforman, adicionan y derogan diversas disposiciones del</w:t>
            </w:r>
            <w:r>
              <w:rPr>
                <w:rFonts w:ascii="Arial" w:hAnsi="Arial" w:cs="Arial"/>
                <w:sz w:val="20"/>
                <w:szCs w:val="20"/>
                <w:lang w:val="es-MX"/>
              </w:rPr>
              <w:t xml:space="preserve"> </w:t>
            </w:r>
            <w:r w:rsidRPr="00D75210">
              <w:rPr>
                <w:rFonts w:ascii="Arial" w:hAnsi="Arial" w:cs="Arial"/>
                <w:sz w:val="20"/>
                <w:szCs w:val="20"/>
                <w:lang w:val="es-MX"/>
              </w:rPr>
              <w:t>Código de Elecciones y Participación Ciudadana.</w:t>
            </w:r>
          </w:p>
        </w:tc>
      </w:tr>
      <w:tr w:rsidR="000241BA" w:rsidRPr="00ED2D84" w14:paraId="190EDB2E" w14:textId="77777777" w:rsidTr="00C75296">
        <w:trPr>
          <w:trHeight w:val="283"/>
        </w:trPr>
        <w:tc>
          <w:tcPr>
            <w:tcW w:w="1877" w:type="dxa"/>
            <w:vAlign w:val="center"/>
          </w:tcPr>
          <w:p w14:paraId="623ADA0B" w14:textId="77777777" w:rsidR="000241BA" w:rsidRPr="00ED2D84" w:rsidRDefault="000241BA" w:rsidP="00C75296">
            <w:pPr>
              <w:ind w:left="170" w:right="198"/>
              <w:jc w:val="center"/>
              <w:rPr>
                <w:rStyle w:val="Hipervnculo"/>
                <w:rFonts w:ascii="Arial" w:hAnsi="Arial" w:cs="Arial"/>
                <w:b/>
                <w:sz w:val="20"/>
                <w:szCs w:val="20"/>
                <w:lang w:val="es-MX"/>
              </w:rPr>
            </w:pPr>
            <w:r w:rsidRPr="00ED2D84">
              <w:rPr>
                <w:rFonts w:ascii="Arial" w:hAnsi="Arial" w:cs="Arial"/>
                <w:b/>
                <w:sz w:val="20"/>
                <w:szCs w:val="20"/>
                <w:lang w:val="es-MX"/>
              </w:rPr>
              <w:lastRenderedPageBreak/>
              <w:br/>
            </w:r>
            <w:r w:rsidRPr="00ED2D84">
              <w:rPr>
                <w:rFonts w:ascii="Arial" w:hAnsi="Arial" w:cs="Arial"/>
                <w:b/>
                <w:sz w:val="20"/>
                <w:szCs w:val="20"/>
                <w:lang w:val="es-MX"/>
              </w:rPr>
              <w:br/>
            </w:r>
            <w:r w:rsidRPr="00ED2D84">
              <w:rPr>
                <w:rFonts w:ascii="Arial" w:hAnsi="Arial" w:cs="Arial"/>
                <w:b/>
                <w:sz w:val="20"/>
                <w:szCs w:val="20"/>
                <w:lang w:val="es-MX"/>
              </w:rPr>
              <w:br/>
            </w:r>
            <w:r w:rsidRPr="00ED2D84">
              <w:rPr>
                <w:rFonts w:ascii="Arial" w:hAnsi="Arial" w:cs="Arial"/>
                <w:b/>
                <w:sz w:val="20"/>
                <w:szCs w:val="20"/>
                <w:lang w:val="es-MX"/>
              </w:rPr>
              <w:fldChar w:fldCharType="begin"/>
            </w:r>
            <w:r w:rsidRPr="00ED2D84">
              <w:rPr>
                <w:rFonts w:ascii="Arial" w:hAnsi="Arial" w:cs="Arial"/>
                <w:b/>
                <w:sz w:val="20"/>
                <w:szCs w:val="20"/>
                <w:lang w:val="es-MX"/>
              </w:rPr>
              <w:instrText xml:space="preserve"> HYPERLINK "https://www2.scjn.gob.mx/juridica/engroses/3/2014/19/3_169302_2134.doc" </w:instrText>
            </w:r>
            <w:r w:rsidRPr="00ED2D84">
              <w:rPr>
                <w:rFonts w:ascii="Arial" w:hAnsi="Arial" w:cs="Arial"/>
                <w:b/>
                <w:sz w:val="20"/>
                <w:szCs w:val="20"/>
                <w:lang w:val="es-MX"/>
              </w:rPr>
            </w:r>
            <w:r w:rsidRPr="00ED2D84">
              <w:rPr>
                <w:rFonts w:ascii="Arial" w:hAnsi="Arial" w:cs="Arial"/>
                <w:b/>
                <w:sz w:val="20"/>
                <w:szCs w:val="20"/>
                <w:lang w:val="es-MX"/>
              </w:rPr>
              <w:fldChar w:fldCharType="separate"/>
            </w:r>
            <w:r w:rsidRPr="00ED2D84">
              <w:rPr>
                <w:rStyle w:val="Hipervnculo"/>
                <w:rFonts w:ascii="Arial" w:hAnsi="Arial" w:cs="Arial"/>
                <w:b/>
                <w:sz w:val="20"/>
                <w:szCs w:val="20"/>
                <w:lang w:val="es-MX"/>
              </w:rPr>
              <w:t>90/2014</w:t>
            </w:r>
          </w:p>
          <w:p w14:paraId="65833D0F" w14:textId="77777777" w:rsidR="000241BA" w:rsidRDefault="000241BA" w:rsidP="00C75296">
            <w:pPr>
              <w:pStyle w:val="Default"/>
              <w:ind w:left="170" w:right="198"/>
              <w:jc w:val="center"/>
              <w:rPr>
                <w:rFonts w:ascii="Arial" w:hAnsi="Arial" w:cs="Arial"/>
                <w:b/>
                <w:sz w:val="20"/>
                <w:szCs w:val="20"/>
              </w:rPr>
            </w:pPr>
            <w:r w:rsidRPr="00ED2D84">
              <w:rPr>
                <w:rFonts w:ascii="Arial" w:hAnsi="Arial" w:cs="Arial"/>
                <w:b/>
                <w:sz w:val="20"/>
                <w:szCs w:val="20"/>
              </w:rPr>
              <w:fldChar w:fldCharType="end"/>
            </w:r>
          </w:p>
          <w:p w14:paraId="5839A994" w14:textId="76CA5CE2" w:rsidR="000241BA" w:rsidRPr="00ED2D84" w:rsidRDefault="000241BA" w:rsidP="00C75296">
            <w:pPr>
              <w:pStyle w:val="Default"/>
              <w:ind w:left="170" w:right="198"/>
              <w:jc w:val="center"/>
              <w:rPr>
                <w:rFonts w:ascii="Arial" w:hAnsi="Arial" w:cs="Arial"/>
                <w:color w:val="auto"/>
                <w:sz w:val="20"/>
                <w:szCs w:val="20"/>
              </w:rPr>
            </w:pPr>
            <w:r w:rsidRPr="00ED2D84">
              <w:rPr>
                <w:rFonts w:ascii="Arial" w:hAnsi="Arial" w:cs="Arial"/>
                <w:b/>
                <w:sz w:val="20"/>
                <w:szCs w:val="20"/>
              </w:rPr>
              <w:t>Nuevo León</w:t>
            </w:r>
          </w:p>
        </w:tc>
        <w:tc>
          <w:tcPr>
            <w:tcW w:w="12294" w:type="dxa"/>
          </w:tcPr>
          <w:p w14:paraId="512FBC5E" w14:textId="77777777" w:rsidR="000241BA" w:rsidRDefault="000241BA" w:rsidP="000241BA">
            <w:pPr>
              <w:pStyle w:val="Prrafodelista"/>
              <w:numPr>
                <w:ilvl w:val="0"/>
                <w:numId w:val="9"/>
              </w:numPr>
              <w:adjustRightInd w:val="0"/>
              <w:ind w:left="252" w:right="198" w:hanging="142"/>
              <w:jc w:val="both"/>
              <w:rPr>
                <w:rFonts w:ascii="Arial" w:hAnsi="Arial" w:cs="Arial"/>
                <w:b/>
                <w:sz w:val="20"/>
                <w:szCs w:val="20"/>
              </w:rPr>
            </w:pPr>
            <w:r w:rsidRPr="00ED2D84">
              <w:rPr>
                <w:rFonts w:ascii="Arial" w:hAnsi="Arial" w:cs="Arial"/>
                <w:b/>
                <w:sz w:val="20"/>
                <w:szCs w:val="20"/>
              </w:rPr>
              <w:t xml:space="preserve">Fiscalización. </w:t>
            </w:r>
          </w:p>
          <w:p w14:paraId="2F5A48F4" w14:textId="77777777" w:rsidR="000241BA" w:rsidRPr="00ED2D84" w:rsidRDefault="000241BA" w:rsidP="000241BA">
            <w:pPr>
              <w:pStyle w:val="Prrafodelista"/>
              <w:adjustRightInd w:val="0"/>
              <w:ind w:left="252" w:right="198"/>
              <w:jc w:val="both"/>
              <w:rPr>
                <w:rFonts w:ascii="Arial" w:hAnsi="Arial" w:cs="Arial"/>
                <w:b/>
                <w:sz w:val="20"/>
                <w:szCs w:val="20"/>
              </w:rPr>
            </w:pPr>
          </w:p>
          <w:p w14:paraId="35AD7436" w14:textId="77777777" w:rsidR="000241BA" w:rsidRPr="00ED2D84" w:rsidRDefault="000241BA" w:rsidP="000241BA">
            <w:pPr>
              <w:adjustRightInd w:val="0"/>
              <w:ind w:left="170" w:right="198"/>
              <w:jc w:val="both"/>
              <w:rPr>
                <w:rFonts w:ascii="Arial" w:hAnsi="Arial" w:cs="Arial"/>
                <w:sz w:val="20"/>
                <w:szCs w:val="20"/>
                <w:lang w:val="es-MX"/>
              </w:rPr>
            </w:pPr>
            <w:r w:rsidRPr="00ED2D84">
              <w:rPr>
                <w:rFonts w:ascii="Arial" w:hAnsi="Arial" w:cs="Arial"/>
                <w:sz w:val="20"/>
                <w:szCs w:val="20"/>
                <w:lang w:val="es-MX"/>
              </w:rPr>
              <w:t xml:space="preserve">El partido accionante aduce que con </w:t>
            </w:r>
            <w:r w:rsidRPr="00ED2D84">
              <w:rPr>
                <w:rFonts w:ascii="Arial" w:hAnsi="Arial" w:cs="Arial"/>
                <w:b/>
                <w:sz w:val="20"/>
                <w:szCs w:val="20"/>
                <w:lang w:val="es-MX"/>
              </w:rPr>
              <w:t>el artículo 42 décimo quinto párrafo, fracción I de la Constitución Política del Estado de Nuevo León</w:t>
            </w:r>
            <w:r w:rsidRPr="00ED2D84">
              <w:rPr>
                <w:rFonts w:ascii="Arial" w:hAnsi="Arial" w:cs="Arial"/>
                <w:sz w:val="20"/>
                <w:szCs w:val="20"/>
                <w:lang w:val="es-MX"/>
              </w:rPr>
              <w:t xml:space="preserve">, el legislador local pretende llevar a cabo tareas de fiscalización cuya competencia no es atribución de una ley local, sino de una ley general tal y como se advierte del artículo 41 Base V, Apartado B, inciso a), numeral 6 de la Carta Magna, del cual se desprende de manera expresa que es el Instituto Nacional Electoral el que tiene facultades para fiscalizar los ingresos y egresos de los partidos políticos y candidatos tratándose de procesos electorales locales. </w:t>
            </w:r>
          </w:p>
          <w:p w14:paraId="5A4FFE9A" w14:textId="77777777" w:rsidR="000241BA" w:rsidRPr="00ED2D84" w:rsidRDefault="000241BA" w:rsidP="000241BA">
            <w:pPr>
              <w:adjustRightInd w:val="0"/>
              <w:ind w:left="170" w:right="198"/>
              <w:jc w:val="both"/>
              <w:rPr>
                <w:rFonts w:ascii="Arial" w:hAnsi="Arial" w:cs="Arial"/>
                <w:sz w:val="20"/>
                <w:szCs w:val="20"/>
                <w:lang w:val="es-MX"/>
              </w:rPr>
            </w:pPr>
            <w:r w:rsidRPr="00ED2D84">
              <w:rPr>
                <w:rFonts w:ascii="Arial" w:hAnsi="Arial" w:cs="Arial"/>
                <w:sz w:val="20"/>
                <w:szCs w:val="20"/>
                <w:lang w:val="es-MX"/>
              </w:rPr>
              <w:t xml:space="preserve">Que no sólo transgrede el artículo 41 constitucional, sino también el numeral 73, fracción XXIX-U, que en esencia faculta al Congreso de la Unión para expedir leyes generales para distribuir competencias entre la federación y las entidades federativas en materia de partidos políticos, organismos y procesos electorales. De esta manera el Poder Legislativo federal, al expedir la Ley General de Partidos Políticos, determinó a través del artículo 7, numeral 1, inciso d), que corresponde al Instituto Nacional Electoral, la facultad de fiscalizar ingresos y egresos de los partidos políticos (nacionales y locales) y candidatos, por lo que debe declararse la invalidez del artículo combatido puesto que el legislador local pretende regular tareas y facultades que corresponden al ámbito federal. </w:t>
            </w:r>
          </w:p>
          <w:p w14:paraId="49E7429F" w14:textId="3A940E3B" w:rsidR="000241BA" w:rsidRDefault="000241BA" w:rsidP="000241BA">
            <w:pPr>
              <w:adjustRightInd w:val="0"/>
              <w:ind w:left="170" w:right="198"/>
              <w:jc w:val="both"/>
              <w:rPr>
                <w:rFonts w:ascii="Arial" w:hAnsi="Arial" w:cs="Arial"/>
                <w:sz w:val="20"/>
                <w:szCs w:val="20"/>
                <w:lang w:val="es-MX"/>
              </w:rPr>
            </w:pPr>
            <w:r w:rsidRPr="00ED2D84">
              <w:rPr>
                <w:rFonts w:ascii="Arial" w:hAnsi="Arial" w:cs="Arial"/>
                <w:sz w:val="20"/>
                <w:szCs w:val="20"/>
                <w:lang w:val="es-MX"/>
              </w:rPr>
              <w:t>El artículo impugnado refiere lo siguiente:</w:t>
            </w:r>
          </w:p>
          <w:p w14:paraId="5CF2CB05" w14:textId="77777777" w:rsidR="003737BE" w:rsidRPr="00ED2D84" w:rsidRDefault="003737BE" w:rsidP="000241BA">
            <w:pPr>
              <w:adjustRightInd w:val="0"/>
              <w:ind w:left="170" w:right="198"/>
              <w:jc w:val="both"/>
              <w:rPr>
                <w:rStyle w:val="corte5transcripcionCarCarCar"/>
                <w:rFonts w:cs="Arial"/>
                <w:sz w:val="20"/>
                <w:szCs w:val="20"/>
                <w:lang w:val="es-MX"/>
              </w:rPr>
            </w:pPr>
          </w:p>
          <w:p w14:paraId="47F39E16" w14:textId="77777777" w:rsidR="000241BA" w:rsidRPr="00ED2D84" w:rsidRDefault="000241BA" w:rsidP="000241BA">
            <w:pPr>
              <w:pStyle w:val="corte5transcripcion"/>
              <w:spacing w:line="240" w:lineRule="auto"/>
              <w:ind w:left="170" w:right="198"/>
              <w:rPr>
                <w:rStyle w:val="corte5transcripcionCarCarCar"/>
                <w:rFonts w:cs="Arial"/>
                <w:b/>
                <w:sz w:val="20"/>
                <w:szCs w:val="20"/>
                <w:lang w:val="es-MX"/>
              </w:rPr>
            </w:pPr>
            <w:r w:rsidRPr="00ED2D84">
              <w:rPr>
                <w:rStyle w:val="corte5transcripcionCarCarCar"/>
                <w:rFonts w:cs="Arial"/>
                <w:b/>
                <w:sz w:val="20"/>
                <w:szCs w:val="20"/>
                <w:lang w:val="es-MX"/>
              </w:rPr>
              <w:t>“Artículo 42.-…</w:t>
            </w:r>
          </w:p>
          <w:p w14:paraId="6804810A" w14:textId="77777777" w:rsidR="000241BA" w:rsidRPr="00ED2D84" w:rsidRDefault="000241BA" w:rsidP="000241BA">
            <w:pPr>
              <w:pStyle w:val="corte5transcripcion"/>
              <w:spacing w:line="240" w:lineRule="auto"/>
              <w:ind w:left="170" w:right="198"/>
              <w:rPr>
                <w:rStyle w:val="corte5transcripcionCarCarCar"/>
                <w:rFonts w:cs="Arial"/>
                <w:b/>
                <w:sz w:val="20"/>
                <w:szCs w:val="20"/>
                <w:lang w:val="es-MX"/>
              </w:rPr>
            </w:pPr>
          </w:p>
          <w:p w14:paraId="0FD74EAD" w14:textId="77777777" w:rsidR="000241BA" w:rsidRPr="00ED2D84" w:rsidRDefault="000241BA" w:rsidP="000241BA">
            <w:pPr>
              <w:pStyle w:val="corte5transcripcion"/>
              <w:spacing w:line="240" w:lineRule="auto"/>
              <w:ind w:left="170" w:right="198"/>
              <w:rPr>
                <w:rStyle w:val="corte5transcripcionCarCarCar"/>
                <w:rFonts w:cs="Arial"/>
                <w:b/>
                <w:sz w:val="20"/>
                <w:szCs w:val="20"/>
                <w:lang w:val="es-MX"/>
              </w:rPr>
            </w:pPr>
            <w:r w:rsidRPr="00ED2D84">
              <w:rPr>
                <w:rStyle w:val="corte5transcripcionCarCarCar"/>
                <w:rFonts w:cs="Arial"/>
                <w:b/>
                <w:sz w:val="20"/>
                <w:szCs w:val="20"/>
                <w:lang w:val="es-MX"/>
              </w:rPr>
              <w:t>La Ley Electoral establecerá entre otras, las disposiciones siguientes:</w:t>
            </w:r>
          </w:p>
          <w:p w14:paraId="51F207DB" w14:textId="77777777" w:rsidR="000241BA" w:rsidRPr="00ED2D84" w:rsidRDefault="000241BA" w:rsidP="000241BA">
            <w:pPr>
              <w:pStyle w:val="corte5transcripcion"/>
              <w:numPr>
                <w:ilvl w:val="0"/>
                <w:numId w:val="5"/>
              </w:numPr>
              <w:spacing w:line="240" w:lineRule="auto"/>
              <w:ind w:left="170" w:right="198" w:firstLine="0"/>
              <w:rPr>
                <w:rStyle w:val="corte5transcripcionCarCarCar"/>
                <w:rFonts w:cs="Arial"/>
                <w:b/>
                <w:sz w:val="20"/>
                <w:szCs w:val="20"/>
                <w:lang w:val="es-MX"/>
              </w:rPr>
            </w:pPr>
            <w:r w:rsidRPr="00ED2D84">
              <w:rPr>
                <w:rStyle w:val="corte5transcripcionCarCarCar"/>
                <w:rFonts w:cs="Arial"/>
                <w:b/>
                <w:sz w:val="20"/>
                <w:szCs w:val="20"/>
                <w:lang w:val="es-MX"/>
              </w:rPr>
              <w:t>Las reglas para establecer los límites a las erogaciones de los partidos políticos en sus procesos de precampaña y en las campañas electorales, los montos máximos que tengan las aportaciones de sus militantes y simpatizantes; los procedimientos para el control y vigilancia del origen y uso de todos los recursos con que cuenten los partidos políticos o los candidatos, así como para dar a conocer el patrimonio que poseen al iniciar el período electoral y el establecimiento de las sanciones para el incumplimiento de las disposiciones que se expidan en estas materias;</w:t>
            </w:r>
          </w:p>
          <w:p w14:paraId="4D244190" w14:textId="77777777" w:rsidR="000241BA" w:rsidRDefault="000241BA" w:rsidP="000241BA">
            <w:pPr>
              <w:pStyle w:val="corte5transcripcion"/>
              <w:spacing w:line="240" w:lineRule="auto"/>
              <w:ind w:left="170" w:right="198"/>
              <w:rPr>
                <w:rStyle w:val="corte5transcripcionCarCarCar"/>
                <w:rFonts w:cs="Arial"/>
                <w:b/>
                <w:sz w:val="20"/>
                <w:szCs w:val="20"/>
                <w:lang w:val="es-MX"/>
              </w:rPr>
            </w:pPr>
            <w:r w:rsidRPr="00ED2D84">
              <w:rPr>
                <w:rStyle w:val="corte5transcripcionCarCarCar"/>
                <w:rFonts w:cs="Arial"/>
                <w:b/>
                <w:sz w:val="20"/>
                <w:szCs w:val="20"/>
                <w:lang w:val="es-MX"/>
              </w:rPr>
              <w:t>…”</w:t>
            </w:r>
          </w:p>
          <w:p w14:paraId="02F40576" w14:textId="77777777" w:rsidR="000241BA" w:rsidRPr="00ED2D84" w:rsidRDefault="000241BA" w:rsidP="000241BA">
            <w:pPr>
              <w:pStyle w:val="corte5transcripcion"/>
              <w:spacing w:line="240" w:lineRule="auto"/>
              <w:ind w:left="0" w:right="198"/>
              <w:rPr>
                <w:rFonts w:cs="Arial"/>
                <w:b w:val="0"/>
                <w:sz w:val="20"/>
                <w:szCs w:val="20"/>
              </w:rPr>
            </w:pPr>
          </w:p>
          <w:p w14:paraId="668232AB" w14:textId="77777777" w:rsidR="000241BA" w:rsidRDefault="000241BA" w:rsidP="000241BA">
            <w:pPr>
              <w:ind w:left="170" w:right="198"/>
              <w:jc w:val="both"/>
              <w:rPr>
                <w:rFonts w:ascii="Arial" w:hAnsi="Arial" w:cs="Arial"/>
                <w:b/>
                <w:color w:val="000000"/>
                <w:sz w:val="20"/>
                <w:szCs w:val="20"/>
                <w:lang w:val="es-MX"/>
              </w:rPr>
            </w:pPr>
            <w:r w:rsidRPr="00ED2D84">
              <w:rPr>
                <w:rFonts w:ascii="Arial" w:hAnsi="Arial" w:cs="Arial"/>
                <w:b/>
                <w:color w:val="000000"/>
                <w:sz w:val="20"/>
                <w:szCs w:val="20"/>
                <w:lang w:val="es-MX"/>
              </w:rPr>
              <w:t>Consideraciones</w:t>
            </w:r>
          </w:p>
          <w:p w14:paraId="2BDEA9CF" w14:textId="77777777" w:rsidR="000241BA" w:rsidRPr="00ED2D84" w:rsidRDefault="000241BA" w:rsidP="000241BA">
            <w:pPr>
              <w:ind w:left="170" w:right="198"/>
              <w:jc w:val="both"/>
              <w:rPr>
                <w:rFonts w:ascii="Arial" w:hAnsi="Arial" w:cs="Arial"/>
                <w:b/>
                <w:color w:val="000000"/>
                <w:sz w:val="20"/>
                <w:szCs w:val="20"/>
                <w:lang w:val="es-MX"/>
              </w:rPr>
            </w:pPr>
          </w:p>
          <w:p w14:paraId="182532F5" w14:textId="77777777" w:rsidR="000241BA" w:rsidRDefault="000241BA" w:rsidP="000241BA">
            <w:pPr>
              <w:ind w:left="170" w:right="198"/>
              <w:jc w:val="both"/>
              <w:rPr>
                <w:rFonts w:ascii="Arial" w:hAnsi="Arial" w:cs="Arial"/>
                <w:sz w:val="20"/>
                <w:szCs w:val="20"/>
                <w:lang w:val="es-MX"/>
              </w:rPr>
            </w:pPr>
            <w:r w:rsidRPr="00ED2D84">
              <w:rPr>
                <w:rFonts w:ascii="Arial" w:hAnsi="Arial" w:cs="Arial"/>
                <w:sz w:val="20"/>
                <w:szCs w:val="20"/>
                <w:lang w:val="es-MX"/>
              </w:rPr>
              <w:t>La SCJN consideró que, la legislación general en la materia faculta a las entidades federativas a contar con un órgano fiscalizador, y regular los procedimientos respectivos, siempre que se cumplan los lineamientos señalados con antelación, para el caso de que el Instituto Nacional Electoral decida delegarle las tareas de fiscalización propias de los comicios locales. Tanto así que, se insiste, incluso prevé que son algunas de las condiciones que debe tomar en consideración la autoridad electoral nacional para determinar si delega o no las funciones en cita.</w:t>
            </w:r>
          </w:p>
          <w:p w14:paraId="6620A2CA" w14:textId="77777777" w:rsidR="000241BA" w:rsidRPr="00ED2D84" w:rsidRDefault="000241BA" w:rsidP="000241BA">
            <w:pPr>
              <w:ind w:left="170" w:right="198"/>
              <w:jc w:val="both"/>
              <w:rPr>
                <w:rFonts w:ascii="Arial" w:hAnsi="Arial" w:cs="Arial"/>
                <w:sz w:val="20"/>
                <w:szCs w:val="20"/>
                <w:lang w:val="es-MX"/>
              </w:rPr>
            </w:pPr>
          </w:p>
          <w:p w14:paraId="0D120BA8" w14:textId="77777777" w:rsidR="000241BA" w:rsidRPr="00ED2D84" w:rsidRDefault="000241BA" w:rsidP="000241BA">
            <w:pPr>
              <w:ind w:left="170" w:right="198"/>
              <w:jc w:val="both"/>
              <w:rPr>
                <w:rFonts w:ascii="Arial" w:hAnsi="Arial" w:cs="Arial"/>
                <w:sz w:val="20"/>
                <w:szCs w:val="20"/>
                <w:lang w:val="es-MX"/>
              </w:rPr>
            </w:pPr>
            <w:r w:rsidRPr="00ED2D84">
              <w:rPr>
                <w:rFonts w:ascii="Arial" w:hAnsi="Arial" w:cs="Arial"/>
                <w:sz w:val="20"/>
                <w:szCs w:val="20"/>
                <w:lang w:val="es-MX"/>
              </w:rPr>
              <w:t xml:space="preserve">Por tanto, la SCJN estimó que los estados tienen atribuciones para legislar en relación con las reglas para establecer los límites a las erogaciones de los partidos políticos en sus procesos de precampaña y en las campañas electorales, los montos máximos que tengan las aportaciones de sus militantes y simpatizantes, dichos aspectos, siempre que se ajusten a las consideraciones previstas al efecto en la legislación general. En este sentido, adujó que el numeral impugnado, en la parte relativa a las reglas para establecer los límites a las erogaciones de los partidos políticos en sus procesos de precampaña y en las campañas electorales, los montos máximos que tengan las aportaciones de sus militantes y simpatizantes, así como el establecimiento de las sanciones para el incumplimiento de las disposiciones que se expidan en estas materias, resulta constitucional al estar acorde con lo que establece la Constitución Federal. </w:t>
            </w:r>
          </w:p>
          <w:p w14:paraId="0855F192" w14:textId="77777777" w:rsidR="000241BA" w:rsidRDefault="000241BA" w:rsidP="000241BA">
            <w:pPr>
              <w:pStyle w:val="corte4fondo"/>
              <w:spacing w:line="240" w:lineRule="auto"/>
              <w:ind w:left="170" w:right="198" w:firstLine="0"/>
              <w:rPr>
                <w:rFonts w:cs="Arial"/>
                <w:sz w:val="20"/>
                <w:lang w:val="es-MX"/>
              </w:rPr>
            </w:pPr>
          </w:p>
          <w:p w14:paraId="642110BB" w14:textId="77777777" w:rsidR="000241BA" w:rsidRDefault="000241BA" w:rsidP="000241BA">
            <w:pPr>
              <w:pStyle w:val="corte4fondo"/>
              <w:spacing w:line="240" w:lineRule="auto"/>
              <w:ind w:left="170" w:right="198" w:firstLine="0"/>
              <w:rPr>
                <w:rFonts w:cs="Arial"/>
                <w:sz w:val="20"/>
                <w:lang w:val="es-MX"/>
              </w:rPr>
            </w:pPr>
            <w:r w:rsidRPr="00ED2D84">
              <w:rPr>
                <w:rFonts w:cs="Arial"/>
                <w:sz w:val="20"/>
                <w:lang w:val="es-MX"/>
              </w:rPr>
              <w:t xml:space="preserve">Consecuentemente procedió a reconocer la validez del artículo 42, párrafo décimo quinto, fracción I, en las porciones normativas que indican: </w:t>
            </w:r>
            <w:r w:rsidRPr="00ED2D84">
              <w:rPr>
                <w:rFonts w:cs="Arial"/>
                <w:b/>
                <w:sz w:val="20"/>
                <w:lang w:val="es-MX"/>
              </w:rPr>
              <w:t xml:space="preserve">“I. Las reglas para establecer los límites a las erogaciones de los partidos políticos en sus procesos de precampaña y en las campañas electorales, los montos máximos que tengan las aportaciones de sus militantes y simpatizantes;” </w:t>
            </w:r>
            <w:r w:rsidRPr="00ED2D84">
              <w:rPr>
                <w:rFonts w:cs="Arial"/>
                <w:sz w:val="20"/>
                <w:lang w:val="es-MX"/>
              </w:rPr>
              <w:t xml:space="preserve">así como </w:t>
            </w:r>
            <w:r w:rsidRPr="00ED2D84">
              <w:rPr>
                <w:rFonts w:cs="Arial"/>
                <w:b/>
                <w:sz w:val="20"/>
                <w:lang w:val="es-MX"/>
              </w:rPr>
              <w:t>“y el establecimiento de las sanciones para el incumplimiento de las disposiciones que se expidan en estas materias;”</w:t>
            </w:r>
            <w:r w:rsidRPr="00ED2D84">
              <w:rPr>
                <w:rFonts w:cs="Arial"/>
                <w:sz w:val="20"/>
                <w:lang w:val="es-MX"/>
              </w:rPr>
              <w:t xml:space="preserve"> de la Constitución Política del Estado de Nuevo León. </w:t>
            </w:r>
          </w:p>
          <w:p w14:paraId="638BB398" w14:textId="77777777" w:rsidR="000241BA" w:rsidRPr="00ED2D84" w:rsidRDefault="000241BA" w:rsidP="000241BA">
            <w:pPr>
              <w:pStyle w:val="corte4fondo"/>
              <w:spacing w:line="240" w:lineRule="auto"/>
              <w:ind w:left="170" w:right="198" w:firstLine="0"/>
              <w:rPr>
                <w:rFonts w:cs="Arial"/>
                <w:b/>
                <w:color w:val="000000"/>
                <w:sz w:val="20"/>
                <w:lang w:val="es-MX"/>
              </w:rPr>
            </w:pPr>
          </w:p>
          <w:p w14:paraId="0175AA03" w14:textId="77777777" w:rsidR="000241BA" w:rsidRDefault="000241BA" w:rsidP="000241BA">
            <w:pPr>
              <w:pStyle w:val="corte4fondo"/>
              <w:spacing w:line="240" w:lineRule="auto"/>
              <w:ind w:left="170" w:right="198" w:firstLine="0"/>
              <w:rPr>
                <w:rFonts w:cs="Arial"/>
                <w:sz w:val="20"/>
                <w:lang w:val="es-MX"/>
              </w:rPr>
            </w:pPr>
            <w:r w:rsidRPr="00ED2D84">
              <w:rPr>
                <w:rFonts w:cs="Arial"/>
                <w:sz w:val="20"/>
                <w:lang w:val="es-MX"/>
              </w:rPr>
              <w:t xml:space="preserve">Ahora bien, a juicio de la SCJN, por lo que hace a la porción normativa del propio precepto que refiere a los procedimientos para el control y vigilancia del origen y uso de todos los recursos con que cuenten los partidos políticos o los candidatos, así como para dar a conocer el patrimonio que poseen al iniciar el período electoral invade las atribuciones que la Constitución Política de los Estados </w:t>
            </w:r>
            <w:r w:rsidRPr="00ED2D84">
              <w:rPr>
                <w:rFonts w:cs="Arial"/>
                <w:sz w:val="20"/>
                <w:lang w:val="es-MX"/>
              </w:rPr>
              <w:lastRenderedPageBreak/>
              <w:t xml:space="preserve">Unidos Mexicanos le concede al Instituto Nacional Electoral, en su artículo 41, apartado B, precepto fundamental cuyo tenor es el siguiente: </w:t>
            </w:r>
          </w:p>
          <w:p w14:paraId="1A07D5C3" w14:textId="77777777" w:rsidR="000241BA" w:rsidRPr="00ED2D84" w:rsidRDefault="000241BA" w:rsidP="000241BA">
            <w:pPr>
              <w:pStyle w:val="corte4fondo"/>
              <w:spacing w:line="240" w:lineRule="auto"/>
              <w:ind w:left="170" w:right="198" w:firstLine="0"/>
              <w:rPr>
                <w:rFonts w:cs="Arial"/>
                <w:sz w:val="20"/>
                <w:lang w:val="es-MX"/>
              </w:rPr>
            </w:pPr>
          </w:p>
          <w:p w14:paraId="39A054CF" w14:textId="77777777" w:rsidR="000241BA" w:rsidRPr="00ED2D84" w:rsidRDefault="000241BA" w:rsidP="000241BA">
            <w:pPr>
              <w:pStyle w:val="corte5transcripcion"/>
              <w:spacing w:line="240" w:lineRule="auto"/>
              <w:ind w:left="170" w:right="198"/>
              <w:rPr>
                <w:rFonts w:cs="Arial"/>
                <w:i w:val="0"/>
                <w:sz w:val="20"/>
                <w:szCs w:val="20"/>
              </w:rPr>
            </w:pPr>
            <w:r w:rsidRPr="00ED2D84">
              <w:rPr>
                <w:rFonts w:cs="Arial"/>
                <w:i w:val="0"/>
                <w:sz w:val="20"/>
                <w:szCs w:val="20"/>
              </w:rPr>
              <w:t xml:space="preserve">“Artículo 41. </w:t>
            </w:r>
          </w:p>
          <w:p w14:paraId="56E26CAA" w14:textId="77777777" w:rsidR="000241BA" w:rsidRPr="00ED2D84" w:rsidRDefault="000241BA" w:rsidP="000241BA">
            <w:pPr>
              <w:pStyle w:val="corte5transcripcion"/>
              <w:spacing w:line="240" w:lineRule="auto"/>
              <w:ind w:left="170" w:right="198"/>
              <w:rPr>
                <w:rFonts w:cs="Arial"/>
                <w:i w:val="0"/>
                <w:sz w:val="20"/>
                <w:szCs w:val="20"/>
              </w:rPr>
            </w:pPr>
            <w:r w:rsidRPr="00ED2D84">
              <w:rPr>
                <w:rFonts w:cs="Arial"/>
                <w:i w:val="0"/>
                <w:sz w:val="20"/>
                <w:szCs w:val="20"/>
              </w:rPr>
              <w:t>Apartado B. Corresponde al Instituto Nacional Electoral en los términos que establecen esta Constitución y las leyes:</w:t>
            </w:r>
          </w:p>
          <w:p w14:paraId="476FA7A6" w14:textId="77777777" w:rsidR="000241BA" w:rsidRPr="00ED2D84" w:rsidRDefault="000241BA" w:rsidP="000241BA">
            <w:pPr>
              <w:pStyle w:val="corte5transcripcion"/>
              <w:spacing w:line="240" w:lineRule="auto"/>
              <w:ind w:left="170" w:right="198"/>
              <w:rPr>
                <w:rFonts w:cs="Arial"/>
                <w:i w:val="0"/>
                <w:sz w:val="20"/>
                <w:szCs w:val="20"/>
              </w:rPr>
            </w:pPr>
            <w:r w:rsidRPr="00ED2D84">
              <w:rPr>
                <w:rFonts w:cs="Arial"/>
                <w:i w:val="0"/>
                <w:sz w:val="20"/>
                <w:szCs w:val="20"/>
              </w:rPr>
              <w:t>…</w:t>
            </w:r>
          </w:p>
          <w:p w14:paraId="217F68BE" w14:textId="77777777" w:rsidR="000241BA" w:rsidRPr="00ED2D84" w:rsidRDefault="000241BA" w:rsidP="000241BA">
            <w:pPr>
              <w:pStyle w:val="corte5transcripcion"/>
              <w:spacing w:line="240" w:lineRule="auto"/>
              <w:ind w:left="170" w:right="198"/>
              <w:rPr>
                <w:rFonts w:cs="Arial"/>
                <w:i w:val="0"/>
                <w:sz w:val="20"/>
                <w:szCs w:val="20"/>
              </w:rPr>
            </w:pPr>
            <w:r w:rsidRPr="00ED2D84">
              <w:rPr>
                <w:rFonts w:cs="Arial"/>
                <w:i w:val="0"/>
                <w:sz w:val="20"/>
                <w:szCs w:val="20"/>
              </w:rPr>
              <w:t>La fiscalización de las finanzas de los partidos políticos y de las campañas de los candidatos estará a cargo del Consejo General del Instituto Nacional Electoral. La ley desarrollará las atribuciones del Consejo para la realización de dicha función, así como la definición de los órganos técnicos dependientes del mismo, responsables de realizar las revisiones e instruir los procedimientos para la aplicación de las sanciones correspondientes. En el cumplimiento de sus atribuciones, el Consejo General no estará limitado por los secretos bancario, fiduciario y fiscal, y contará con el apoyo de las autoridades federales y locales.</w:t>
            </w:r>
          </w:p>
          <w:p w14:paraId="2FE207E8" w14:textId="77777777" w:rsidR="000241BA" w:rsidRPr="00ED2D84" w:rsidRDefault="000241BA" w:rsidP="000241BA">
            <w:pPr>
              <w:pStyle w:val="corte5transcripcion"/>
              <w:spacing w:line="240" w:lineRule="auto"/>
              <w:ind w:left="170" w:right="198"/>
              <w:rPr>
                <w:rFonts w:cs="Arial"/>
                <w:i w:val="0"/>
                <w:sz w:val="20"/>
                <w:szCs w:val="20"/>
              </w:rPr>
            </w:pPr>
            <w:r w:rsidRPr="00ED2D84">
              <w:rPr>
                <w:rFonts w:cs="Arial"/>
                <w:i w:val="0"/>
                <w:sz w:val="20"/>
                <w:szCs w:val="20"/>
              </w:rPr>
              <w:t>En caso de que el Instituto Nacional Electoral delegue la función de fiscalización, su órgano técnico será el conducto para superar la limitación a que se refiere el párrafo anterior…”</w:t>
            </w:r>
          </w:p>
          <w:p w14:paraId="0D5622AE" w14:textId="77777777" w:rsidR="000241BA" w:rsidRPr="00ED2D84" w:rsidRDefault="000241BA" w:rsidP="000241BA">
            <w:pPr>
              <w:pStyle w:val="corte4fondo"/>
              <w:spacing w:line="240" w:lineRule="auto"/>
              <w:ind w:left="170" w:right="198" w:firstLine="0"/>
              <w:rPr>
                <w:rFonts w:cs="Arial"/>
                <w:sz w:val="20"/>
                <w:lang w:val="es-MX"/>
              </w:rPr>
            </w:pPr>
          </w:p>
          <w:p w14:paraId="3C7D270E" w14:textId="77777777" w:rsidR="000241BA" w:rsidRPr="00ED2D84" w:rsidRDefault="000241BA" w:rsidP="000241BA">
            <w:pPr>
              <w:pStyle w:val="corte4fondo"/>
              <w:spacing w:line="240" w:lineRule="auto"/>
              <w:ind w:left="170" w:right="198" w:firstLine="0"/>
              <w:rPr>
                <w:rFonts w:cs="Arial"/>
                <w:sz w:val="20"/>
                <w:lang w:val="es-MX"/>
              </w:rPr>
            </w:pPr>
            <w:r w:rsidRPr="00ED2D84">
              <w:rPr>
                <w:rFonts w:cs="Arial"/>
                <w:sz w:val="20"/>
                <w:lang w:val="es-MX"/>
              </w:rPr>
              <w:t>El control y vigilancia de las finanzas de los partidos políticos y de las campañas de los candidatos estará a cargo del Consejo General del Instituto Nacional Electoral. La ley desarrollará las atribuciones del Consejo para la realización de dicha función, así como la definición de los órganos técnicos dependientes del mismo, responsables de realizar las revisiones e instruir los procedimientos para la aplicación de las sanciones correspondientes. En el cumplimiento de sus atribuciones, el Consejo General no estará limitado por los secretos bancario, fiduciario y fiscal, y contará con el apoyo de las autoridades federales y locales.</w:t>
            </w:r>
          </w:p>
          <w:p w14:paraId="2850269E" w14:textId="77777777" w:rsidR="000241BA" w:rsidRPr="00ED2D84" w:rsidRDefault="000241BA" w:rsidP="000241BA">
            <w:pPr>
              <w:pStyle w:val="corte4fondo"/>
              <w:spacing w:line="240" w:lineRule="auto"/>
              <w:ind w:left="170" w:right="198" w:firstLine="0"/>
              <w:rPr>
                <w:rFonts w:cs="Arial"/>
                <w:sz w:val="20"/>
                <w:lang w:val="es-MX"/>
              </w:rPr>
            </w:pPr>
            <w:r w:rsidRPr="00ED2D84">
              <w:rPr>
                <w:rFonts w:cs="Arial"/>
                <w:sz w:val="20"/>
                <w:lang w:val="es-MX"/>
              </w:rPr>
              <w:t>En caso de que el INE delegue la función de fiscalización, su órgano técnico será el conducto para superar la limitación a que se refiere el párrafo anterior.</w:t>
            </w:r>
          </w:p>
          <w:p w14:paraId="0F8F0047" w14:textId="77777777" w:rsidR="000241BA" w:rsidRDefault="000241BA" w:rsidP="000241BA">
            <w:pPr>
              <w:ind w:left="170" w:right="198"/>
              <w:jc w:val="both"/>
              <w:rPr>
                <w:rFonts w:ascii="Arial" w:hAnsi="Arial" w:cs="Arial"/>
                <w:sz w:val="20"/>
                <w:szCs w:val="20"/>
                <w:lang w:val="es-MX"/>
              </w:rPr>
            </w:pPr>
            <w:r w:rsidRPr="00ED2D84">
              <w:rPr>
                <w:rFonts w:ascii="Arial" w:hAnsi="Arial" w:cs="Arial"/>
                <w:sz w:val="20"/>
                <w:szCs w:val="20"/>
                <w:lang w:val="es-MX"/>
              </w:rPr>
              <w:t>La SCJN, señaló que, el Congreso de Nuevo León podía establecer en su normativa disposiciones relacionadas con el tema mencionado, y lo hizo en los mismos términos que la legislación general, con excepción a lo establecido en el numeral impugnado referente a los procedimientos para el control y vigilancia del origen y uso de todos los recursos con que cuenten los partidos políticos o los candidatos, así como para dar a conocer el patrimonio que poseen al iniciar el período electoral y el establecimiento de las sanciones para el cumplimiento de las disposiciones que se expidan en estas materias</w:t>
            </w:r>
            <w:r>
              <w:rPr>
                <w:rFonts w:ascii="Arial" w:hAnsi="Arial" w:cs="Arial"/>
                <w:sz w:val="20"/>
                <w:szCs w:val="20"/>
                <w:lang w:val="es-MX"/>
              </w:rPr>
              <w:t>, por lo que</w:t>
            </w:r>
            <w:r w:rsidRPr="00ED2D84">
              <w:rPr>
                <w:rFonts w:ascii="Arial" w:hAnsi="Arial" w:cs="Arial"/>
                <w:sz w:val="20"/>
                <w:szCs w:val="20"/>
                <w:lang w:val="es-MX"/>
              </w:rPr>
              <w:t xml:space="preserve"> los preceptos señalados como base para haber sostenido la validez del artículo impugnado, únicamente se refieren a las reglas para las precampañas y las campañas, y no incluyen estos temas.</w:t>
            </w:r>
          </w:p>
          <w:p w14:paraId="7C0A50BF" w14:textId="77777777" w:rsidR="000241BA" w:rsidRPr="00ED2D84" w:rsidRDefault="000241BA" w:rsidP="000241BA">
            <w:pPr>
              <w:ind w:left="170" w:right="198"/>
              <w:jc w:val="both"/>
              <w:rPr>
                <w:rStyle w:val="corte5transcripcionCarCarCar"/>
                <w:rFonts w:cs="Arial"/>
                <w:b w:val="0"/>
                <w:i w:val="0"/>
                <w:sz w:val="20"/>
                <w:szCs w:val="20"/>
                <w:lang w:val="es-MX"/>
              </w:rPr>
            </w:pPr>
          </w:p>
          <w:p w14:paraId="32C8AEFE" w14:textId="77777777" w:rsidR="000241BA" w:rsidRPr="00ED2D84" w:rsidRDefault="000241BA" w:rsidP="000241BA">
            <w:pPr>
              <w:pStyle w:val="corte4fondo"/>
              <w:spacing w:line="240" w:lineRule="auto"/>
              <w:ind w:left="170" w:right="198" w:firstLine="0"/>
              <w:rPr>
                <w:rFonts w:cs="Arial"/>
                <w:b/>
                <w:sz w:val="20"/>
                <w:lang w:val="es-MX"/>
              </w:rPr>
            </w:pPr>
            <w:r w:rsidRPr="00ED2D84">
              <w:rPr>
                <w:rStyle w:val="corte5transcripcionCarCarCar"/>
                <w:rFonts w:cs="Arial"/>
                <w:sz w:val="20"/>
                <w:szCs w:val="20"/>
                <w:lang w:val="es-MX"/>
              </w:rPr>
              <w:t xml:space="preserve">Esta porción normativa se refiere a los procedimientos para el control y vigilancia del origen y uso de todos los recursos con que cuenten los partidos políticos o los candidatos, así como para dar a conocer el patrimonio que poseen al iniciar el período electoral y el establecimiento de las sanciones para el cumplimiento de las disposiciones que se expidan en estas materias. </w:t>
            </w:r>
          </w:p>
          <w:p w14:paraId="57EE06A3" w14:textId="77777777" w:rsidR="000241BA" w:rsidRPr="00ED2D84" w:rsidRDefault="000241BA" w:rsidP="000241BA">
            <w:pPr>
              <w:pStyle w:val="corte4fondo"/>
              <w:numPr>
                <w:ilvl w:val="0"/>
                <w:numId w:val="8"/>
              </w:numPr>
              <w:tabs>
                <w:tab w:val="left" w:pos="252"/>
              </w:tabs>
              <w:spacing w:line="240" w:lineRule="auto"/>
              <w:ind w:left="170" w:right="198" w:hanging="567"/>
              <w:rPr>
                <w:rFonts w:cs="Arial"/>
                <w:sz w:val="20"/>
                <w:lang w:val="es-MX"/>
              </w:rPr>
            </w:pPr>
            <w:r w:rsidRPr="00ED2D84">
              <w:rPr>
                <w:rFonts w:cs="Arial"/>
                <w:sz w:val="20"/>
                <w:lang w:val="es-MX"/>
              </w:rPr>
              <w:t xml:space="preserve">Por lo tanto, se declaró procedente y parcialmente fundada la presente acción de inconstitucionalidad, la validez del artículo 42, párrafo décimo quinto, fracción I, en las porciones normativas que indican: </w:t>
            </w:r>
            <w:r w:rsidRPr="00ED2D84">
              <w:rPr>
                <w:rFonts w:cs="Arial"/>
                <w:b/>
                <w:sz w:val="20"/>
                <w:lang w:val="es-MX"/>
              </w:rPr>
              <w:t xml:space="preserve">“I. Las reglas para establecer los límites a las erogaciones de los partidos políticos en sus procesos de precampaña y en las campañas electorales, los montos máximos que tengan las </w:t>
            </w:r>
            <w:r w:rsidRPr="00ED2D84">
              <w:rPr>
                <w:rFonts w:cs="Arial"/>
                <w:b/>
                <w:sz w:val="20"/>
                <w:lang w:val="es-MX"/>
              </w:rPr>
              <w:lastRenderedPageBreak/>
              <w:t xml:space="preserve">aportaciones de sus militantes y simpatizantes;” </w:t>
            </w:r>
            <w:r w:rsidRPr="00ED2D84">
              <w:rPr>
                <w:rFonts w:cs="Arial"/>
                <w:sz w:val="20"/>
                <w:lang w:val="es-MX"/>
              </w:rPr>
              <w:t xml:space="preserve">así como </w:t>
            </w:r>
            <w:r w:rsidRPr="00ED2D84">
              <w:rPr>
                <w:rFonts w:cs="Arial"/>
                <w:b/>
                <w:sz w:val="20"/>
                <w:lang w:val="es-MX"/>
              </w:rPr>
              <w:t>“y el establecimiento de las sanciones para el incumplimiento de las disposiciones que se expidan en estas materias;”</w:t>
            </w:r>
            <w:r w:rsidRPr="00ED2D84">
              <w:rPr>
                <w:rFonts w:cs="Arial"/>
                <w:sz w:val="20"/>
                <w:lang w:val="es-MX"/>
              </w:rPr>
              <w:t xml:space="preserve"> de la Constitución Política del Estado de Nuevo León. </w:t>
            </w:r>
          </w:p>
          <w:p w14:paraId="6181762D" w14:textId="77777777" w:rsidR="000241BA" w:rsidRPr="00ED2D84" w:rsidRDefault="000241BA" w:rsidP="000241BA">
            <w:pPr>
              <w:pStyle w:val="corte4fondo"/>
              <w:spacing w:line="240" w:lineRule="auto"/>
              <w:ind w:left="170" w:right="198" w:firstLine="0"/>
              <w:rPr>
                <w:rFonts w:cs="Arial"/>
                <w:b/>
                <w:sz w:val="20"/>
              </w:rPr>
            </w:pPr>
          </w:p>
          <w:p w14:paraId="3E9F89D1"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Resolutivo.</w:t>
            </w:r>
          </w:p>
          <w:p w14:paraId="0976FF3B"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w:t>
            </w:r>
          </w:p>
          <w:p w14:paraId="352A27EB"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w:t>
            </w:r>
          </w:p>
          <w:p w14:paraId="2D4A1FAA"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w:t>
            </w:r>
          </w:p>
          <w:p w14:paraId="0FAD8691"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w:t>
            </w:r>
          </w:p>
          <w:p w14:paraId="0F1018EF" w14:textId="77777777" w:rsidR="000241BA" w:rsidRDefault="000241BA" w:rsidP="000241BA">
            <w:pPr>
              <w:pStyle w:val="corte4fondo"/>
              <w:spacing w:line="240" w:lineRule="auto"/>
              <w:ind w:left="170" w:right="198" w:firstLine="0"/>
              <w:rPr>
                <w:rFonts w:cs="Arial"/>
                <w:b/>
                <w:sz w:val="20"/>
              </w:rPr>
            </w:pPr>
          </w:p>
          <w:p w14:paraId="77993B66" w14:textId="77777777" w:rsidR="000241BA" w:rsidRPr="00ED2D84" w:rsidRDefault="000241BA" w:rsidP="000241BA">
            <w:pPr>
              <w:pStyle w:val="corte4fondo"/>
              <w:spacing w:line="240" w:lineRule="auto"/>
              <w:ind w:left="170" w:right="198" w:firstLine="0"/>
              <w:rPr>
                <w:rFonts w:cs="Arial"/>
                <w:sz w:val="20"/>
              </w:rPr>
            </w:pPr>
            <w:r w:rsidRPr="00ED2D84">
              <w:rPr>
                <w:rFonts w:cs="Arial"/>
                <w:b/>
                <w:sz w:val="20"/>
              </w:rPr>
              <w:t>SEGUNDO.-</w:t>
            </w:r>
            <w:r w:rsidRPr="00ED2D84">
              <w:rPr>
                <w:rFonts w:cs="Arial"/>
                <w:sz w:val="20"/>
              </w:rPr>
              <w:t xml:space="preserve"> Se reconoce la validez del artículo 42, párrafo décimo quinto, fracción I, en las porciones normativas que indican: </w:t>
            </w:r>
            <w:r w:rsidRPr="00ED2D84">
              <w:rPr>
                <w:rFonts w:cs="Arial"/>
                <w:b/>
                <w:i/>
                <w:sz w:val="20"/>
              </w:rPr>
              <w:t xml:space="preserve">“I. Las reglas para establecer los límites a las erogaciones de los partidos políticos en sus procesos de precampaña y en las campañas electorales, los montos máximos que tengan las aportaciones de sus militantes y simpatizantes;” </w:t>
            </w:r>
            <w:r w:rsidRPr="00ED2D84">
              <w:rPr>
                <w:rFonts w:cs="Arial"/>
                <w:sz w:val="20"/>
              </w:rPr>
              <w:t xml:space="preserve">así como </w:t>
            </w:r>
            <w:r w:rsidRPr="00ED2D84">
              <w:rPr>
                <w:rFonts w:cs="Arial"/>
                <w:b/>
                <w:i/>
                <w:sz w:val="20"/>
              </w:rPr>
              <w:t>“y el establecimiento de las sanciones para el incumplimiento de las disposiciones que se expidan en estas materias;”</w:t>
            </w:r>
            <w:r w:rsidRPr="00ED2D84">
              <w:rPr>
                <w:rFonts w:cs="Arial"/>
                <w:sz w:val="20"/>
              </w:rPr>
              <w:t xml:space="preserve"> de la Constitución Política del Estado de Nuevo León. </w:t>
            </w:r>
          </w:p>
          <w:p w14:paraId="4C88A932"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w:t>
            </w:r>
          </w:p>
          <w:p w14:paraId="31CFC7CB"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w:t>
            </w:r>
          </w:p>
          <w:p w14:paraId="0B308E6A"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w:t>
            </w:r>
          </w:p>
          <w:p w14:paraId="60D43FEA" w14:textId="77777777" w:rsidR="000241BA" w:rsidRDefault="000241BA" w:rsidP="000241BA">
            <w:pPr>
              <w:pStyle w:val="corte4fondo"/>
              <w:spacing w:line="240" w:lineRule="auto"/>
              <w:ind w:left="170" w:right="198" w:firstLine="0"/>
              <w:rPr>
                <w:rFonts w:cs="Arial"/>
                <w:b/>
                <w:sz w:val="20"/>
              </w:rPr>
            </w:pPr>
            <w:r w:rsidRPr="00ED2D84">
              <w:rPr>
                <w:rFonts w:cs="Arial"/>
                <w:b/>
                <w:sz w:val="20"/>
              </w:rPr>
              <w:t>(…)</w:t>
            </w:r>
          </w:p>
          <w:p w14:paraId="49A4D1D1" w14:textId="77777777" w:rsidR="000241BA" w:rsidRDefault="000241BA" w:rsidP="000241BA">
            <w:pPr>
              <w:pStyle w:val="corte4fondo"/>
              <w:spacing w:line="240" w:lineRule="auto"/>
              <w:ind w:left="170" w:right="198" w:firstLine="0"/>
              <w:rPr>
                <w:rFonts w:cs="Arial"/>
                <w:b/>
                <w:sz w:val="20"/>
              </w:rPr>
            </w:pPr>
          </w:p>
          <w:p w14:paraId="531228A6"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En relación con el punto resolutivo segundo:</w:t>
            </w:r>
          </w:p>
          <w:p w14:paraId="7AAE4D74" w14:textId="77777777" w:rsidR="000241BA" w:rsidRPr="00ED2D84" w:rsidRDefault="000241BA" w:rsidP="000241BA">
            <w:pPr>
              <w:pStyle w:val="corte4fondo"/>
              <w:spacing w:line="240" w:lineRule="auto"/>
              <w:ind w:left="170" w:right="198"/>
              <w:rPr>
                <w:rFonts w:cs="Arial"/>
                <w:b/>
                <w:sz w:val="20"/>
              </w:rPr>
            </w:pPr>
          </w:p>
          <w:p w14:paraId="0BDE6397" w14:textId="77777777" w:rsidR="000241BA" w:rsidRPr="00ED2D84" w:rsidRDefault="000241BA" w:rsidP="000241BA">
            <w:pPr>
              <w:pStyle w:val="corte4fondo"/>
              <w:spacing w:line="240" w:lineRule="auto"/>
              <w:ind w:left="170" w:right="198" w:firstLine="0"/>
              <w:rPr>
                <w:rFonts w:cs="Arial"/>
                <w:sz w:val="20"/>
              </w:rPr>
            </w:pPr>
            <w:r w:rsidRPr="00ED2D84">
              <w:rPr>
                <w:rFonts w:cs="Arial"/>
                <w:sz w:val="20"/>
              </w:rPr>
              <w:t xml:space="preserve">Se aprobó por mayoría de nueve votos de los señores Ministros Cossío Díaz, Luna Ramos, Franco González Salas, Zaldívar Lelo de Larrea, Pardo Rebolledo, Aguilar Morales, Sánchez Cordero de García Villegas, Pérez Dayán y Presidente Silva Meza, respecto de la propuesta del considerando sexto, consistente en reconocer la validez del artículo 42, párrafo décimo quinto, fracción I, de la Constitución Política del Estado de Nuevo León, en las porciones normativas que citan “I. Las reglas para establecer los límites a las erogaciones de los partidos políticos en sus procesos de precampaña y en las campañas electorales, los montos máximos que tengan las aportaciones de sus militantes y simpatizantes;” y “el establecimiento de las sanciones para el incumplimiento de las disposiciones que se expidan en estas materias;”. El señor </w:t>
            </w:r>
            <w:proofErr w:type="gramStart"/>
            <w:r w:rsidRPr="00ED2D84">
              <w:rPr>
                <w:rFonts w:cs="Arial"/>
                <w:sz w:val="20"/>
              </w:rPr>
              <w:t>Ministro</w:t>
            </w:r>
            <w:proofErr w:type="gramEnd"/>
            <w:r w:rsidRPr="00ED2D84">
              <w:rPr>
                <w:rFonts w:cs="Arial"/>
                <w:sz w:val="20"/>
              </w:rPr>
              <w:t xml:space="preserve"> Gutiérrez Ortiz Mena votó en contra.</w:t>
            </w:r>
          </w:p>
          <w:p w14:paraId="6D9F427D"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w:t>
            </w:r>
          </w:p>
          <w:p w14:paraId="11C69CD0"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w:t>
            </w:r>
          </w:p>
          <w:p w14:paraId="0B7AA484"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w:t>
            </w:r>
          </w:p>
          <w:p w14:paraId="7B062455"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w:t>
            </w:r>
          </w:p>
          <w:p w14:paraId="372B7406" w14:textId="77777777" w:rsidR="000241BA" w:rsidRPr="00ED2D84" w:rsidRDefault="000241BA" w:rsidP="000241BA">
            <w:pPr>
              <w:pStyle w:val="Prrafodelista"/>
              <w:ind w:left="252" w:right="198"/>
              <w:jc w:val="both"/>
              <w:rPr>
                <w:rFonts w:ascii="Arial" w:eastAsia="Arial Unicode MS" w:hAnsi="Arial" w:cs="Arial"/>
                <w:b/>
                <w:bCs/>
                <w:sz w:val="20"/>
                <w:szCs w:val="20"/>
              </w:rPr>
            </w:pPr>
          </w:p>
        </w:tc>
      </w:tr>
      <w:tr w:rsidR="000241BA" w:rsidRPr="00ED2D84" w14:paraId="08A1028E" w14:textId="77777777" w:rsidTr="00C75296">
        <w:trPr>
          <w:trHeight w:val="283"/>
        </w:trPr>
        <w:tc>
          <w:tcPr>
            <w:tcW w:w="1877" w:type="dxa"/>
            <w:vAlign w:val="center"/>
          </w:tcPr>
          <w:p w14:paraId="406E123C" w14:textId="77777777" w:rsidR="000241BA" w:rsidRDefault="00AF100A" w:rsidP="00C75296">
            <w:pPr>
              <w:pStyle w:val="Default"/>
              <w:ind w:left="170" w:right="198"/>
              <w:jc w:val="center"/>
              <w:rPr>
                <w:rStyle w:val="Hipervnculo"/>
                <w:rFonts w:ascii="Arial" w:hAnsi="Arial" w:cs="Arial"/>
                <w:b/>
                <w:sz w:val="20"/>
                <w:szCs w:val="20"/>
              </w:rPr>
            </w:pPr>
            <w:hyperlink r:id="rId17" w:history="1">
              <w:r w:rsidR="000241BA" w:rsidRPr="00ED2D84">
                <w:rPr>
                  <w:rStyle w:val="Hipervnculo"/>
                  <w:rFonts w:ascii="Arial" w:hAnsi="Arial" w:cs="Arial"/>
                  <w:b/>
                  <w:sz w:val="20"/>
                  <w:szCs w:val="20"/>
                </w:rPr>
                <w:t xml:space="preserve">38/2014 y sus acumuladas 91/2014, </w:t>
              </w:r>
              <w:r w:rsidR="000241BA" w:rsidRPr="00ED2D84">
                <w:rPr>
                  <w:rStyle w:val="Hipervnculo"/>
                  <w:rFonts w:ascii="Arial" w:hAnsi="Arial" w:cs="Arial"/>
                  <w:b/>
                  <w:sz w:val="20"/>
                  <w:szCs w:val="20"/>
                </w:rPr>
                <w:lastRenderedPageBreak/>
                <w:t>92/2014 y 93/2014</w:t>
              </w:r>
            </w:hyperlink>
          </w:p>
          <w:p w14:paraId="79B144FE" w14:textId="77777777" w:rsidR="000241BA" w:rsidRDefault="000241BA" w:rsidP="00C75296">
            <w:pPr>
              <w:pStyle w:val="Default"/>
              <w:ind w:left="170" w:right="198"/>
              <w:jc w:val="center"/>
              <w:rPr>
                <w:rStyle w:val="Hipervnculo"/>
                <w:b/>
              </w:rPr>
            </w:pPr>
          </w:p>
          <w:p w14:paraId="1FF7A5FD" w14:textId="20B0C381" w:rsidR="000241BA" w:rsidRPr="00ED2D84" w:rsidRDefault="000241BA" w:rsidP="00C75296">
            <w:pPr>
              <w:pStyle w:val="Default"/>
              <w:ind w:left="170" w:right="198"/>
              <w:jc w:val="center"/>
              <w:rPr>
                <w:rFonts w:ascii="Arial" w:hAnsi="Arial" w:cs="Arial"/>
                <w:color w:val="auto"/>
                <w:sz w:val="20"/>
                <w:szCs w:val="20"/>
              </w:rPr>
            </w:pPr>
            <w:r w:rsidRPr="00ED2D84">
              <w:rPr>
                <w:rFonts w:ascii="Arial" w:hAnsi="Arial" w:cs="Arial"/>
                <w:b/>
                <w:sz w:val="20"/>
                <w:szCs w:val="20"/>
              </w:rPr>
              <w:t>Nuevo León</w:t>
            </w:r>
          </w:p>
        </w:tc>
        <w:tc>
          <w:tcPr>
            <w:tcW w:w="12294" w:type="dxa"/>
          </w:tcPr>
          <w:p w14:paraId="2F80B93D" w14:textId="77777777" w:rsidR="000241BA" w:rsidRPr="00ED2D84" w:rsidRDefault="000241BA" w:rsidP="000241BA">
            <w:pPr>
              <w:pStyle w:val="Prrafodelista"/>
              <w:numPr>
                <w:ilvl w:val="0"/>
                <w:numId w:val="9"/>
              </w:numPr>
              <w:shd w:val="clear" w:color="auto" w:fill="FFFFFF"/>
              <w:ind w:left="170" w:right="198" w:hanging="142"/>
              <w:jc w:val="both"/>
              <w:rPr>
                <w:rFonts w:ascii="Arial" w:hAnsi="Arial" w:cs="Arial"/>
                <w:sz w:val="20"/>
                <w:szCs w:val="20"/>
                <w:lang w:val="es-MX"/>
              </w:rPr>
            </w:pPr>
            <w:r w:rsidRPr="00ED2D84">
              <w:rPr>
                <w:rFonts w:ascii="Arial" w:hAnsi="Arial" w:cs="Arial"/>
                <w:b/>
                <w:sz w:val="20"/>
                <w:szCs w:val="20"/>
              </w:rPr>
              <w:lastRenderedPageBreak/>
              <w:t>Auditorias de Partidos Políticos</w:t>
            </w:r>
            <w:r w:rsidRPr="00ED2D84">
              <w:rPr>
                <w:rFonts w:ascii="Arial" w:hAnsi="Arial" w:cs="Arial"/>
                <w:sz w:val="20"/>
                <w:szCs w:val="20"/>
                <w:lang w:val="es-MX"/>
              </w:rPr>
              <w:t>.</w:t>
            </w:r>
          </w:p>
          <w:p w14:paraId="784F1DCB" w14:textId="77777777" w:rsidR="000241BA" w:rsidRPr="00ED2D84" w:rsidRDefault="000241BA" w:rsidP="000241BA">
            <w:pPr>
              <w:shd w:val="clear" w:color="auto" w:fill="FFFFFF"/>
              <w:ind w:left="170" w:right="198"/>
              <w:jc w:val="both"/>
              <w:rPr>
                <w:rFonts w:ascii="Arial" w:hAnsi="Arial" w:cs="Arial"/>
                <w:sz w:val="20"/>
                <w:szCs w:val="20"/>
                <w:lang w:val="es-MX"/>
              </w:rPr>
            </w:pPr>
          </w:p>
          <w:p w14:paraId="0E36DD46" w14:textId="77777777" w:rsidR="000241BA" w:rsidRPr="00ED2D84" w:rsidRDefault="000241BA" w:rsidP="000241BA">
            <w:pPr>
              <w:shd w:val="clear" w:color="auto" w:fill="FFFFFF"/>
              <w:ind w:left="170" w:right="198"/>
              <w:jc w:val="both"/>
              <w:rPr>
                <w:rFonts w:ascii="Arial" w:hAnsi="Arial" w:cs="Arial"/>
                <w:color w:val="000000"/>
                <w:sz w:val="20"/>
                <w:szCs w:val="20"/>
                <w:lang w:val="es-MX" w:eastAsia="es-MX"/>
              </w:rPr>
            </w:pPr>
            <w:r w:rsidRPr="00ED2D84">
              <w:rPr>
                <w:rFonts w:ascii="Arial" w:hAnsi="Arial" w:cs="Arial"/>
                <w:sz w:val="20"/>
                <w:szCs w:val="20"/>
                <w:lang w:val="es-MX"/>
              </w:rPr>
              <w:t>El Partido del Trabajo adujó que el artículo 97 fracción IV de la Ley Electoral para el Estado de Nuevo León, trasgredió el</w:t>
            </w:r>
            <w:r w:rsidRPr="00ED2D84">
              <w:rPr>
                <w:rFonts w:ascii="Arial" w:hAnsi="Arial" w:cs="Arial"/>
                <w:b/>
                <w:bCs/>
                <w:color w:val="000000"/>
                <w:sz w:val="20"/>
                <w:szCs w:val="20"/>
                <w:lang w:val="es-MX" w:eastAsia="es-MX"/>
              </w:rPr>
              <w:t xml:space="preserve"> </w:t>
            </w:r>
            <w:r w:rsidRPr="00ED2D84">
              <w:rPr>
                <w:rFonts w:ascii="Arial" w:hAnsi="Arial" w:cs="Arial"/>
                <w:color w:val="000000"/>
                <w:sz w:val="20"/>
                <w:szCs w:val="20"/>
                <w:lang w:val="es-MX" w:eastAsia="es-MX"/>
              </w:rPr>
              <w:t xml:space="preserve">artículo 41 </w:t>
            </w:r>
            <w:r w:rsidRPr="00ED2D84">
              <w:rPr>
                <w:rFonts w:ascii="Arial" w:hAnsi="Arial" w:cs="Arial"/>
                <w:color w:val="000000"/>
                <w:sz w:val="20"/>
                <w:szCs w:val="20"/>
                <w:lang w:val="es-MX" w:eastAsia="es-MX"/>
              </w:rPr>
              <w:lastRenderedPageBreak/>
              <w:t xml:space="preserve">Base V, apartado B, inciso a), el numeral 6 y 73, fracción XXIX-U de la CPEUM. </w:t>
            </w:r>
          </w:p>
          <w:p w14:paraId="69D388E4" w14:textId="77777777" w:rsidR="000241BA" w:rsidRPr="00ED2D84" w:rsidRDefault="000241BA" w:rsidP="000241BA">
            <w:pPr>
              <w:shd w:val="clear" w:color="auto" w:fill="FFFFFF"/>
              <w:ind w:left="170" w:right="198"/>
              <w:jc w:val="both"/>
              <w:rPr>
                <w:rFonts w:ascii="Arial" w:hAnsi="Arial" w:cs="Arial"/>
                <w:color w:val="000000"/>
                <w:sz w:val="20"/>
                <w:szCs w:val="20"/>
                <w:lang w:val="es-MX" w:eastAsia="es-MX"/>
              </w:rPr>
            </w:pPr>
          </w:p>
          <w:p w14:paraId="73377116" w14:textId="77777777" w:rsidR="000241BA" w:rsidRPr="00ED2D84" w:rsidRDefault="000241BA" w:rsidP="000241BA">
            <w:pPr>
              <w:ind w:left="170" w:right="198"/>
              <w:jc w:val="both"/>
              <w:rPr>
                <w:rFonts w:ascii="Arial" w:hAnsi="Arial" w:cs="Arial"/>
                <w:b/>
                <w:color w:val="000000"/>
                <w:sz w:val="20"/>
                <w:szCs w:val="20"/>
                <w:lang w:val="es-MX"/>
              </w:rPr>
            </w:pPr>
            <w:r w:rsidRPr="00ED2D84">
              <w:rPr>
                <w:rFonts w:ascii="Arial" w:hAnsi="Arial" w:cs="Arial"/>
                <w:b/>
                <w:color w:val="000000"/>
                <w:sz w:val="20"/>
                <w:szCs w:val="20"/>
                <w:lang w:val="es-MX"/>
              </w:rPr>
              <w:t>Consideraciones</w:t>
            </w:r>
          </w:p>
          <w:p w14:paraId="30FA462A" w14:textId="77777777" w:rsidR="000241BA" w:rsidRPr="00ED2D84" w:rsidRDefault="000241BA" w:rsidP="000241BA">
            <w:pPr>
              <w:shd w:val="clear" w:color="auto" w:fill="FFFFFF"/>
              <w:ind w:left="170" w:right="198"/>
              <w:jc w:val="both"/>
              <w:rPr>
                <w:rFonts w:ascii="Arial" w:hAnsi="Arial" w:cs="Arial"/>
                <w:color w:val="000000"/>
                <w:sz w:val="20"/>
                <w:szCs w:val="20"/>
                <w:lang w:val="es-MX" w:eastAsia="es-MX"/>
              </w:rPr>
            </w:pPr>
          </w:p>
          <w:p w14:paraId="0C6285C3" w14:textId="77777777" w:rsidR="000241BA" w:rsidRPr="00ED2D84" w:rsidRDefault="000241BA" w:rsidP="000241BA">
            <w:pPr>
              <w:pStyle w:val="Estilo"/>
              <w:ind w:left="170" w:right="198"/>
              <w:rPr>
                <w:rFonts w:cs="Arial"/>
                <w:sz w:val="20"/>
                <w:szCs w:val="20"/>
              </w:rPr>
            </w:pPr>
            <w:r w:rsidRPr="00ED2D84">
              <w:rPr>
                <w:rFonts w:cs="Arial"/>
                <w:b/>
                <w:bCs/>
                <w:color w:val="000000"/>
                <w:sz w:val="20"/>
                <w:szCs w:val="20"/>
                <w:lang w:eastAsia="es-MX"/>
              </w:rPr>
              <w:t xml:space="preserve">La SCJN </w:t>
            </w:r>
            <w:r w:rsidRPr="00ED2D84">
              <w:rPr>
                <w:rFonts w:cs="Arial"/>
                <w:b/>
                <w:bCs/>
                <w:sz w:val="20"/>
                <w:szCs w:val="20"/>
              </w:rPr>
              <w:t>reconoció la validez</w:t>
            </w:r>
            <w:r w:rsidRPr="00ED2D84">
              <w:rPr>
                <w:rFonts w:cs="Arial"/>
                <w:color w:val="000000"/>
                <w:sz w:val="20"/>
                <w:szCs w:val="20"/>
                <w:lang w:eastAsia="es-MX"/>
              </w:rPr>
              <w:t xml:space="preserve"> del articulo controvertido,</w:t>
            </w:r>
            <w:r w:rsidRPr="00ED2D84">
              <w:rPr>
                <w:rFonts w:cs="Arial"/>
                <w:sz w:val="20"/>
                <w:szCs w:val="20"/>
              </w:rPr>
              <w:t xml:space="preserve"> debido a que derivado de los contenidos del artículo 116 fracción IV inciso h) de la CPEUM, establece que las Constituciones y leyes de los estados acogerán criterios para establecer los límites a las erogaciones de los partidos políticos en sus precampañas y campañas electorales, así como los montos máximos que tengan las aportaciones de sus militantes y simpatizantes. Así, en el caso de la Constitución del Estado de Nuevo León el artículo 42 párrafo sexto, establece una reserva legal para garantizar que los partidos políticos con registro estatal o nacional cuenten de manera equitativa y permanente con elementos para la realización de sus actividades, siempre y cuando las realicen en el Estado. En ella se establecerán las reglas para el financiamiento público de sus actividades ordinarias permanentes, las tendientes a la obtención del voto durante los procesos electorales y para actividades específicas, relativas a educación, capacitación, investigación socioeconómica y política, así como a las tareas editoriales, que se otorgará a los partidos políticos que participen en las elecciones estatales y para la renovación de los integrantes de los Ayuntamientos de la entidad. En el caso, en la propia legislación comicial del Estado de Nuevo León se señala en su artículo 40 fracción V que son obligaciones de los partidos el permitir la práctica de auditorías y verificaciones por los órganos del INE facultados para ello, esto es la norma resulta válida toda vez que se utilizará solamente cuando exista la delegación del INE de dichas facultades, o en su caso de la Comisión Estatal Electoral cuando se deleguen en ésta las facultades de fiscalización previstas en el artículo 41 de la CPEUM para el Instituto Nacional Electoral, así como entregar la documentación que dichos órganos les requieran respecto a sus ingresos y egresos.</w:t>
            </w:r>
          </w:p>
          <w:p w14:paraId="3AB24EC6" w14:textId="77777777" w:rsidR="000241BA" w:rsidRPr="00ED2D84" w:rsidRDefault="000241BA" w:rsidP="000241BA">
            <w:pPr>
              <w:pStyle w:val="corte4fondo"/>
              <w:spacing w:line="240" w:lineRule="auto"/>
              <w:ind w:left="170" w:right="198" w:firstLine="0"/>
              <w:rPr>
                <w:rFonts w:cs="Arial"/>
                <w:b/>
                <w:sz w:val="20"/>
              </w:rPr>
            </w:pPr>
          </w:p>
          <w:p w14:paraId="6584DFF6"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Resolutivo.</w:t>
            </w:r>
          </w:p>
          <w:p w14:paraId="3590DEFF"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w:t>
            </w:r>
          </w:p>
          <w:p w14:paraId="11C7B56E"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w:t>
            </w:r>
          </w:p>
          <w:p w14:paraId="3587F9CE"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w:t>
            </w:r>
          </w:p>
          <w:p w14:paraId="3C871A32"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w:t>
            </w:r>
          </w:p>
          <w:p w14:paraId="2604B925" w14:textId="77777777" w:rsidR="000241BA" w:rsidRPr="00ED2D84" w:rsidRDefault="000241BA" w:rsidP="000241BA">
            <w:pPr>
              <w:pStyle w:val="corte4fondo"/>
              <w:spacing w:line="240" w:lineRule="auto"/>
              <w:ind w:left="170" w:right="198" w:firstLine="0"/>
              <w:rPr>
                <w:rFonts w:cs="Arial"/>
                <w:b/>
                <w:sz w:val="20"/>
              </w:rPr>
            </w:pPr>
          </w:p>
          <w:p w14:paraId="1E3F9723"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 xml:space="preserve">CUARTO. </w:t>
            </w:r>
            <w:r w:rsidRPr="00ED2D84">
              <w:rPr>
                <w:rFonts w:cs="Arial"/>
                <w:bCs/>
                <w:sz w:val="20"/>
              </w:rPr>
              <w:t>Se reconoció la validez de los artículos 8, fracción III, al tenor de la interpretación conforme consistente en que la restricción respectiva sólo opera cuando el inculpado está privado de la libertad, 11, 16, 92, último párrafo, 96, 97, fracción IV, 99, 100, 101, 108, 109, 110, 111, 112, 156, fracciones I y II, 188, fracción III, párrafo segundo, 189, 191, fracción III, 200, 203, 204, 205, fracción II, 207, fracción V, 213, fracción IV, 215, 216, párrafo tercero, 217, 224, 225, 254, 255, 256, 257, 258, 259, 260, 261, 263, fracción I, 265, párrafo tercero, 266, fracciones I y II, 267, 269, fracción V, 270 fracción II, en la porción normativa que indica "tres por ciento", 342 y 347 de la Ley Electoral para el Estado de Nuevo León, en los términos de la parte considerativa de esta sentencia</w:t>
            </w:r>
            <w:r w:rsidRPr="00ED2D84">
              <w:rPr>
                <w:rFonts w:cs="Arial"/>
                <w:b/>
                <w:sz w:val="20"/>
              </w:rPr>
              <w:t>.</w:t>
            </w:r>
          </w:p>
          <w:p w14:paraId="0895D343"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w:t>
            </w:r>
          </w:p>
          <w:p w14:paraId="76D677FF"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w:t>
            </w:r>
          </w:p>
          <w:p w14:paraId="1CC6567E"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w:t>
            </w:r>
          </w:p>
          <w:p w14:paraId="7FF0E621"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w:t>
            </w:r>
          </w:p>
          <w:p w14:paraId="57B96F55" w14:textId="77777777" w:rsidR="000241BA" w:rsidRPr="00ED2D84" w:rsidRDefault="000241BA" w:rsidP="000241BA">
            <w:pPr>
              <w:pStyle w:val="corte4fondo"/>
              <w:spacing w:line="240" w:lineRule="auto"/>
              <w:ind w:left="170" w:right="198" w:firstLine="0"/>
              <w:rPr>
                <w:rFonts w:cs="Arial"/>
                <w:b/>
                <w:sz w:val="20"/>
              </w:rPr>
            </w:pPr>
          </w:p>
          <w:p w14:paraId="7FF0E6B8"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En relación con el punto resolutivo cuarto:</w:t>
            </w:r>
          </w:p>
          <w:p w14:paraId="57D00EB0"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w:t>
            </w:r>
          </w:p>
          <w:p w14:paraId="63D05ADD"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w:t>
            </w:r>
          </w:p>
          <w:p w14:paraId="4B3AC3D3"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w:t>
            </w:r>
          </w:p>
          <w:p w14:paraId="287752F1"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w:t>
            </w:r>
          </w:p>
          <w:p w14:paraId="04B5A080" w14:textId="77777777" w:rsidR="000241BA" w:rsidRPr="00ED2D84" w:rsidRDefault="000241BA" w:rsidP="000241BA">
            <w:pPr>
              <w:pStyle w:val="corte4fondo"/>
              <w:spacing w:line="240" w:lineRule="auto"/>
              <w:ind w:left="170" w:right="198" w:firstLine="0"/>
              <w:rPr>
                <w:rFonts w:cs="Arial"/>
                <w:b/>
                <w:sz w:val="20"/>
              </w:rPr>
            </w:pPr>
          </w:p>
          <w:p w14:paraId="46DB03C6" w14:textId="77777777" w:rsidR="000241BA" w:rsidRPr="00ED2D84" w:rsidRDefault="000241BA" w:rsidP="000241BA">
            <w:pPr>
              <w:pStyle w:val="corte4fondo"/>
              <w:spacing w:line="240" w:lineRule="auto"/>
              <w:ind w:left="170" w:right="198" w:firstLine="0"/>
              <w:rPr>
                <w:rFonts w:cs="Arial"/>
                <w:b/>
                <w:sz w:val="20"/>
              </w:rPr>
            </w:pPr>
            <w:r w:rsidRPr="00ED2D84">
              <w:rPr>
                <w:rFonts w:cs="Arial"/>
                <w:sz w:val="20"/>
                <w:lang w:val="es-ES"/>
              </w:rPr>
              <w:t xml:space="preserve">Se aprobó por mayoría de siete votos de los señores Ministros Gutiérrez Ortiz Mena en el entendido de que la norma se aplicará solamente cuando exista la delegación de las facultades del Instituto Nacional Electoral, Cossío Díaz en el entendido de que la norma se aplicará solamente cuando exista la delegación de las facultades del Instituto Nacional Electoral, Luna Ramos en el entendido de que la norma se aplicará solamente cuando exista la delegación de las facultades del Instituto Nacional Electoral, Aguilar Morales, Sánchez Cordero de García Villegas en el entendido de que la norma se aplicará solamente cuando exista la delegación de las facultades del Instituto Nacional Electoral, Pérez Dayán y Presidente Silva Meza, respecto de la propuesta </w:t>
            </w:r>
            <w:r w:rsidRPr="00ED2D84">
              <w:rPr>
                <w:rFonts w:cs="Arial"/>
                <w:sz w:val="20"/>
              </w:rPr>
              <w:t>del considerando décimo quinto, consistente en reconocer la validez del artículo 97, fracción IV, de la Ley Electoral para el Estado de Nuevo León.</w:t>
            </w:r>
            <w:r w:rsidRPr="00ED2D84">
              <w:rPr>
                <w:rFonts w:cs="Arial"/>
                <w:sz w:val="20"/>
                <w:lang w:val="es-ES"/>
              </w:rPr>
              <w:t xml:space="preserve"> Los señores Ministros Franco González Salas, Zaldívar Lelo de Larrea y Pardo Rebolledo votaron en contra.</w:t>
            </w:r>
          </w:p>
          <w:p w14:paraId="5B2CA263"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w:t>
            </w:r>
          </w:p>
          <w:p w14:paraId="5A5E998A"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w:t>
            </w:r>
          </w:p>
          <w:p w14:paraId="7A351A59"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w:t>
            </w:r>
          </w:p>
          <w:p w14:paraId="76C3404C" w14:textId="77777777" w:rsidR="000241BA" w:rsidRDefault="000241BA" w:rsidP="003737BE">
            <w:pPr>
              <w:pStyle w:val="corte4fondo"/>
              <w:spacing w:line="240" w:lineRule="auto"/>
              <w:ind w:left="170" w:right="198" w:firstLine="0"/>
              <w:rPr>
                <w:rFonts w:cs="Arial"/>
                <w:b/>
                <w:sz w:val="20"/>
              </w:rPr>
            </w:pPr>
            <w:r w:rsidRPr="00ED2D84">
              <w:rPr>
                <w:rFonts w:cs="Arial"/>
                <w:b/>
                <w:sz w:val="20"/>
              </w:rPr>
              <w:t>(…)</w:t>
            </w:r>
          </w:p>
          <w:p w14:paraId="7AA78B89" w14:textId="57EE947C" w:rsidR="003737BE" w:rsidRPr="003737BE" w:rsidRDefault="003737BE" w:rsidP="003737BE">
            <w:pPr>
              <w:pStyle w:val="corte4fondo"/>
              <w:spacing w:line="240" w:lineRule="auto"/>
              <w:ind w:left="170" w:right="198" w:firstLine="0"/>
              <w:rPr>
                <w:rFonts w:cs="Arial"/>
                <w:b/>
                <w:sz w:val="20"/>
              </w:rPr>
            </w:pPr>
          </w:p>
        </w:tc>
      </w:tr>
      <w:tr w:rsidR="000241BA" w:rsidRPr="00ED2D84" w14:paraId="022A5385" w14:textId="77777777" w:rsidTr="00C75296">
        <w:trPr>
          <w:trHeight w:val="283"/>
        </w:trPr>
        <w:tc>
          <w:tcPr>
            <w:tcW w:w="1877" w:type="dxa"/>
            <w:vAlign w:val="center"/>
          </w:tcPr>
          <w:p w14:paraId="52169EAB" w14:textId="77777777" w:rsidR="000241BA" w:rsidRPr="00ED2D84" w:rsidRDefault="00AF100A" w:rsidP="00C75296">
            <w:pPr>
              <w:ind w:left="170" w:right="198"/>
              <w:jc w:val="center"/>
              <w:rPr>
                <w:rFonts w:ascii="Arial" w:hAnsi="Arial" w:cs="Arial"/>
                <w:b/>
                <w:sz w:val="20"/>
                <w:szCs w:val="20"/>
                <w:lang w:val="es-MX"/>
              </w:rPr>
            </w:pPr>
            <w:hyperlink r:id="rId18" w:history="1">
              <w:r w:rsidR="000241BA" w:rsidRPr="00ED2D84">
                <w:rPr>
                  <w:rStyle w:val="Hipervnculo"/>
                  <w:rFonts w:ascii="Arial" w:hAnsi="Arial" w:cs="Arial"/>
                  <w:b/>
                  <w:sz w:val="20"/>
                  <w:szCs w:val="20"/>
                  <w:lang w:val="es-MX"/>
                </w:rPr>
                <w:t>26/2014 y acumuladas</w:t>
              </w:r>
            </w:hyperlink>
          </w:p>
          <w:p w14:paraId="612541D3" w14:textId="77777777" w:rsidR="000241BA" w:rsidRDefault="000241BA" w:rsidP="00C75296">
            <w:pPr>
              <w:ind w:left="170" w:right="198"/>
              <w:jc w:val="center"/>
              <w:rPr>
                <w:rFonts w:ascii="Arial" w:hAnsi="Arial" w:cs="Arial"/>
                <w:b/>
                <w:sz w:val="20"/>
                <w:szCs w:val="20"/>
                <w:lang w:val="es-MX"/>
              </w:rPr>
            </w:pPr>
          </w:p>
          <w:p w14:paraId="5A6086F3" w14:textId="18DA1BF8" w:rsidR="000241BA" w:rsidRPr="00ED2D84" w:rsidRDefault="000241BA" w:rsidP="00C75296">
            <w:pPr>
              <w:ind w:left="170" w:right="198"/>
              <w:jc w:val="center"/>
              <w:rPr>
                <w:rFonts w:ascii="Arial" w:hAnsi="Arial" w:cs="Arial"/>
                <w:b/>
                <w:sz w:val="20"/>
                <w:szCs w:val="20"/>
                <w:lang w:val="es-MX"/>
              </w:rPr>
            </w:pPr>
            <w:r>
              <w:rPr>
                <w:rFonts w:ascii="Arial" w:hAnsi="Arial" w:cs="Arial"/>
                <w:b/>
                <w:sz w:val="20"/>
                <w:szCs w:val="20"/>
                <w:lang w:val="es-MX"/>
              </w:rPr>
              <w:t>CDMX</w:t>
            </w:r>
          </w:p>
        </w:tc>
        <w:tc>
          <w:tcPr>
            <w:tcW w:w="12294" w:type="dxa"/>
          </w:tcPr>
          <w:p w14:paraId="48D1D518" w14:textId="77777777" w:rsidR="000241BA" w:rsidRPr="00BC2CD3" w:rsidRDefault="000241BA" w:rsidP="000241BA">
            <w:pPr>
              <w:pStyle w:val="Prrafodelista"/>
              <w:numPr>
                <w:ilvl w:val="0"/>
                <w:numId w:val="9"/>
              </w:numPr>
              <w:adjustRightInd w:val="0"/>
              <w:ind w:left="252" w:right="198" w:hanging="142"/>
              <w:jc w:val="both"/>
              <w:rPr>
                <w:rFonts w:ascii="Arial" w:hAnsi="Arial" w:cs="Arial"/>
                <w:iCs/>
                <w:sz w:val="20"/>
                <w:szCs w:val="20"/>
                <w:lang w:val="es-ES"/>
              </w:rPr>
            </w:pPr>
            <w:r w:rsidRPr="00BC2CD3">
              <w:rPr>
                <w:rFonts w:ascii="Arial" w:hAnsi="Arial" w:cs="Arial"/>
                <w:b/>
                <w:bCs/>
                <w:iCs/>
                <w:sz w:val="20"/>
                <w:szCs w:val="20"/>
                <w:lang w:val="es-ES"/>
              </w:rPr>
              <w:t>Constitucionalidad de la facultad de la Comisión de Fiscalización del Consejo General del Instituto Nacional Electoral para actuar sin sujeción a lo que determine la Unidad Técnica de Fiscalización</w:t>
            </w:r>
            <w:r w:rsidRPr="00BC2CD3">
              <w:rPr>
                <w:rFonts w:ascii="Arial" w:hAnsi="Arial" w:cs="Arial"/>
                <w:iCs/>
                <w:sz w:val="20"/>
                <w:szCs w:val="20"/>
                <w:lang w:val="es-ES"/>
              </w:rPr>
              <w:t xml:space="preserve">. </w:t>
            </w:r>
          </w:p>
          <w:p w14:paraId="34E8E4CB" w14:textId="77777777" w:rsidR="000241BA" w:rsidRPr="00ED2D84" w:rsidRDefault="000241BA" w:rsidP="000241BA">
            <w:pPr>
              <w:adjustRightInd w:val="0"/>
              <w:ind w:left="170" w:right="198"/>
              <w:jc w:val="both"/>
              <w:rPr>
                <w:rFonts w:ascii="Arial" w:hAnsi="Arial" w:cs="Arial"/>
                <w:iCs/>
                <w:sz w:val="20"/>
                <w:szCs w:val="20"/>
                <w:lang w:val="es-ES"/>
              </w:rPr>
            </w:pPr>
          </w:p>
          <w:p w14:paraId="659E08E0" w14:textId="77777777" w:rsidR="000241BA" w:rsidRPr="00ED2D84" w:rsidRDefault="000241BA" w:rsidP="000241BA">
            <w:pPr>
              <w:pStyle w:val="Prrafodelista"/>
              <w:widowControl/>
              <w:numPr>
                <w:ilvl w:val="0"/>
                <w:numId w:val="11"/>
              </w:numPr>
              <w:adjustRightInd w:val="0"/>
              <w:ind w:left="170" w:right="198"/>
              <w:jc w:val="both"/>
              <w:rPr>
                <w:rFonts w:ascii="Arial" w:hAnsi="Arial" w:cs="Arial"/>
                <w:iCs/>
                <w:sz w:val="20"/>
                <w:szCs w:val="20"/>
                <w:lang w:val="es-ES"/>
              </w:rPr>
            </w:pPr>
            <w:r w:rsidRPr="00ED2D84">
              <w:rPr>
                <w:rFonts w:ascii="Arial" w:hAnsi="Arial" w:cs="Arial"/>
                <w:iCs/>
                <w:sz w:val="20"/>
                <w:szCs w:val="20"/>
                <w:lang w:val="es-ES"/>
              </w:rPr>
              <w:t>El</w:t>
            </w:r>
            <w:r w:rsidRPr="00ED2D84">
              <w:rPr>
                <w:rFonts w:ascii="Arial" w:hAnsi="Arial" w:cs="Arial"/>
                <w:iCs/>
                <w:sz w:val="20"/>
                <w:szCs w:val="20"/>
                <w:lang w:val="es-MX"/>
              </w:rPr>
              <w:t xml:space="preserve"> Partido del Trabajo y el Partido de la Revolución Democrática impugnaron los artículos</w:t>
            </w:r>
            <w:r w:rsidRPr="00ED2D84">
              <w:rPr>
                <w:rFonts w:ascii="Arial" w:hAnsi="Arial" w:cs="Arial"/>
                <w:iCs/>
                <w:sz w:val="20"/>
                <w:szCs w:val="20"/>
                <w:lang w:val="es-ES"/>
              </w:rPr>
              <w:t xml:space="preserve">190, numeral 2, 192, numeral 1, incisos f), g), j), k), m) y n); 199, párrafo 1, incisos f) y o); y 427, numeral 1, incisos b) y c), de la LEGIPE, </w:t>
            </w:r>
            <w:r w:rsidRPr="00ED2D84">
              <w:rPr>
                <w:rFonts w:ascii="Arial" w:hAnsi="Arial" w:cs="Arial"/>
                <w:iCs/>
                <w:sz w:val="20"/>
                <w:szCs w:val="20"/>
                <w:lang w:val="es-MX"/>
              </w:rPr>
              <w:t xml:space="preserve">esencialmente argumentaron que las anteriores disposiciones vulneraron los artículos 41, fracción V, Apartado B, párrafos penúltimo y último de dicha fracción, de la CPEUM; y Segundo transitorio, fracciones I, inciso g), </w:t>
            </w:r>
            <w:proofErr w:type="spellStart"/>
            <w:r w:rsidRPr="00ED2D84">
              <w:rPr>
                <w:rFonts w:ascii="Arial" w:hAnsi="Arial" w:cs="Arial"/>
                <w:iCs/>
                <w:sz w:val="20"/>
                <w:szCs w:val="20"/>
                <w:lang w:val="es-MX"/>
              </w:rPr>
              <w:t>subinciso</w:t>
            </w:r>
            <w:proofErr w:type="spellEnd"/>
            <w:r w:rsidRPr="00ED2D84">
              <w:rPr>
                <w:rFonts w:ascii="Arial" w:hAnsi="Arial" w:cs="Arial"/>
                <w:iCs/>
                <w:sz w:val="20"/>
                <w:szCs w:val="20"/>
                <w:lang w:val="es-MX"/>
              </w:rPr>
              <w:t xml:space="preserve"> 1); y II, inciso c); del decreto de reformas constitucionales, publicado en el Diario Oficial el 10 de febrero de 2014, en razón de que </w:t>
            </w:r>
            <w:r w:rsidRPr="00ED2D84">
              <w:rPr>
                <w:rFonts w:ascii="Arial" w:hAnsi="Arial" w:cs="Arial"/>
                <w:iCs/>
                <w:sz w:val="20"/>
                <w:szCs w:val="20"/>
                <w:lang w:val="es-ES"/>
              </w:rPr>
              <w:t xml:space="preserve">la Comisión de Fiscalización del Consejo General del INE se le atribuye fiscalizar las finanzas de los partidos políticos y candidatos independientes, también dotan a la Comisión de Fiscalización de facultades para ordenar auditorías a los partidos políticos y candidatos independientes, sin tomar en cuenta que la única facultad que constitucionalmente tiene esta Comisión es la de aprobar las solicitudes que se le formulen para superar el secreto fiduciario, bancario y fiscal, quedando a cargo de la Unidad Técnica de Fiscalización las restantes atribuciones en materia de fiscalización de tales personas, asimismo soslayan que la Comisión de Fiscalización, salvo la superación del secreto fiduciario, bancario y fiscal, no puede actuar directamente, sino que tiene la obligación constitucional de ejercer sus atribuciones fiscalizadoras por conducto de la Unidad Técnica de Fiscalización, finalmente otorgan a la Comisión de Fiscalización facultades que corresponden al Consejo General del Instituto Nacional Electoral consistentes </w:t>
            </w:r>
            <w:r w:rsidRPr="00ED2D84">
              <w:rPr>
                <w:rFonts w:ascii="Arial" w:hAnsi="Arial" w:cs="Arial"/>
                <w:iCs/>
                <w:sz w:val="20"/>
                <w:szCs w:val="20"/>
                <w:lang w:val="es-ES"/>
              </w:rPr>
              <w:lastRenderedPageBreak/>
              <w:t xml:space="preserve">en imponer sanciones derivadas de la fiscalización de partidos y candidatos, ya que el artículo 199, párrafo 1, inciso o) dispone que la Unidad Técnica de Fiscalización deberá proponer a dicha Comisión </w:t>
            </w:r>
            <w:r w:rsidRPr="00ED2D84">
              <w:rPr>
                <w:rFonts w:ascii="Arial" w:hAnsi="Arial" w:cs="Arial"/>
                <w:b/>
                <w:i/>
                <w:iCs/>
                <w:sz w:val="20"/>
                <w:szCs w:val="20"/>
                <w:lang w:val="es-ES"/>
              </w:rPr>
              <w:t>“…las sanciones a imponer de acuerdo a la gravedad de las faltas cometidas.</w:t>
            </w:r>
          </w:p>
          <w:p w14:paraId="7AC75E00" w14:textId="77777777" w:rsidR="000241BA" w:rsidRPr="00ED2D84" w:rsidRDefault="000241BA" w:rsidP="000241BA">
            <w:pPr>
              <w:adjustRightInd w:val="0"/>
              <w:ind w:left="170" w:right="198"/>
              <w:jc w:val="both"/>
              <w:rPr>
                <w:rFonts w:ascii="Arial" w:hAnsi="Arial" w:cs="Arial"/>
                <w:b/>
                <w:i/>
                <w:iCs/>
                <w:sz w:val="20"/>
                <w:szCs w:val="20"/>
                <w:lang w:val="es-MX"/>
              </w:rPr>
            </w:pPr>
          </w:p>
          <w:p w14:paraId="4D6E2407" w14:textId="77777777" w:rsidR="000241BA" w:rsidRDefault="000241BA" w:rsidP="000241BA">
            <w:pPr>
              <w:ind w:left="170" w:right="198"/>
              <w:jc w:val="both"/>
              <w:rPr>
                <w:rFonts w:ascii="Arial" w:hAnsi="Arial" w:cs="Arial"/>
                <w:b/>
                <w:color w:val="000000"/>
                <w:sz w:val="20"/>
                <w:szCs w:val="20"/>
                <w:lang w:val="es-MX"/>
              </w:rPr>
            </w:pPr>
            <w:r w:rsidRPr="00ED2D84">
              <w:rPr>
                <w:rFonts w:ascii="Arial" w:hAnsi="Arial" w:cs="Arial"/>
                <w:b/>
                <w:color w:val="000000"/>
                <w:sz w:val="20"/>
                <w:szCs w:val="20"/>
                <w:lang w:val="es-MX"/>
              </w:rPr>
              <w:t>Consideraciones</w:t>
            </w:r>
            <w:r>
              <w:rPr>
                <w:rFonts w:ascii="Arial" w:hAnsi="Arial" w:cs="Arial"/>
                <w:b/>
                <w:color w:val="000000"/>
                <w:sz w:val="20"/>
                <w:szCs w:val="20"/>
                <w:lang w:val="es-MX"/>
              </w:rPr>
              <w:t>.</w:t>
            </w:r>
          </w:p>
          <w:p w14:paraId="15690E77" w14:textId="77777777" w:rsidR="000241BA" w:rsidRPr="00ED2D84" w:rsidRDefault="000241BA" w:rsidP="000241BA">
            <w:pPr>
              <w:ind w:left="170" w:right="198"/>
              <w:jc w:val="both"/>
              <w:rPr>
                <w:rFonts w:ascii="Arial" w:hAnsi="Arial" w:cs="Arial"/>
                <w:b/>
                <w:color w:val="000000"/>
                <w:sz w:val="20"/>
                <w:szCs w:val="20"/>
                <w:lang w:val="es-MX"/>
              </w:rPr>
            </w:pPr>
          </w:p>
          <w:p w14:paraId="7A5CB09C" w14:textId="77777777" w:rsidR="000241BA" w:rsidRPr="00ED2D84" w:rsidRDefault="000241BA" w:rsidP="000241BA">
            <w:pPr>
              <w:adjustRightInd w:val="0"/>
              <w:ind w:left="170" w:right="198"/>
              <w:jc w:val="both"/>
              <w:rPr>
                <w:rFonts w:ascii="Arial" w:hAnsi="Arial" w:cs="Arial"/>
                <w:iCs/>
                <w:sz w:val="20"/>
                <w:szCs w:val="20"/>
                <w:lang w:val="es-MX"/>
              </w:rPr>
            </w:pPr>
            <w:r w:rsidRPr="00ED2D84">
              <w:rPr>
                <w:rFonts w:ascii="Arial" w:hAnsi="Arial" w:cs="Arial"/>
                <w:iCs/>
                <w:sz w:val="20"/>
                <w:szCs w:val="20"/>
                <w:lang w:val="es-MX"/>
              </w:rPr>
              <w:t>La SCJN declaró infundados los anteriores argumentos ya que no existe disposición constitucional que obligue a la Comisión de Fiscalización del Instituto Nacional Electoral a actuar invariablemente por conducto de la Unidad Técnica de Fiscalización, por lo que el legislador secundario se encuentra en libertad de diseñar el sistema de fiscalización que mejor convenga para ampliar o reducir el margen de actuación autónoma de dicha Unidad, porque los partidos políticos parten de una estructura argumentativa que no está actualizada con el nuevo modelo de fiscalización previsto en la Constitución Federal, ya que su planteamiento se desarrolla como si aún estuviera vigente el texto anterior de la Norma Fundamental, que estuvo en vigor hasta antes de su reforma publicada en el Diario Oficial de la Federación el 10 de febrero de 2014, pues con anterioridad a ella, ciertamente las facultades de fiscalización de los partidos políticos estaban depositadas en un órgano con autonomía de gestión, tal como se establecía en los párrafos antepenúltimo y penúltimo de la fracción V del artículo 41 constitucional.</w:t>
            </w:r>
          </w:p>
          <w:p w14:paraId="50F05884" w14:textId="77777777" w:rsidR="000241BA" w:rsidRPr="00ED2D84" w:rsidRDefault="000241BA" w:rsidP="000241BA">
            <w:pPr>
              <w:ind w:left="170" w:right="198"/>
              <w:jc w:val="both"/>
              <w:rPr>
                <w:rFonts w:ascii="Arial" w:hAnsi="Arial" w:cs="Arial"/>
                <w:iCs/>
                <w:sz w:val="20"/>
                <w:szCs w:val="20"/>
                <w:lang w:val="es-MX"/>
              </w:rPr>
            </w:pPr>
          </w:p>
          <w:p w14:paraId="2F80A5EF" w14:textId="77777777" w:rsidR="000241BA" w:rsidRPr="00ED2D84" w:rsidRDefault="000241BA" w:rsidP="000241BA">
            <w:pPr>
              <w:adjustRightInd w:val="0"/>
              <w:ind w:left="170" w:right="198"/>
              <w:jc w:val="both"/>
              <w:rPr>
                <w:rFonts w:ascii="Arial" w:hAnsi="Arial" w:cs="Arial"/>
                <w:iCs/>
                <w:sz w:val="20"/>
                <w:szCs w:val="20"/>
                <w:lang w:val="es-MX"/>
              </w:rPr>
            </w:pPr>
            <w:r w:rsidRPr="00ED2D84">
              <w:rPr>
                <w:rFonts w:ascii="Arial" w:hAnsi="Arial" w:cs="Arial"/>
                <w:iCs/>
                <w:sz w:val="20"/>
                <w:szCs w:val="20"/>
                <w:lang w:val="es-MX"/>
              </w:rPr>
              <w:t>Asimismo declar</w:t>
            </w:r>
            <w:r>
              <w:rPr>
                <w:rFonts w:ascii="Arial" w:hAnsi="Arial" w:cs="Arial"/>
                <w:iCs/>
                <w:sz w:val="20"/>
                <w:szCs w:val="20"/>
                <w:lang w:val="es-MX"/>
              </w:rPr>
              <w:t>ó</w:t>
            </w:r>
            <w:r w:rsidRPr="00ED2D84">
              <w:rPr>
                <w:rFonts w:ascii="Arial" w:hAnsi="Arial" w:cs="Arial"/>
                <w:iCs/>
                <w:sz w:val="20"/>
                <w:szCs w:val="20"/>
                <w:lang w:val="es-MX"/>
              </w:rPr>
              <w:t xml:space="preserve"> incorrecta la premisa de la que parten los partidos en el sentido de que la Constitución Federal instituye a la Unidad Técnica de Fiscalización y, más equivocado aún, que este órgano constitucionalmente goza de autonomía de gestión para actuar en forma directa para ejercer sus atribuciones, ya que el texto de la Norma Fundamental es claro al establecer que actualmente la fiscalización de las finanzas de los partidos políticos y de las campañas de los candidatos estará a cargo del Consejo General del Instituto Nacional Electoral, y que será la ley la que desarrolle las atribuciones del Consejo para la realización de dicha función.</w:t>
            </w:r>
          </w:p>
          <w:p w14:paraId="756A7D77" w14:textId="77777777" w:rsidR="000241BA" w:rsidRDefault="000241BA" w:rsidP="000241BA">
            <w:pPr>
              <w:adjustRightInd w:val="0"/>
              <w:ind w:left="170" w:right="198"/>
              <w:jc w:val="both"/>
              <w:rPr>
                <w:rFonts w:ascii="Arial" w:hAnsi="Arial" w:cs="Arial"/>
                <w:iCs/>
                <w:sz w:val="20"/>
                <w:szCs w:val="20"/>
                <w:lang w:val="es-MX"/>
              </w:rPr>
            </w:pPr>
            <w:r w:rsidRPr="00ED2D84">
              <w:rPr>
                <w:rFonts w:ascii="Arial" w:hAnsi="Arial" w:cs="Arial"/>
                <w:iCs/>
                <w:sz w:val="20"/>
                <w:szCs w:val="20"/>
                <w:lang w:val="es-MX"/>
              </w:rPr>
              <w:t>El alto Tribunal adujo que  los argumentos de los partidos políticos en el sentido de que las normas reclamadas propician trámites burocráticos excesivos, también son infundados, pues si la competencia constitucional en materia de fiscalización de las finanzas de los partidos, y de las campañas de los candidatos, está depositada en el Consejo General del Instituto Nacional Electoral, la legislación secundaria no puede dejar de atender a la titularidad de la atribución para permitir que un órgano técnico, como es la Unidad Técnica de Fiscalización, actúe por sí y ante sí, arrogándose una facultad que hoy no tiene.</w:t>
            </w:r>
          </w:p>
          <w:p w14:paraId="115C2E8D" w14:textId="77777777" w:rsidR="000241BA" w:rsidRPr="00ED2D84" w:rsidRDefault="000241BA" w:rsidP="000241BA">
            <w:pPr>
              <w:adjustRightInd w:val="0"/>
              <w:ind w:left="170" w:right="198"/>
              <w:jc w:val="both"/>
              <w:rPr>
                <w:rFonts w:ascii="Arial" w:hAnsi="Arial" w:cs="Arial"/>
                <w:iCs/>
                <w:sz w:val="20"/>
                <w:szCs w:val="20"/>
                <w:lang w:val="es-MX"/>
              </w:rPr>
            </w:pPr>
          </w:p>
          <w:p w14:paraId="1872957E" w14:textId="77777777" w:rsidR="000241BA" w:rsidRPr="00ED2D84" w:rsidRDefault="000241BA" w:rsidP="000241BA">
            <w:pPr>
              <w:ind w:left="170" w:right="198"/>
              <w:jc w:val="both"/>
              <w:rPr>
                <w:rFonts w:ascii="Arial" w:hAnsi="Arial" w:cs="Arial"/>
                <w:iCs/>
                <w:sz w:val="20"/>
                <w:szCs w:val="20"/>
                <w:lang w:val="es-MX"/>
              </w:rPr>
            </w:pPr>
            <w:r w:rsidRPr="00ED2D84">
              <w:rPr>
                <w:rFonts w:ascii="Arial" w:hAnsi="Arial" w:cs="Arial"/>
                <w:iCs/>
                <w:sz w:val="20"/>
                <w:szCs w:val="20"/>
                <w:lang w:val="es-MX"/>
              </w:rPr>
              <w:t>Finalmente la Corte también declar</w:t>
            </w:r>
            <w:r>
              <w:rPr>
                <w:rFonts w:ascii="Arial" w:hAnsi="Arial" w:cs="Arial"/>
                <w:iCs/>
                <w:sz w:val="20"/>
                <w:szCs w:val="20"/>
                <w:lang w:val="es-MX"/>
              </w:rPr>
              <w:t>ó</w:t>
            </w:r>
            <w:r w:rsidRPr="00ED2D84">
              <w:rPr>
                <w:rFonts w:ascii="Arial" w:hAnsi="Arial" w:cs="Arial"/>
                <w:iCs/>
                <w:sz w:val="20"/>
                <w:szCs w:val="20"/>
                <w:lang w:val="es-MX"/>
              </w:rPr>
              <w:t xml:space="preserve"> infundado que las normas reclamadas hayan atribuido a la Comisión de Fiscalización la facultad para imponer sanciones derivadas del ejercicio de su función, ya que los partidos políticos pierden de vista que el artículo 44, párrafo 1, inciso a); de la Ley General de Instituciones y Procedimientos Electorales, confiere al Consejo General del Instituto Nacional Electoral, la facultad para conocer de las infracciones a dicha ley e imponer las sanciones que correspondan.</w:t>
            </w:r>
          </w:p>
          <w:p w14:paraId="7EDDB413" w14:textId="77777777" w:rsidR="000241BA" w:rsidRDefault="000241BA" w:rsidP="000241BA">
            <w:pPr>
              <w:pStyle w:val="corte4fondo"/>
              <w:spacing w:line="240" w:lineRule="auto"/>
              <w:ind w:left="170" w:right="198" w:firstLine="0"/>
              <w:rPr>
                <w:rFonts w:cs="Arial"/>
                <w:b/>
                <w:sz w:val="20"/>
              </w:rPr>
            </w:pPr>
          </w:p>
          <w:p w14:paraId="1A522AAD"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Resolutivo.</w:t>
            </w:r>
          </w:p>
          <w:p w14:paraId="5D3BE65E"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w:t>
            </w:r>
          </w:p>
          <w:p w14:paraId="5E0194D7"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w:t>
            </w:r>
          </w:p>
          <w:p w14:paraId="7DB7DD22"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w:t>
            </w:r>
          </w:p>
          <w:p w14:paraId="11AB6A2C"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lastRenderedPageBreak/>
              <w:t>(…)</w:t>
            </w:r>
          </w:p>
          <w:p w14:paraId="7814E788" w14:textId="77777777" w:rsidR="000241BA" w:rsidRPr="00ED2D84" w:rsidRDefault="000241BA" w:rsidP="000241BA">
            <w:pPr>
              <w:ind w:left="170" w:right="198"/>
              <w:jc w:val="both"/>
              <w:rPr>
                <w:rFonts w:ascii="Arial" w:hAnsi="Arial" w:cs="Arial"/>
                <w:b/>
                <w:sz w:val="20"/>
                <w:szCs w:val="20"/>
                <w:lang w:val="es-ES"/>
              </w:rPr>
            </w:pPr>
          </w:p>
          <w:p w14:paraId="55034C88" w14:textId="77777777" w:rsidR="000241BA" w:rsidRPr="00ED2D84" w:rsidRDefault="000241BA" w:rsidP="000241BA">
            <w:pPr>
              <w:ind w:left="170" w:right="198"/>
              <w:jc w:val="both"/>
              <w:rPr>
                <w:rFonts w:ascii="Arial" w:hAnsi="Arial" w:cs="Arial"/>
                <w:sz w:val="20"/>
                <w:szCs w:val="20"/>
                <w:lang w:val="es-ES"/>
              </w:rPr>
            </w:pPr>
            <w:r w:rsidRPr="00ED2D84">
              <w:rPr>
                <w:rFonts w:ascii="Arial" w:hAnsi="Arial" w:cs="Arial"/>
                <w:b/>
                <w:sz w:val="20"/>
                <w:szCs w:val="20"/>
                <w:lang w:val="es-ES"/>
              </w:rPr>
              <w:t xml:space="preserve">DÉCIMO. </w:t>
            </w:r>
            <w:r w:rsidRPr="00ED2D84">
              <w:rPr>
                <w:rFonts w:ascii="Arial" w:hAnsi="Arial" w:cs="Arial"/>
                <w:sz w:val="20"/>
                <w:szCs w:val="20"/>
                <w:lang w:val="es-ES"/>
              </w:rPr>
              <w:t xml:space="preserve">Con la salvedad a que se refieren los puntos resolutivos sexto a noveno anteriores, se reconoce la validez de las restantes normas reclamadas, pero a condición de que los siguientes preceptos se interpreten como se indica a continuación: 1) el artículo 218, numeral 6, inciso b), de la Ley General de Instituciones y Procedimientos Electorales, en el sentido de que, para la realización de los debates que prevé, es obligatorio que se convoque fehacientemente a todos los candidatos, en términos del considerando décimo tercero de la presente ejecutoria; 2) el artículo 85, párrafo 5, de la Ley General de Partidos Políticos, en el sentido de que la expresión </w:t>
            </w:r>
            <w:r w:rsidRPr="00ED2D84">
              <w:rPr>
                <w:rFonts w:ascii="Arial" w:hAnsi="Arial" w:cs="Arial"/>
                <w:b/>
                <w:i/>
                <w:sz w:val="20"/>
                <w:szCs w:val="20"/>
                <w:lang w:val="es-ES"/>
              </w:rPr>
              <w:t>“…en sus Constituciones locales…”</w:t>
            </w:r>
            <w:r w:rsidRPr="00ED2D84">
              <w:rPr>
                <w:rFonts w:ascii="Arial" w:hAnsi="Arial" w:cs="Arial"/>
                <w:sz w:val="20"/>
                <w:szCs w:val="20"/>
                <w:lang w:val="es-ES"/>
              </w:rPr>
              <w:t>; debe comprender al propio Estatuto de Gobierno del Distrito Federal, por tener éste un rango al menos equivalente a la que tendrían las Constituciones locales en el ámbito espacial de las demás entidades federativas, en términos del considerando vigésimo quinto; y 3) el artículo 13, párrafo 1, inciso d), de la Ley General del Sistema de Medios de Impugnación en Materia Electoral no impide a los candidatos independientes promover recursos por cuenta propia sin la intervención de sus representantes, en términos del considerando cuadragésimo sexto.</w:t>
            </w:r>
          </w:p>
          <w:p w14:paraId="7A9BEE9F"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w:t>
            </w:r>
          </w:p>
          <w:p w14:paraId="4B1E3535"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w:t>
            </w:r>
          </w:p>
          <w:p w14:paraId="60EC1E60"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w:t>
            </w:r>
          </w:p>
          <w:p w14:paraId="5D5626D5" w14:textId="77777777" w:rsidR="000241BA" w:rsidRPr="00ED2D84" w:rsidRDefault="000241BA" w:rsidP="000241BA">
            <w:pPr>
              <w:pStyle w:val="corte4fondo"/>
              <w:spacing w:line="240" w:lineRule="auto"/>
              <w:ind w:left="170" w:right="198" w:firstLine="0"/>
              <w:rPr>
                <w:rFonts w:cs="Arial"/>
                <w:b/>
                <w:sz w:val="20"/>
              </w:rPr>
            </w:pPr>
            <w:r w:rsidRPr="00ED2D84">
              <w:rPr>
                <w:rFonts w:cs="Arial"/>
                <w:b/>
                <w:sz w:val="20"/>
              </w:rPr>
              <w:t>(…)</w:t>
            </w:r>
          </w:p>
          <w:p w14:paraId="442608BF" w14:textId="03B1BB28" w:rsidR="000241BA" w:rsidRPr="003737BE" w:rsidRDefault="000241BA" w:rsidP="003737BE">
            <w:pPr>
              <w:spacing w:before="100" w:beforeAutospacing="1"/>
              <w:ind w:left="170" w:right="198"/>
              <w:jc w:val="both"/>
              <w:rPr>
                <w:rFonts w:ascii="Arial" w:hAnsi="Arial" w:cs="Arial"/>
                <w:sz w:val="20"/>
                <w:szCs w:val="20"/>
              </w:rPr>
            </w:pPr>
            <w:r w:rsidRPr="00ED2D84">
              <w:rPr>
                <w:rFonts w:ascii="Arial" w:hAnsi="Arial" w:cs="Arial"/>
                <w:sz w:val="20"/>
                <w:szCs w:val="20"/>
              </w:rPr>
              <w:t xml:space="preserve">Se aprobó por unanimidad de diez votos de los señores Ministros Gutiérrez Ortiz Mena, Cossío Díaz, Luna Ramos, Franco González Salas, Zaldívar Lelo de Larrea, Pardo Rebolledo, Aguilar Morales, Sánchez Cordero de García Villegas, Pérez Dayán y Presidente Silva Meza, respecto de los considerandos décimo quinto (en el cual se reconoció la validez del artículo 223 de la Ley General de Instituciones y Procedimientos Electorales), décimo sexto (en el cual se reconoció la validez de los artículos 190, párrafo 2, 192, párrafo 1, incisos f), g), j), k), m) y n), 199, párrafo 1, incisos f) y o), y 427, párrafo 1, incisos b) y c), de la Ley General de Instituciones y Procedimientos Electorales), décimo séptimo (en el cual se reconoció la validez de los artículos 229, párrafo 2, de la Ley General de Instituciones y Procedimientos Electorales y 79, párrafo 1, inciso a), fracción i, de la Ley General de Partidos Políticos), décimo octavo ( en el cual se reconoció la validez del artículo 3, párrafo 1, incisos a) y b) de la Ley General de Instituciones y Procedimientos Electorales), vigésimo (en el cual se reconoció la validez de los artículos 167, párrafos 6 y 7, 180, párrafo 1, 181, párrafo 1, y 182, párrafo 1, incisos a) y b) de la Ley General de Instituciones y Procedimientos Electorales), vigésimo bis (en el cual se reconoció la validez del artículo 178, párrafos 1 y 2, de la Ley General de Instituciones y Procedimientos Electorales), vigésimo segundo (en el cual se reconoció la validez del artículo 476, párrafo 2, incisos a, b), c) y d), de la Ley General de Instituciones y Procedimientos Electorales), vigésimo tercero (en el cual se reconoció la validez del artículo 40 de la Ley General de Partidos Políticos), vigésimo quinto (en el cual se reconoció la validez del artículo 85, párrafo 5, de  la  Ley  General  de  Partidos  Políticos, y se  fijó  su  interpretación), vigésimo séptimo (en el cual se reconoció la validez del artículo 78 bis, párrafo 5, de la Ley General del Sistema de Medios de Impugnación en Materia Electoral), vigésimo octavo (en el cual se reconoció la validez de los artículos 185, 192 y 195 de la Ley Orgánica del Poder Judicial de la Federación), vigésimo noveno (en el cual se fijaron los temas relacionados con las candidaturas independientes), trigésimo primero (en el cual se reconoció la validez del artículo 371, párrafos 1, 2 y 3, de la Ley General de Instituciones y Procedimientos Electorales), trigésimo segundo (en el </w:t>
            </w:r>
            <w:r w:rsidRPr="00ED2D84">
              <w:rPr>
                <w:rFonts w:ascii="Arial" w:hAnsi="Arial" w:cs="Arial"/>
                <w:sz w:val="20"/>
                <w:szCs w:val="20"/>
              </w:rPr>
              <w:lastRenderedPageBreak/>
              <w:t>cual se reconoció la validez de los artículos 383 y 386, párrafo 1, de la Ley General de Instituciones y Procedimientos Electorales), trigésimo tercero (en el cual se reconoció la validez del artículo 384 de la Ley General de Instituciones y Procedimientos Electorales), trigésimo quinto (en el cual se reconoció la validez de los artículos 372, párrafos 1 y 2, 374, párrafo 2, y 375, párrafo 1, de la Ley General de Instituciones y Procedimientos Electorales), trigésimo sexto (en el cual se reconoció la validez de los artículos 15, párrafo 2, y 437 de la Ley General de Instituciones y Procedimientos Electorales), trigésimo séptimo (en el cual se reconoció la validez del artículo 412 de la Ley General de Instituciones y Procedimientos Electorales), trigésimo octavo (en el cual se reconoció la validez de los artículos 407 y 408 de la Ley General de Instituciones y Procedimientos Electorales), trigésimo noveno (en el cual se reconoció la validez de los artículos 393 y 394 de la Ley General de Instituciones y Procedimientos Electorales) y cuadragésimo (en el cual se reconoció la validez del artículo 400 de la Ley General de Instituciones y Procedimientos Electorales). Los señores Ministros Franco González Salas (reserva genérica) y Zaldívar Lelo de Larrea (reserva genérica) reservaron su derecho de formular sendos votos concurrentes.</w:t>
            </w:r>
          </w:p>
        </w:tc>
      </w:tr>
      <w:tr w:rsidR="00F62C32" w:rsidRPr="00ED2D84" w14:paraId="108B441A" w14:textId="77777777" w:rsidTr="00630A8A">
        <w:trPr>
          <w:trHeight w:val="283"/>
        </w:trPr>
        <w:tc>
          <w:tcPr>
            <w:tcW w:w="1877" w:type="dxa"/>
          </w:tcPr>
          <w:p w14:paraId="6F28DBB3" w14:textId="77777777" w:rsidR="00F62C32" w:rsidRPr="008D4FEB" w:rsidRDefault="00AF100A" w:rsidP="00F62C32">
            <w:pPr>
              <w:ind w:left="170" w:right="198"/>
              <w:jc w:val="center"/>
              <w:rPr>
                <w:rFonts w:ascii="Arial" w:hAnsi="Arial" w:cs="Arial"/>
                <w:sz w:val="20"/>
                <w:szCs w:val="20"/>
              </w:rPr>
            </w:pPr>
            <w:hyperlink r:id="rId19" w:history="1">
              <w:r w:rsidR="00F62C32" w:rsidRPr="008D4FEB">
                <w:rPr>
                  <w:rStyle w:val="Hipervnculo"/>
                  <w:rFonts w:ascii="Arial" w:hAnsi="Arial" w:cs="Arial"/>
                  <w:sz w:val="20"/>
                  <w:szCs w:val="20"/>
                </w:rPr>
                <w:t>104/2014 Y SU ACUMULADA 105/2014</w:t>
              </w:r>
            </w:hyperlink>
          </w:p>
          <w:p w14:paraId="0D814B61" w14:textId="77777777" w:rsidR="00F62C32" w:rsidRPr="008D4FEB" w:rsidRDefault="00F62C32" w:rsidP="00F62C32">
            <w:pPr>
              <w:ind w:left="170" w:right="198"/>
              <w:jc w:val="center"/>
              <w:rPr>
                <w:rFonts w:ascii="Arial" w:hAnsi="Arial" w:cs="Arial"/>
                <w:sz w:val="20"/>
                <w:szCs w:val="20"/>
              </w:rPr>
            </w:pPr>
          </w:p>
          <w:p w14:paraId="34358AB3" w14:textId="77777777" w:rsidR="00F62C32" w:rsidRPr="008D4FEB" w:rsidRDefault="00F62C32" w:rsidP="00F62C32">
            <w:pPr>
              <w:ind w:left="170" w:right="198"/>
              <w:jc w:val="center"/>
              <w:rPr>
                <w:rFonts w:ascii="Arial" w:hAnsi="Arial" w:cs="Arial"/>
                <w:sz w:val="20"/>
                <w:szCs w:val="20"/>
              </w:rPr>
            </w:pPr>
            <w:r w:rsidRPr="008D4FEB">
              <w:rPr>
                <w:rFonts w:ascii="Arial" w:hAnsi="Arial" w:cs="Arial"/>
                <w:sz w:val="20"/>
                <w:szCs w:val="20"/>
              </w:rPr>
              <w:t>Baja California</w:t>
            </w:r>
          </w:p>
          <w:p w14:paraId="23C76DA0" w14:textId="77777777" w:rsidR="00F62C32" w:rsidRPr="00ED2D84" w:rsidRDefault="00F62C32" w:rsidP="00F62C32">
            <w:pPr>
              <w:ind w:left="170" w:right="198"/>
              <w:jc w:val="center"/>
              <w:rPr>
                <w:rFonts w:ascii="Arial" w:hAnsi="Arial" w:cs="Arial"/>
                <w:sz w:val="20"/>
                <w:szCs w:val="20"/>
              </w:rPr>
            </w:pPr>
          </w:p>
        </w:tc>
        <w:tc>
          <w:tcPr>
            <w:tcW w:w="12294" w:type="dxa"/>
          </w:tcPr>
          <w:p w14:paraId="0516D34B" w14:textId="77777777" w:rsidR="00F62C32" w:rsidRPr="008D4FEB" w:rsidRDefault="00F62C32" w:rsidP="00F62C32">
            <w:pPr>
              <w:pStyle w:val="TableParagraph"/>
              <w:numPr>
                <w:ilvl w:val="0"/>
                <w:numId w:val="9"/>
              </w:numPr>
              <w:spacing w:before="240" w:after="240" w:line="240" w:lineRule="exact"/>
              <w:ind w:left="252" w:right="198" w:hanging="142"/>
              <w:contextualSpacing/>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Procedimientos de Fiscalización.</w:t>
            </w:r>
          </w:p>
          <w:p w14:paraId="57B484B0" w14:textId="77777777" w:rsidR="00F62C32" w:rsidRPr="008D4FEB" w:rsidRDefault="00F62C32" w:rsidP="00F62C32">
            <w:pPr>
              <w:pStyle w:val="TableParagraph"/>
              <w:spacing w:before="240" w:after="240" w:line="240" w:lineRule="exact"/>
              <w:ind w:left="170" w:right="198"/>
              <w:contextualSpacing/>
              <w:rPr>
                <w:rFonts w:ascii="Arial" w:hAnsi="Arial" w:cs="Arial"/>
                <w:color w:val="000000" w:themeColor="text1"/>
                <w:w w:val="105"/>
                <w:sz w:val="20"/>
                <w:szCs w:val="20"/>
                <w:lang w:val="es-MX"/>
              </w:rPr>
            </w:pPr>
          </w:p>
          <w:p w14:paraId="435346BA" w14:textId="77777777" w:rsidR="00F62C32" w:rsidRPr="008D4FEB" w:rsidRDefault="00F62C32" w:rsidP="00F62C32">
            <w:pPr>
              <w:pStyle w:val="TableParagraph"/>
              <w:spacing w:before="240" w:after="240" w:line="240" w:lineRule="exact"/>
              <w:ind w:left="170" w:right="198"/>
              <w:contextualSpacing/>
              <w:jc w:val="both"/>
              <w:rPr>
                <w:rFonts w:ascii="Arial" w:hAnsi="Arial" w:cs="Arial"/>
                <w:color w:val="000000" w:themeColor="text1"/>
                <w:w w:val="105"/>
                <w:sz w:val="20"/>
                <w:szCs w:val="20"/>
                <w:lang w:val="es-MX"/>
              </w:rPr>
            </w:pPr>
            <w:r w:rsidRPr="008D4FEB">
              <w:rPr>
                <w:rFonts w:ascii="Arial" w:hAnsi="Arial" w:cs="Arial"/>
                <w:color w:val="000000" w:themeColor="text1"/>
                <w:w w:val="105"/>
                <w:sz w:val="20"/>
                <w:szCs w:val="20"/>
                <w:lang w:val="es-MX"/>
              </w:rPr>
              <w:t xml:space="preserve">El Partido Nueva Alianza impugnó Decreto número 112, mediante el cual se aprobaron reformas a diversos artículos de la Constitución Política del Estado Libre y Soberano de Baja California, publicado el 17 de octubre de 2014, ya que a su consideración el legislador de Baja California, no reguló la fiscalización de los partidos políticos de manera completa y congruente con la reforma político-electoral a nivel federal, en relación con el Acuerdo INE/CG93/2014, emitido por el INE, en el cual se determinó que la propia autoridad fiscalizadora local, fuera competente para fiscalizar, con base en la normativa vigente hasta antes de la entrada en vigor de la nueva ley, el ejercicio de 2014 en su totalidad.  Esto implica la continuación de estos procedimientos durante el año de 2015, por lo </w:t>
            </w:r>
            <w:proofErr w:type="gramStart"/>
            <w:r w:rsidRPr="008D4FEB">
              <w:rPr>
                <w:rFonts w:ascii="Arial" w:hAnsi="Arial" w:cs="Arial"/>
                <w:color w:val="000000" w:themeColor="text1"/>
                <w:w w:val="105"/>
                <w:sz w:val="20"/>
                <w:szCs w:val="20"/>
                <w:lang w:val="es-MX"/>
              </w:rPr>
              <w:t>que</w:t>
            </w:r>
            <w:proofErr w:type="gramEnd"/>
            <w:r w:rsidRPr="008D4FEB">
              <w:rPr>
                <w:rFonts w:ascii="Arial" w:hAnsi="Arial" w:cs="Arial"/>
                <w:color w:val="000000" w:themeColor="text1"/>
                <w:w w:val="105"/>
                <w:sz w:val="20"/>
                <w:szCs w:val="20"/>
                <w:lang w:val="es-MX"/>
              </w:rPr>
              <w:t xml:space="preserve"> según el propio Acuerdo del INE, en ese año tendrían que subsistir los Organismos Públicos Locales respectivos, que resolverán los procedimientos en cuestión hasta su terminación y rendirán un informe mensual a la Unidad Técnica de Fiscalización, sobre el estado que guarda la revisión de los informes de los partidos políticos correspondientes a 2014, así como el estado procesal de los procedimientos. Lo cual vulneró los principios de certeza y seguridad jurídica, e impidió el correcto desarrollo y eficacia de su función creadora de leyes. </w:t>
            </w:r>
          </w:p>
          <w:p w14:paraId="6CCD31E6" w14:textId="77777777" w:rsidR="00F62C32" w:rsidRPr="008D4FEB" w:rsidRDefault="00F62C32" w:rsidP="00F62C32">
            <w:pPr>
              <w:pStyle w:val="TableParagraph"/>
              <w:spacing w:before="240" w:after="240" w:line="240" w:lineRule="exact"/>
              <w:ind w:left="170" w:right="198"/>
              <w:contextualSpacing/>
              <w:jc w:val="both"/>
              <w:rPr>
                <w:rFonts w:ascii="Arial" w:hAnsi="Arial" w:cs="Arial"/>
                <w:color w:val="000000" w:themeColor="text1"/>
                <w:w w:val="105"/>
                <w:sz w:val="20"/>
                <w:szCs w:val="20"/>
                <w:lang w:val="es-MX"/>
              </w:rPr>
            </w:pPr>
          </w:p>
          <w:p w14:paraId="170026B7" w14:textId="77777777" w:rsidR="00F62C32" w:rsidRPr="008D4FEB" w:rsidRDefault="00F62C32" w:rsidP="00F62C32">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Considerando.</w:t>
            </w:r>
          </w:p>
          <w:p w14:paraId="7BD9EC28" w14:textId="77777777" w:rsidR="00F62C32" w:rsidRPr="008D4FEB" w:rsidRDefault="00F62C32" w:rsidP="00F62C32">
            <w:pPr>
              <w:pStyle w:val="TableParagraph"/>
              <w:spacing w:before="240" w:after="240" w:line="240" w:lineRule="exact"/>
              <w:ind w:left="170" w:right="198"/>
              <w:contextualSpacing/>
              <w:jc w:val="both"/>
              <w:rPr>
                <w:rFonts w:ascii="Arial" w:hAnsi="Arial" w:cs="Arial"/>
                <w:color w:val="000000" w:themeColor="text1"/>
                <w:w w:val="105"/>
                <w:sz w:val="20"/>
                <w:szCs w:val="20"/>
                <w:lang w:val="es-MX"/>
              </w:rPr>
            </w:pPr>
          </w:p>
          <w:p w14:paraId="7245A4C7" w14:textId="77777777" w:rsidR="00F62C32" w:rsidRPr="008D4FEB" w:rsidRDefault="00F62C32" w:rsidP="00F62C32">
            <w:pPr>
              <w:pStyle w:val="TableParagraph"/>
              <w:spacing w:before="240" w:after="240" w:line="240" w:lineRule="exact"/>
              <w:ind w:left="170" w:right="198"/>
              <w:contextualSpacing/>
              <w:jc w:val="both"/>
              <w:rPr>
                <w:rFonts w:ascii="Arial" w:hAnsi="Arial" w:cs="Arial"/>
                <w:color w:val="000000" w:themeColor="text1"/>
                <w:w w:val="105"/>
                <w:sz w:val="20"/>
                <w:szCs w:val="20"/>
                <w:lang w:val="es-MX"/>
              </w:rPr>
            </w:pPr>
            <w:r w:rsidRPr="008D4FEB">
              <w:rPr>
                <w:rFonts w:ascii="Arial" w:hAnsi="Arial" w:cs="Arial"/>
                <w:color w:val="000000" w:themeColor="text1"/>
                <w:w w:val="105"/>
                <w:sz w:val="20"/>
                <w:szCs w:val="20"/>
                <w:lang w:val="es-MX"/>
              </w:rPr>
              <w:t>El Alto Tribunal reconoció la validez, del decreto impugnado, ya que no obstaculiza el marco constitucional, aunque elimine al órgano de fiscalización, dependiente del Instituto Electoral de Participación Ciudadana del Estado de Baja California, es en este Instituto en el que recae la competencia transitoria de fiscalización, competencia que no necesariamente debe ejercerse por conducto de un órgano especializado dentro del mismo Instituto. Ello no significó que desaparezca el propio Instituto Electoral, cuya subsistencia está regulada a nivel constitucional, además de que existe una completa regulación de transición para determinar su continuidad, funcionamiento e integración, y en quien recae, por disposición del régimen de transición de la propia reforma constitucional, la competencia para tramitar hasta su resolución los procedimientos locales de fiscalización relativos al ejercicio de 2014.</w:t>
            </w:r>
          </w:p>
          <w:p w14:paraId="74CF5602" w14:textId="77777777" w:rsidR="00F62C32" w:rsidRPr="008D4FEB" w:rsidRDefault="00F62C32" w:rsidP="00F62C32">
            <w:pPr>
              <w:pStyle w:val="TableParagraph"/>
              <w:spacing w:before="240" w:after="240" w:line="240" w:lineRule="exact"/>
              <w:ind w:left="170" w:right="198"/>
              <w:contextualSpacing/>
              <w:jc w:val="both"/>
              <w:rPr>
                <w:rFonts w:ascii="Arial" w:hAnsi="Arial" w:cs="Arial"/>
                <w:color w:val="000000" w:themeColor="text1"/>
                <w:w w:val="105"/>
                <w:sz w:val="20"/>
                <w:szCs w:val="20"/>
                <w:lang w:val="es-MX"/>
              </w:rPr>
            </w:pPr>
          </w:p>
          <w:p w14:paraId="51238456" w14:textId="77777777" w:rsidR="00F62C32" w:rsidRPr="008D4FEB" w:rsidRDefault="00F62C32" w:rsidP="00F62C32">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Resolutivo.</w:t>
            </w:r>
          </w:p>
          <w:p w14:paraId="5A98A996" w14:textId="77777777" w:rsidR="00F62C32" w:rsidRPr="008D4FEB" w:rsidRDefault="00F62C32" w:rsidP="00F62C32">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2DAED13C" w14:textId="77777777" w:rsidR="00F62C32" w:rsidRPr="008D4FEB" w:rsidRDefault="00F62C32" w:rsidP="00F62C32">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269DBA4C" w14:textId="77777777" w:rsidR="00F62C32" w:rsidRPr="008D4FEB" w:rsidRDefault="00F62C32" w:rsidP="00F62C32">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0C00C4BD" w14:textId="77777777" w:rsidR="00F62C32" w:rsidRPr="008D4FEB" w:rsidRDefault="00F62C32" w:rsidP="00F62C32">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 xml:space="preserve">(…) </w:t>
            </w:r>
          </w:p>
          <w:p w14:paraId="148832F2" w14:textId="77777777" w:rsidR="00F62C32" w:rsidRPr="008D4FEB" w:rsidRDefault="00F62C32" w:rsidP="00F62C32">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p>
          <w:p w14:paraId="48172ECD" w14:textId="77777777" w:rsidR="00F62C32" w:rsidRPr="008D4FEB" w:rsidRDefault="00F62C32" w:rsidP="00F62C32">
            <w:pPr>
              <w:pStyle w:val="TableParagraph"/>
              <w:spacing w:before="240" w:after="240" w:line="240" w:lineRule="exact"/>
              <w:ind w:left="170" w:right="198"/>
              <w:contextualSpacing/>
              <w:jc w:val="both"/>
              <w:rPr>
                <w:rFonts w:ascii="Arial" w:hAnsi="Arial" w:cs="Arial"/>
                <w:color w:val="000000" w:themeColor="text1"/>
                <w:w w:val="105"/>
                <w:sz w:val="20"/>
                <w:szCs w:val="20"/>
                <w:lang w:val="es-MX"/>
              </w:rPr>
            </w:pPr>
            <w:r w:rsidRPr="008D4FEB">
              <w:rPr>
                <w:rFonts w:ascii="Arial" w:hAnsi="Arial" w:cs="Arial"/>
                <w:b/>
                <w:color w:val="000000" w:themeColor="text1"/>
                <w:w w:val="105"/>
                <w:sz w:val="20"/>
                <w:szCs w:val="20"/>
                <w:lang w:val="es-MX"/>
              </w:rPr>
              <w:t>TERCERO.</w:t>
            </w:r>
            <w:r w:rsidRPr="008D4FEB">
              <w:rPr>
                <w:rFonts w:ascii="Arial" w:hAnsi="Arial" w:cs="Arial"/>
                <w:color w:val="000000" w:themeColor="text1"/>
                <w:w w:val="105"/>
                <w:sz w:val="20"/>
                <w:szCs w:val="20"/>
                <w:lang w:val="es-MX"/>
              </w:rPr>
              <w:t xml:space="preserve"> Se reconoció la validez constitucional del Decreto 112, por el que se aprobaron reformas a diversos artículos de la Constitución Política del Estado Libre y Soberano de Baja California, publicado el diecisiete de octubre de dos mil catorce, en el Periódico Oficial del Estado, específicamente del artículo 5, apartado A, párrafo décimo primero, de dicha Constitución local, así como de sus artículos décimo segundo y décimo tercero transitorios.</w:t>
            </w:r>
          </w:p>
          <w:p w14:paraId="3C6B53DA" w14:textId="77777777" w:rsidR="00F62C32" w:rsidRPr="008D4FEB" w:rsidRDefault="00F62C32" w:rsidP="00F62C32">
            <w:pPr>
              <w:pStyle w:val="TableParagraph"/>
              <w:spacing w:before="240" w:after="240" w:line="240" w:lineRule="exact"/>
              <w:ind w:left="170" w:right="198"/>
              <w:contextualSpacing/>
              <w:jc w:val="both"/>
              <w:rPr>
                <w:rFonts w:ascii="Arial" w:hAnsi="Arial" w:cs="Arial"/>
                <w:color w:val="000000" w:themeColor="text1"/>
                <w:w w:val="105"/>
                <w:sz w:val="20"/>
                <w:szCs w:val="20"/>
                <w:lang w:val="es-MX"/>
              </w:rPr>
            </w:pPr>
          </w:p>
          <w:p w14:paraId="7C7CA2D1" w14:textId="77777777" w:rsidR="00F62C32" w:rsidRPr="008D4FEB" w:rsidRDefault="00F62C32" w:rsidP="00F62C32">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Votación.</w:t>
            </w:r>
          </w:p>
          <w:p w14:paraId="547F16D9" w14:textId="77777777" w:rsidR="00F62C32" w:rsidRPr="008D4FEB" w:rsidRDefault="00F62C32" w:rsidP="00F62C32">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2A9C6477" w14:textId="77777777" w:rsidR="00F62C32" w:rsidRPr="008D4FEB" w:rsidRDefault="00F62C32" w:rsidP="00F62C32">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4CC6F6B5" w14:textId="77777777" w:rsidR="00F62C32" w:rsidRPr="008D4FEB" w:rsidRDefault="00F62C32" w:rsidP="00F62C32">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07F3508E" w14:textId="77777777" w:rsidR="00F62C32" w:rsidRPr="008D4FEB" w:rsidRDefault="00F62C32" w:rsidP="00F62C32">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 xml:space="preserve">(…) </w:t>
            </w:r>
          </w:p>
          <w:p w14:paraId="1C66000D" w14:textId="77777777" w:rsidR="00F62C32" w:rsidRPr="008D4FEB" w:rsidRDefault="00F62C32" w:rsidP="00F62C32">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p>
          <w:p w14:paraId="101CA980" w14:textId="77777777" w:rsidR="00F62C32" w:rsidRPr="008D4FEB" w:rsidRDefault="00F62C32" w:rsidP="00F62C32">
            <w:pPr>
              <w:pStyle w:val="TableParagraph"/>
              <w:spacing w:before="240" w:after="240" w:line="240" w:lineRule="exact"/>
              <w:ind w:left="170" w:right="198"/>
              <w:contextualSpacing/>
              <w:jc w:val="both"/>
              <w:rPr>
                <w:rFonts w:ascii="Arial" w:hAnsi="Arial" w:cs="Arial"/>
                <w:color w:val="000000" w:themeColor="text1"/>
                <w:w w:val="105"/>
                <w:sz w:val="20"/>
                <w:szCs w:val="20"/>
                <w:lang w:val="es-MX"/>
              </w:rPr>
            </w:pPr>
            <w:r w:rsidRPr="008D4FEB">
              <w:rPr>
                <w:rFonts w:ascii="Arial" w:hAnsi="Arial" w:cs="Arial"/>
                <w:b/>
                <w:color w:val="000000" w:themeColor="text1"/>
                <w:w w:val="105"/>
                <w:sz w:val="20"/>
                <w:szCs w:val="20"/>
                <w:lang w:val="es-MX"/>
              </w:rPr>
              <w:t>En relación con el punto resolutivo tercero</w:t>
            </w:r>
            <w:r w:rsidRPr="008D4FEB">
              <w:rPr>
                <w:rFonts w:ascii="Arial" w:hAnsi="Arial" w:cs="Arial"/>
                <w:color w:val="000000" w:themeColor="text1"/>
                <w:w w:val="105"/>
                <w:sz w:val="20"/>
                <w:szCs w:val="20"/>
                <w:lang w:val="es-MX"/>
              </w:rPr>
              <w:t>:</w:t>
            </w:r>
          </w:p>
          <w:p w14:paraId="369F3E82" w14:textId="77777777" w:rsidR="00F62C32" w:rsidRPr="008D4FEB" w:rsidRDefault="00F62C32" w:rsidP="00F62C32">
            <w:pPr>
              <w:pStyle w:val="TableParagraph"/>
              <w:spacing w:before="240" w:after="240" w:line="240" w:lineRule="exact"/>
              <w:ind w:left="170" w:right="198"/>
              <w:contextualSpacing/>
              <w:jc w:val="both"/>
              <w:rPr>
                <w:rFonts w:ascii="Arial" w:hAnsi="Arial" w:cs="Arial"/>
                <w:color w:val="000000" w:themeColor="text1"/>
                <w:w w:val="105"/>
                <w:sz w:val="20"/>
                <w:szCs w:val="20"/>
                <w:lang w:val="es-MX"/>
              </w:rPr>
            </w:pPr>
          </w:p>
          <w:p w14:paraId="162DE51C" w14:textId="77777777" w:rsidR="00F62C32" w:rsidRPr="008D4FEB" w:rsidRDefault="00F62C32" w:rsidP="00F62C32">
            <w:pPr>
              <w:pStyle w:val="TableParagraph"/>
              <w:spacing w:before="240" w:after="240" w:line="240" w:lineRule="exact"/>
              <w:ind w:left="170" w:right="198"/>
              <w:contextualSpacing/>
              <w:jc w:val="both"/>
              <w:rPr>
                <w:rFonts w:ascii="Arial" w:hAnsi="Arial" w:cs="Arial"/>
                <w:color w:val="000000" w:themeColor="text1"/>
                <w:w w:val="105"/>
                <w:sz w:val="20"/>
                <w:szCs w:val="20"/>
                <w:lang w:val="es-MX"/>
              </w:rPr>
            </w:pPr>
            <w:r w:rsidRPr="008D4FEB">
              <w:rPr>
                <w:rFonts w:ascii="Arial" w:hAnsi="Arial" w:cs="Arial"/>
                <w:color w:val="000000" w:themeColor="text1"/>
                <w:w w:val="105"/>
                <w:sz w:val="20"/>
                <w:szCs w:val="20"/>
                <w:lang w:val="es-MX"/>
              </w:rPr>
              <w:t xml:space="preserve">Se aprobó por mayoría de 7 votos de los </w:t>
            </w:r>
            <w:proofErr w:type="gramStart"/>
            <w:r w:rsidRPr="008D4FEB">
              <w:rPr>
                <w:rFonts w:ascii="Arial" w:hAnsi="Arial" w:cs="Arial"/>
                <w:color w:val="000000" w:themeColor="text1"/>
                <w:w w:val="105"/>
                <w:sz w:val="20"/>
                <w:szCs w:val="20"/>
                <w:lang w:val="es-MX"/>
              </w:rPr>
              <w:t>Ministros</w:t>
            </w:r>
            <w:proofErr w:type="gramEnd"/>
            <w:r w:rsidRPr="008D4FEB">
              <w:rPr>
                <w:rFonts w:ascii="Arial" w:hAnsi="Arial" w:cs="Arial"/>
                <w:color w:val="000000" w:themeColor="text1"/>
                <w:w w:val="105"/>
                <w:sz w:val="20"/>
                <w:szCs w:val="20"/>
                <w:lang w:val="es-MX"/>
              </w:rPr>
              <w:t xml:space="preserve"> Gutiérrez Ortiz Mena apartándose de algunas consideraciones, Zaldívar Lelo de Larrea por consideraciones distintas, Pardo Rebolledo, Medina Mora I., Sánchez Cordero de García Villegas por consideraciones distintas, Pérez Dayán y Presidente Aguilar Morales, respecto del considerando cuarto, relativo a los procedimientos de fiscalización. Los </w:t>
            </w:r>
            <w:proofErr w:type="gramStart"/>
            <w:r w:rsidRPr="008D4FEB">
              <w:rPr>
                <w:rFonts w:ascii="Arial" w:hAnsi="Arial" w:cs="Arial"/>
                <w:color w:val="000000" w:themeColor="text1"/>
                <w:w w:val="105"/>
                <w:sz w:val="20"/>
                <w:szCs w:val="20"/>
                <w:lang w:val="es-MX"/>
              </w:rPr>
              <w:t>Ministros</w:t>
            </w:r>
            <w:proofErr w:type="gramEnd"/>
            <w:r w:rsidRPr="008D4FEB">
              <w:rPr>
                <w:rFonts w:ascii="Arial" w:hAnsi="Arial" w:cs="Arial"/>
                <w:color w:val="000000" w:themeColor="text1"/>
                <w:w w:val="105"/>
                <w:sz w:val="20"/>
                <w:szCs w:val="20"/>
                <w:lang w:val="es-MX"/>
              </w:rPr>
              <w:t xml:space="preserve"> Cossío Díaz, Luna Ramos y Franco González Salas votaron en contra y por el sobreseimiento.</w:t>
            </w:r>
          </w:p>
          <w:p w14:paraId="79BB1B84" w14:textId="77777777" w:rsidR="00F62C32" w:rsidRPr="008D4FEB" w:rsidRDefault="00F62C32" w:rsidP="00F62C32">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color w:val="000000" w:themeColor="text1"/>
                <w:w w:val="105"/>
                <w:sz w:val="20"/>
                <w:szCs w:val="20"/>
                <w:lang w:val="es-MX"/>
              </w:rPr>
              <w:t>.</w:t>
            </w:r>
          </w:p>
          <w:p w14:paraId="1A1B8793" w14:textId="77777777" w:rsidR="00F62C32" w:rsidRPr="008D4FEB" w:rsidRDefault="00F62C32" w:rsidP="00F62C32">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2D2CC62E" w14:textId="77777777" w:rsidR="00F62C32" w:rsidRPr="008D4FEB" w:rsidRDefault="00F62C32" w:rsidP="00F62C32">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34C54F98" w14:textId="29BB99E5" w:rsidR="00F62C32" w:rsidRPr="00ED2D84" w:rsidRDefault="00F62C32" w:rsidP="00F62C32">
            <w:pPr>
              <w:pStyle w:val="corte4fondo"/>
              <w:numPr>
                <w:ilvl w:val="0"/>
                <w:numId w:val="8"/>
              </w:numPr>
              <w:tabs>
                <w:tab w:val="left" w:pos="252"/>
              </w:tabs>
              <w:spacing w:line="240" w:lineRule="auto"/>
              <w:ind w:left="170" w:right="198" w:hanging="567"/>
              <w:rPr>
                <w:rFonts w:cs="Arial"/>
                <w:sz w:val="20"/>
                <w:lang w:val="es-MX"/>
              </w:rPr>
            </w:pPr>
            <w:r w:rsidRPr="008D4FEB">
              <w:rPr>
                <w:rFonts w:cs="Arial"/>
                <w:b/>
                <w:color w:val="000000" w:themeColor="text1"/>
                <w:w w:val="105"/>
                <w:sz w:val="20"/>
                <w:lang w:val="es-MX"/>
              </w:rPr>
              <w:t>(…)</w:t>
            </w:r>
          </w:p>
        </w:tc>
      </w:tr>
      <w:tr w:rsidR="004670E7" w:rsidRPr="00ED2D84" w14:paraId="3432FFB1" w14:textId="77777777" w:rsidTr="00551ABA">
        <w:trPr>
          <w:trHeight w:val="283"/>
        </w:trPr>
        <w:tc>
          <w:tcPr>
            <w:tcW w:w="1877" w:type="dxa"/>
          </w:tcPr>
          <w:p w14:paraId="06CF7C4F" w14:textId="77777777" w:rsidR="004670E7" w:rsidRPr="008D4FEB" w:rsidRDefault="00AF100A" w:rsidP="004670E7">
            <w:pPr>
              <w:ind w:left="170" w:right="198"/>
              <w:jc w:val="center"/>
              <w:rPr>
                <w:rFonts w:ascii="Arial" w:hAnsi="Arial" w:cs="Arial"/>
                <w:sz w:val="20"/>
                <w:szCs w:val="20"/>
              </w:rPr>
            </w:pPr>
            <w:hyperlink r:id="rId20" w:history="1">
              <w:r w:rsidR="004670E7" w:rsidRPr="008D4FEB">
                <w:rPr>
                  <w:rStyle w:val="Hipervnculo"/>
                  <w:rFonts w:ascii="Arial" w:hAnsi="Arial" w:cs="Arial"/>
                  <w:sz w:val="20"/>
                  <w:szCs w:val="20"/>
                </w:rPr>
                <w:t xml:space="preserve">42/2014 Y SUS ACUMULADAS 55/2014, 61/2014 Y </w:t>
              </w:r>
              <w:r w:rsidR="004670E7" w:rsidRPr="008D4FEB">
                <w:rPr>
                  <w:rStyle w:val="Hipervnculo"/>
                  <w:rFonts w:ascii="Arial" w:hAnsi="Arial" w:cs="Arial"/>
                  <w:sz w:val="20"/>
                  <w:szCs w:val="20"/>
                </w:rPr>
                <w:lastRenderedPageBreak/>
                <w:t>71/2014</w:t>
              </w:r>
            </w:hyperlink>
          </w:p>
          <w:p w14:paraId="60E093C7" w14:textId="77777777" w:rsidR="004670E7" w:rsidRPr="008D4FEB" w:rsidRDefault="004670E7" w:rsidP="004670E7">
            <w:pPr>
              <w:ind w:left="170" w:right="198"/>
              <w:jc w:val="center"/>
              <w:rPr>
                <w:rFonts w:ascii="Arial" w:hAnsi="Arial" w:cs="Arial"/>
                <w:sz w:val="20"/>
                <w:szCs w:val="20"/>
              </w:rPr>
            </w:pPr>
          </w:p>
          <w:p w14:paraId="406FDCB4" w14:textId="22921229" w:rsidR="004670E7" w:rsidRPr="00ED2D84" w:rsidRDefault="004670E7" w:rsidP="004670E7">
            <w:pPr>
              <w:ind w:left="170" w:right="198"/>
              <w:jc w:val="center"/>
              <w:rPr>
                <w:rFonts w:ascii="Arial" w:hAnsi="Arial" w:cs="Arial"/>
                <w:sz w:val="20"/>
                <w:szCs w:val="20"/>
              </w:rPr>
            </w:pPr>
            <w:r w:rsidRPr="008D4FEB">
              <w:rPr>
                <w:rFonts w:ascii="Arial" w:hAnsi="Arial" w:cs="Arial"/>
                <w:color w:val="000000"/>
                <w:sz w:val="20"/>
                <w:szCs w:val="20"/>
                <w:lang w:val="es-MX"/>
              </w:rPr>
              <w:t>Michoacán</w:t>
            </w:r>
          </w:p>
        </w:tc>
        <w:tc>
          <w:tcPr>
            <w:tcW w:w="12294" w:type="dxa"/>
          </w:tcPr>
          <w:p w14:paraId="58CF72B4" w14:textId="77777777" w:rsidR="004670E7" w:rsidRPr="008D4FEB" w:rsidRDefault="004670E7" w:rsidP="004670E7">
            <w:pPr>
              <w:pStyle w:val="TableParagraph"/>
              <w:numPr>
                <w:ilvl w:val="0"/>
                <w:numId w:val="9"/>
              </w:numPr>
              <w:spacing w:before="240" w:after="240" w:line="240" w:lineRule="exact"/>
              <w:ind w:left="252" w:right="198" w:hanging="142"/>
              <w:contextualSpacing/>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lastRenderedPageBreak/>
              <w:t>Fiscalización es facultad federal.</w:t>
            </w:r>
          </w:p>
          <w:p w14:paraId="29704BFE" w14:textId="77777777" w:rsidR="004670E7" w:rsidRPr="008D4FEB" w:rsidRDefault="004670E7" w:rsidP="004670E7">
            <w:pPr>
              <w:ind w:left="170" w:right="198"/>
              <w:jc w:val="both"/>
              <w:rPr>
                <w:rFonts w:ascii="Arial" w:hAnsi="Arial" w:cs="Arial"/>
                <w:color w:val="000000"/>
                <w:sz w:val="20"/>
                <w:szCs w:val="20"/>
                <w:lang w:val="es-MX"/>
              </w:rPr>
            </w:pPr>
            <w:r w:rsidRPr="008D4FEB">
              <w:rPr>
                <w:rFonts w:ascii="Arial" w:hAnsi="Arial" w:cs="Arial"/>
                <w:color w:val="000000"/>
                <w:sz w:val="20"/>
                <w:szCs w:val="20"/>
                <w:lang w:val="es-MX"/>
              </w:rPr>
              <w:t>El partido Movimiento Ciudadano controvirtió los artículos 45, párrafo primero; 135, párrafo segundo; 136, 137, 138, 139, y 140</w:t>
            </w:r>
            <w:r w:rsidRPr="008D4FEB">
              <w:rPr>
                <w:rFonts w:ascii="Arial" w:hAnsi="Arial" w:cs="Arial"/>
                <w:sz w:val="20"/>
                <w:szCs w:val="20"/>
              </w:rPr>
              <w:t xml:space="preserve"> </w:t>
            </w:r>
            <w:r w:rsidRPr="008D4FEB">
              <w:rPr>
                <w:rFonts w:ascii="Arial" w:hAnsi="Arial" w:cs="Arial"/>
                <w:color w:val="000000"/>
                <w:sz w:val="20"/>
                <w:szCs w:val="20"/>
                <w:lang w:val="es-MX"/>
              </w:rPr>
              <w:t xml:space="preserve">del </w:t>
            </w:r>
            <w:r w:rsidRPr="008D4FEB">
              <w:rPr>
                <w:rFonts w:ascii="Arial" w:hAnsi="Arial" w:cs="Arial"/>
                <w:color w:val="000000"/>
                <w:sz w:val="20"/>
                <w:szCs w:val="20"/>
                <w:lang w:val="es-MX"/>
              </w:rPr>
              <w:lastRenderedPageBreak/>
              <w:t xml:space="preserve">Código Electoral del Estado de Michoacán, los cuales regulan el tema de la fiscalización que, conforme a la Ley Fundamental, compete al Consejo General del INE que, en todo caso, en términos de lo establecido en la normativa aplicable, podrá delegarlo a la autoridad estatal. El actor señaló que en la CPEUM, dispone que la organización de las elecciones es una función estatal que se lleva a cabo a través del INE, organismo público autónomo al que corresponde, dentro de los procesos electorales federales y locales, entre otras tareas, la relativa a la fiscalización de los ingresos y egresos de los partidos políticos y candidatos, en los términos que señalen la propia Norma Fundamental y demás leyes, establece además que dicha tarea estará a cargo del Consejo General del INE; la ley desarrollará las atribuciones con las que contará para llevarla a cabo, y definirá los órganos técnicos que dependerán de él para realizar las revisiones atinentes, e instruir los procedimientos encaminados a aplicar las sanciones que correspondan; en el cumplimiento de sus atribuciones no estará limitado por los secretos bancario, fiduciario y fiscal, y contará con el apoyo de las autoridades federales y locales; podrá delegar esta tarea y, en este caso, su órgano técnico será el conducto para superar cualquier limitación. </w:t>
            </w:r>
          </w:p>
          <w:p w14:paraId="542018A1" w14:textId="77777777" w:rsidR="004670E7" w:rsidRPr="008D4FEB" w:rsidRDefault="004670E7" w:rsidP="004670E7">
            <w:pPr>
              <w:ind w:left="170" w:right="198"/>
              <w:jc w:val="both"/>
              <w:rPr>
                <w:rFonts w:ascii="Arial" w:hAnsi="Arial" w:cs="Arial"/>
                <w:color w:val="000000"/>
                <w:sz w:val="20"/>
                <w:szCs w:val="20"/>
                <w:lang w:val="es-MX"/>
              </w:rPr>
            </w:pPr>
          </w:p>
          <w:p w14:paraId="6E5DABA8" w14:textId="77777777" w:rsidR="004670E7" w:rsidRPr="008D4FEB" w:rsidRDefault="004670E7" w:rsidP="004670E7">
            <w:pPr>
              <w:ind w:left="170" w:right="198"/>
              <w:jc w:val="both"/>
              <w:rPr>
                <w:rFonts w:ascii="Arial" w:hAnsi="Arial" w:cs="Arial"/>
                <w:b/>
                <w:color w:val="000000"/>
                <w:sz w:val="20"/>
                <w:szCs w:val="20"/>
                <w:lang w:val="es-MX"/>
              </w:rPr>
            </w:pPr>
            <w:r w:rsidRPr="008D4FEB">
              <w:rPr>
                <w:rFonts w:ascii="Arial" w:hAnsi="Arial" w:cs="Arial"/>
                <w:b/>
                <w:color w:val="000000"/>
                <w:sz w:val="20"/>
                <w:szCs w:val="20"/>
                <w:lang w:val="es-MX"/>
              </w:rPr>
              <w:t>Consideraciones</w:t>
            </w:r>
          </w:p>
          <w:p w14:paraId="1A8F3DB3" w14:textId="77777777" w:rsidR="004670E7" w:rsidRPr="008D4FEB" w:rsidRDefault="004670E7" w:rsidP="004670E7">
            <w:pPr>
              <w:ind w:left="170" w:right="198"/>
              <w:jc w:val="both"/>
              <w:rPr>
                <w:rFonts w:ascii="Arial" w:hAnsi="Arial" w:cs="Arial"/>
                <w:b/>
                <w:color w:val="000000"/>
                <w:sz w:val="20"/>
                <w:szCs w:val="20"/>
                <w:lang w:val="es-MX"/>
              </w:rPr>
            </w:pPr>
          </w:p>
          <w:p w14:paraId="043EC4A3" w14:textId="77777777" w:rsidR="004670E7" w:rsidRPr="008D4FEB" w:rsidRDefault="004670E7" w:rsidP="004670E7">
            <w:pPr>
              <w:ind w:left="170" w:right="198"/>
              <w:jc w:val="both"/>
              <w:rPr>
                <w:rFonts w:ascii="Arial" w:hAnsi="Arial" w:cs="Arial"/>
                <w:color w:val="000000"/>
                <w:sz w:val="20"/>
                <w:szCs w:val="20"/>
                <w:lang w:val="es-MX"/>
              </w:rPr>
            </w:pPr>
            <w:r w:rsidRPr="008D4FEB">
              <w:rPr>
                <w:rFonts w:ascii="Arial" w:hAnsi="Arial" w:cs="Arial"/>
                <w:color w:val="000000"/>
                <w:sz w:val="20"/>
                <w:szCs w:val="20"/>
                <w:lang w:val="es-MX"/>
              </w:rPr>
              <w:t xml:space="preserve">La Suprema Corte de Justicia de la Nación determinó reconocer la validez de los artículos 45, párrafo primero, 135, párrafo segundo; 136, 137, 138, 139, y 140 del Código Electoral de Michoacán, porque dichos preceptos regulan lo relativo a los procedimientos propios de los informes de ingresos y gastos de los partidos políticos, tópico respecto del cual, los estados tienen facultades de regulación, con la limitante de que las normas que desarrollen sobre el particular sean acordes con la legislación federal, como acontece en el caso. </w:t>
            </w:r>
          </w:p>
          <w:p w14:paraId="770A5510" w14:textId="77777777" w:rsidR="004670E7" w:rsidRPr="008D4FEB" w:rsidRDefault="004670E7" w:rsidP="004670E7">
            <w:pPr>
              <w:ind w:left="170" w:right="198"/>
              <w:jc w:val="both"/>
              <w:rPr>
                <w:rFonts w:ascii="Arial" w:hAnsi="Arial" w:cs="Arial"/>
                <w:color w:val="000000"/>
                <w:sz w:val="20"/>
                <w:szCs w:val="20"/>
                <w:lang w:val="es-MX"/>
              </w:rPr>
            </w:pPr>
            <w:r w:rsidRPr="008D4FEB">
              <w:rPr>
                <w:rFonts w:ascii="Arial" w:hAnsi="Arial" w:cs="Arial"/>
                <w:color w:val="000000"/>
                <w:sz w:val="20"/>
                <w:szCs w:val="20"/>
                <w:lang w:val="es-MX"/>
              </w:rPr>
              <w:t xml:space="preserve">La Corte determinó que, del análisis comparativo de los preceptos impugnados, y sus correlativos en la Ley General de Partidos Políticos, incluidos en su Título Octavo (De la Fiscalización de Partidos Políticos), Capitulo III (De los Informes de Ingresos y Gastos de los Partidos Políticos), es posible advertir que ambos ordenamientos regulan este tema en términos sustancialmente idénticos. </w:t>
            </w:r>
          </w:p>
          <w:p w14:paraId="626E3B53" w14:textId="77777777" w:rsidR="004670E7" w:rsidRPr="008D4FEB" w:rsidRDefault="004670E7" w:rsidP="004670E7">
            <w:pPr>
              <w:pStyle w:val="corte4fondo"/>
              <w:spacing w:line="240" w:lineRule="auto"/>
              <w:ind w:left="170" w:right="198" w:firstLine="0"/>
              <w:rPr>
                <w:rFonts w:eastAsiaTheme="minorHAnsi" w:cs="Arial"/>
                <w:color w:val="000000"/>
                <w:sz w:val="20"/>
                <w:lang w:val="es-MX" w:eastAsia="en-US"/>
              </w:rPr>
            </w:pPr>
            <w:r w:rsidRPr="008D4FEB">
              <w:rPr>
                <w:rFonts w:eastAsiaTheme="minorHAnsi" w:cs="Arial"/>
                <w:color w:val="000000"/>
                <w:sz w:val="20"/>
                <w:lang w:val="es-MX" w:eastAsia="en-US"/>
              </w:rPr>
              <w:t>Por último, la Suprema Corte concluyó que el Congreso de Michoacán podía establecer en su normativa disposiciones relacionadas con el tema mencionado, y lo hizo en los mismos términos que la legislación general, estipulando que los preceptos combatidos no son contrarios a la Ley Fundamental.</w:t>
            </w:r>
          </w:p>
          <w:p w14:paraId="39E6CA60" w14:textId="77777777" w:rsidR="004670E7" w:rsidRPr="008D4FEB" w:rsidRDefault="004670E7" w:rsidP="004670E7">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Resolutivo.</w:t>
            </w:r>
          </w:p>
          <w:p w14:paraId="65EE9BF1" w14:textId="77777777" w:rsidR="004670E7" w:rsidRPr="008D4FEB" w:rsidRDefault="004670E7" w:rsidP="004670E7">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0DE148F1" w14:textId="77777777" w:rsidR="004670E7" w:rsidRPr="008D4FEB" w:rsidRDefault="004670E7" w:rsidP="004670E7">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16B7F79B" w14:textId="77777777" w:rsidR="004670E7" w:rsidRPr="008D4FEB" w:rsidRDefault="004670E7" w:rsidP="004670E7">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2AA2B5AC" w14:textId="77777777" w:rsidR="004670E7" w:rsidRPr="008D4FEB" w:rsidRDefault="004670E7" w:rsidP="004670E7">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 xml:space="preserve">(…) </w:t>
            </w:r>
          </w:p>
          <w:p w14:paraId="3F206273" w14:textId="77777777" w:rsidR="004670E7" w:rsidRPr="008D4FEB" w:rsidRDefault="004670E7" w:rsidP="004670E7">
            <w:pPr>
              <w:pStyle w:val="TableParagraph"/>
              <w:spacing w:before="240" w:after="240" w:line="240" w:lineRule="exact"/>
              <w:ind w:left="170" w:right="198"/>
              <w:contextualSpacing/>
              <w:jc w:val="both"/>
              <w:rPr>
                <w:rFonts w:ascii="Arial" w:hAnsi="Arial" w:cs="Arial"/>
                <w:color w:val="000000" w:themeColor="text1"/>
                <w:w w:val="105"/>
                <w:sz w:val="20"/>
                <w:szCs w:val="20"/>
                <w:lang w:val="es-MX"/>
              </w:rPr>
            </w:pPr>
          </w:p>
          <w:p w14:paraId="586D9CE2" w14:textId="77777777" w:rsidR="004670E7" w:rsidRPr="008D4FEB" w:rsidRDefault="004670E7" w:rsidP="004670E7">
            <w:pPr>
              <w:pStyle w:val="TableParagraph"/>
              <w:spacing w:before="240" w:after="240" w:line="240" w:lineRule="exact"/>
              <w:ind w:left="170" w:right="198"/>
              <w:contextualSpacing/>
              <w:jc w:val="both"/>
              <w:rPr>
                <w:rFonts w:ascii="Arial" w:hAnsi="Arial" w:cs="Arial"/>
                <w:color w:val="000000" w:themeColor="text1"/>
                <w:w w:val="105"/>
                <w:sz w:val="20"/>
                <w:szCs w:val="20"/>
                <w:lang w:val="es-MX"/>
              </w:rPr>
            </w:pPr>
            <w:r w:rsidRPr="008D4FEB">
              <w:rPr>
                <w:rFonts w:ascii="Arial" w:hAnsi="Arial" w:cs="Arial"/>
                <w:b/>
                <w:color w:val="000000" w:themeColor="text1"/>
                <w:w w:val="105"/>
                <w:sz w:val="20"/>
                <w:szCs w:val="20"/>
                <w:lang w:val="es-MX"/>
              </w:rPr>
              <w:t>TERCERO.</w:t>
            </w:r>
            <w:r w:rsidRPr="008D4FEB">
              <w:rPr>
                <w:rFonts w:ascii="Arial" w:hAnsi="Arial" w:cs="Arial"/>
                <w:color w:val="000000" w:themeColor="text1"/>
                <w:w w:val="105"/>
                <w:sz w:val="20"/>
                <w:szCs w:val="20"/>
                <w:lang w:val="es-MX"/>
              </w:rPr>
              <w:t xml:space="preserve"> Se reconoció la validez de los artículos 45, párrafo primero; 46, párrafo segundo; 89, párrafo primero; 130, párrafo segundo, inciso a); 135, párrafo segundo; 136, 137, 138, 139, 140, 191, párrafo cuarto; 210, fracción VII, párrafo último; 212, fracción II, éstos dos últimos con la salvedad precisada en el resolutivo segundo de este fallo; 230, fracción IV, inciso f); 274; 289, párrafo primero; 292, párrafo primero; 298, párrafo segundo, fracciones I y II; 305, fracción II, 308, 312, párrafo primero, 313, fracción I y último párrafo, 314, fracción IV, 317, párrafo segundo, 318, párrafo primero, fracción II, 320 y 326 de la legislación </w:t>
            </w:r>
            <w:r w:rsidRPr="008D4FEB">
              <w:rPr>
                <w:rFonts w:ascii="Arial" w:hAnsi="Arial" w:cs="Arial"/>
                <w:color w:val="000000" w:themeColor="text1"/>
                <w:w w:val="105"/>
                <w:sz w:val="20"/>
                <w:szCs w:val="20"/>
                <w:lang w:val="es-MX"/>
              </w:rPr>
              <w:lastRenderedPageBreak/>
              <w:t>estatal combatida.</w:t>
            </w:r>
          </w:p>
          <w:p w14:paraId="00287268" w14:textId="77777777" w:rsidR="004670E7" w:rsidRPr="008D4FEB" w:rsidRDefault="004670E7" w:rsidP="004670E7">
            <w:pPr>
              <w:pStyle w:val="TableParagraph"/>
              <w:spacing w:before="240" w:after="240" w:line="240" w:lineRule="exact"/>
              <w:ind w:left="170" w:right="198"/>
              <w:contextualSpacing/>
              <w:jc w:val="both"/>
              <w:rPr>
                <w:rFonts w:ascii="Arial" w:hAnsi="Arial" w:cs="Arial"/>
                <w:color w:val="000000" w:themeColor="text1"/>
                <w:w w:val="105"/>
                <w:sz w:val="20"/>
                <w:szCs w:val="20"/>
                <w:lang w:val="es-MX"/>
              </w:rPr>
            </w:pPr>
          </w:p>
          <w:p w14:paraId="2AB9AD44" w14:textId="77777777" w:rsidR="004670E7" w:rsidRPr="008D4FEB" w:rsidRDefault="004670E7" w:rsidP="004670E7">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 xml:space="preserve">Votación. </w:t>
            </w:r>
          </w:p>
          <w:p w14:paraId="3038C6FF" w14:textId="77777777" w:rsidR="004670E7" w:rsidRPr="008D4FEB" w:rsidRDefault="004670E7" w:rsidP="004670E7">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0D36FCD5" w14:textId="77777777" w:rsidR="004670E7" w:rsidRPr="008D4FEB" w:rsidRDefault="004670E7" w:rsidP="004670E7">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118E22D7" w14:textId="77777777" w:rsidR="004670E7" w:rsidRPr="008D4FEB" w:rsidRDefault="004670E7" w:rsidP="004670E7">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14DB5312" w14:textId="77777777" w:rsidR="004670E7" w:rsidRPr="008D4FEB" w:rsidRDefault="004670E7" w:rsidP="004670E7">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 xml:space="preserve">(…) </w:t>
            </w:r>
          </w:p>
          <w:p w14:paraId="3D0E9F86" w14:textId="77777777" w:rsidR="004670E7" w:rsidRPr="008D4FEB" w:rsidRDefault="004670E7" w:rsidP="004670E7">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p>
          <w:p w14:paraId="750AA42E" w14:textId="77777777" w:rsidR="004670E7" w:rsidRPr="008D4FEB" w:rsidRDefault="004670E7" w:rsidP="004670E7">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En relación con el punto resolutivo tercero:</w:t>
            </w:r>
          </w:p>
          <w:p w14:paraId="34496402" w14:textId="77777777" w:rsidR="004670E7" w:rsidRPr="008D4FEB" w:rsidRDefault="004670E7" w:rsidP="004670E7">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p>
          <w:p w14:paraId="7E8E7EC2" w14:textId="77777777" w:rsidR="004670E7" w:rsidRPr="008D4FEB" w:rsidRDefault="004670E7" w:rsidP="004670E7">
            <w:pPr>
              <w:pStyle w:val="TableParagraph"/>
              <w:spacing w:before="240" w:after="240" w:line="240" w:lineRule="exact"/>
              <w:ind w:left="170" w:right="198"/>
              <w:contextualSpacing/>
              <w:jc w:val="both"/>
              <w:rPr>
                <w:rFonts w:ascii="Arial" w:hAnsi="Arial" w:cs="Arial"/>
                <w:color w:val="000000" w:themeColor="text1"/>
                <w:w w:val="105"/>
                <w:sz w:val="20"/>
                <w:szCs w:val="20"/>
                <w:lang w:val="es-MX"/>
              </w:rPr>
            </w:pPr>
            <w:r w:rsidRPr="008D4FEB">
              <w:rPr>
                <w:rFonts w:ascii="Arial" w:hAnsi="Arial" w:cs="Arial"/>
                <w:color w:val="000000" w:themeColor="text1"/>
                <w:w w:val="105"/>
                <w:sz w:val="20"/>
                <w:szCs w:val="20"/>
                <w:lang w:val="es-MX"/>
              </w:rPr>
              <w:t xml:space="preserve">Se aprobó por unanimidad de 9 votos de los Ministros Gutiérrez Ortiz Mena, Cossío Díaz, Luna Ramos, Franco González Salas, Zaldívar Lelo de Larrea con salvedades, Pardo Rebolledo, Aguilar Morales, Pérez Dayán y Presidenta en funciones Sánchez Cordero de García Villegas, respecto de las propuestas de los considerandos noveno y trigésimo consistentes, correspondientemente, en reconocer la validez de los artículos 45, párrafo primero, 135, párrafo segundo, 136, 137, 138, 139 y 140, y 89, párrafo primero, del Código Electoral del Estado de Michoacán. El señor </w:t>
            </w:r>
            <w:proofErr w:type="gramStart"/>
            <w:r w:rsidRPr="008D4FEB">
              <w:rPr>
                <w:rFonts w:ascii="Arial" w:hAnsi="Arial" w:cs="Arial"/>
                <w:color w:val="000000" w:themeColor="text1"/>
                <w:w w:val="105"/>
                <w:sz w:val="20"/>
                <w:szCs w:val="20"/>
                <w:lang w:val="es-MX"/>
              </w:rPr>
              <w:t>Ministro</w:t>
            </w:r>
            <w:proofErr w:type="gramEnd"/>
            <w:r w:rsidRPr="008D4FEB">
              <w:rPr>
                <w:rFonts w:ascii="Arial" w:hAnsi="Arial" w:cs="Arial"/>
                <w:color w:val="000000" w:themeColor="text1"/>
                <w:w w:val="105"/>
                <w:sz w:val="20"/>
                <w:szCs w:val="20"/>
                <w:lang w:val="es-MX"/>
              </w:rPr>
              <w:t xml:space="preserve"> Zaldívar Lelo de Larrea anunció voto concurrente.</w:t>
            </w:r>
          </w:p>
          <w:p w14:paraId="3BA1D71B" w14:textId="77777777" w:rsidR="004670E7" w:rsidRPr="008D4FEB" w:rsidRDefault="004670E7" w:rsidP="004670E7">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4AC5FFC0" w14:textId="77777777" w:rsidR="004670E7" w:rsidRPr="008D4FEB" w:rsidRDefault="004670E7" w:rsidP="004670E7">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28F13388" w14:textId="77777777" w:rsidR="004670E7" w:rsidRPr="008D4FEB" w:rsidRDefault="004670E7" w:rsidP="004670E7">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1E72C66D" w14:textId="4852A686" w:rsidR="004670E7" w:rsidRPr="00ED2D84" w:rsidRDefault="004670E7" w:rsidP="004670E7">
            <w:pPr>
              <w:pStyle w:val="corte4fondo"/>
              <w:numPr>
                <w:ilvl w:val="0"/>
                <w:numId w:val="8"/>
              </w:numPr>
              <w:tabs>
                <w:tab w:val="left" w:pos="252"/>
              </w:tabs>
              <w:spacing w:line="240" w:lineRule="auto"/>
              <w:ind w:left="170" w:right="198" w:hanging="567"/>
              <w:rPr>
                <w:rFonts w:cs="Arial"/>
                <w:sz w:val="20"/>
                <w:lang w:val="es-MX"/>
              </w:rPr>
            </w:pPr>
            <w:r w:rsidRPr="008D4FEB">
              <w:rPr>
                <w:rFonts w:cs="Arial"/>
                <w:b/>
                <w:color w:val="000000" w:themeColor="text1"/>
                <w:w w:val="105"/>
                <w:sz w:val="20"/>
                <w:lang w:val="es-MX"/>
              </w:rPr>
              <w:t xml:space="preserve">(…) </w:t>
            </w:r>
          </w:p>
        </w:tc>
      </w:tr>
      <w:tr w:rsidR="003A0A16" w:rsidRPr="00ED2D84" w14:paraId="7661B4F8" w14:textId="77777777" w:rsidTr="00551ABA">
        <w:trPr>
          <w:trHeight w:val="283"/>
        </w:trPr>
        <w:tc>
          <w:tcPr>
            <w:tcW w:w="1877" w:type="dxa"/>
          </w:tcPr>
          <w:p w14:paraId="1099F27A" w14:textId="77777777" w:rsidR="003A0A16" w:rsidRPr="008D4FEB" w:rsidRDefault="00AF100A" w:rsidP="003A0A16">
            <w:pPr>
              <w:ind w:left="170" w:right="198"/>
              <w:jc w:val="center"/>
              <w:rPr>
                <w:rFonts w:ascii="Arial" w:hAnsi="Arial" w:cs="Arial"/>
                <w:sz w:val="20"/>
                <w:szCs w:val="20"/>
              </w:rPr>
            </w:pPr>
            <w:hyperlink r:id="rId21" w:history="1">
              <w:r w:rsidR="003A0A16" w:rsidRPr="008D4FEB">
                <w:rPr>
                  <w:rStyle w:val="Hipervnculo"/>
                  <w:rFonts w:ascii="Arial" w:hAnsi="Arial" w:cs="Arial"/>
                  <w:sz w:val="20"/>
                  <w:szCs w:val="20"/>
                </w:rPr>
                <w:t>40/2014 Y SUS ACUMULADAS  64/2014 Y 80/2014</w:t>
              </w:r>
            </w:hyperlink>
          </w:p>
          <w:p w14:paraId="7CF7FAFF" w14:textId="77777777" w:rsidR="003A0A16" w:rsidRPr="008D4FEB" w:rsidRDefault="003A0A16" w:rsidP="003A0A16">
            <w:pPr>
              <w:ind w:left="170" w:right="198"/>
              <w:jc w:val="center"/>
              <w:rPr>
                <w:rFonts w:ascii="Arial" w:hAnsi="Arial" w:cs="Arial"/>
                <w:sz w:val="20"/>
                <w:szCs w:val="20"/>
              </w:rPr>
            </w:pPr>
          </w:p>
          <w:p w14:paraId="15E44599" w14:textId="5065102E" w:rsidR="003A0A16" w:rsidRPr="008D4FEB" w:rsidRDefault="003A0A16" w:rsidP="003A0A16">
            <w:pPr>
              <w:ind w:left="170" w:right="198"/>
              <w:jc w:val="center"/>
              <w:rPr>
                <w:rFonts w:ascii="Arial" w:hAnsi="Arial" w:cs="Arial"/>
                <w:sz w:val="20"/>
                <w:szCs w:val="20"/>
              </w:rPr>
            </w:pPr>
            <w:r w:rsidRPr="008D4FEB">
              <w:rPr>
                <w:rFonts w:ascii="Arial" w:hAnsi="Arial" w:cs="Arial"/>
                <w:sz w:val="20"/>
                <w:szCs w:val="20"/>
              </w:rPr>
              <w:t>San Luis Potosí</w:t>
            </w:r>
          </w:p>
        </w:tc>
        <w:tc>
          <w:tcPr>
            <w:tcW w:w="12294" w:type="dxa"/>
          </w:tcPr>
          <w:p w14:paraId="502AA52D" w14:textId="77777777" w:rsidR="003A0A16" w:rsidRPr="008D4FEB" w:rsidRDefault="003A0A16" w:rsidP="003A0A16">
            <w:pPr>
              <w:pStyle w:val="TableParagraph"/>
              <w:numPr>
                <w:ilvl w:val="0"/>
                <w:numId w:val="9"/>
              </w:numPr>
              <w:spacing w:before="240" w:after="240" w:line="240" w:lineRule="exact"/>
              <w:ind w:left="252" w:right="198" w:hanging="142"/>
              <w:contextualSpacing/>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Inconstitucionalidad de los artículos 152, párrafo primero, fracción II, inciso c), 165 y 166 de la Ley Electoral de San Luis Potosí.</w:t>
            </w:r>
          </w:p>
          <w:p w14:paraId="0F0FA1D7" w14:textId="77777777" w:rsidR="003A0A16" w:rsidRPr="008D4FEB" w:rsidRDefault="003A0A16" w:rsidP="003A0A16">
            <w:pPr>
              <w:pStyle w:val="TableParagraph"/>
              <w:spacing w:before="240" w:after="240" w:line="240" w:lineRule="exact"/>
              <w:ind w:left="170" w:right="198"/>
              <w:contextualSpacing/>
              <w:rPr>
                <w:rFonts w:ascii="Arial" w:hAnsi="Arial" w:cs="Arial"/>
                <w:color w:val="000000" w:themeColor="text1"/>
                <w:w w:val="105"/>
                <w:sz w:val="20"/>
                <w:szCs w:val="20"/>
                <w:lang w:val="es-MX"/>
              </w:rPr>
            </w:pPr>
          </w:p>
          <w:p w14:paraId="65C07D8F" w14:textId="77777777" w:rsidR="003A0A16" w:rsidRPr="008D4FEB" w:rsidRDefault="003A0A16" w:rsidP="003A0A16">
            <w:pPr>
              <w:pStyle w:val="TableParagraph"/>
              <w:spacing w:before="240" w:after="240" w:line="240" w:lineRule="exact"/>
              <w:ind w:left="170" w:right="198"/>
              <w:contextualSpacing/>
              <w:jc w:val="both"/>
              <w:rPr>
                <w:rFonts w:ascii="Arial" w:hAnsi="Arial" w:cs="Arial"/>
                <w:color w:val="000000" w:themeColor="text1"/>
                <w:w w:val="105"/>
                <w:sz w:val="20"/>
                <w:szCs w:val="20"/>
                <w:lang w:val="es-MX"/>
              </w:rPr>
            </w:pPr>
            <w:r w:rsidRPr="008D4FEB">
              <w:rPr>
                <w:rFonts w:ascii="Arial" w:hAnsi="Arial" w:cs="Arial"/>
                <w:color w:val="000000" w:themeColor="text1"/>
                <w:w w:val="105"/>
                <w:sz w:val="20"/>
                <w:szCs w:val="20"/>
                <w:lang w:val="es-MX"/>
              </w:rPr>
              <w:t>El partido Movimiento Ciudadano los artículos 152, párrafo primero, fracción II, inciso c), 165 y 166 de la Ley Electoral del Estado de San Luis Potosí, pues a su consideración resulta inconstitucional, permitir a los partidos políticos decidir acerca de la forma de cumplir las obligaciones que se les imponen en materia de fiscalización de los recursos que eroguen en campañas. Ya que, al no quedar comprendido en el convenio de coalición, el porcentaje del monto que cada partido político aportará a la coalición y, por ende, la responsabilidad individualizada del uso de los recursos y el reporte de los mismos de manera directa ante la autoridad, se les da oportunidad de elegir sus formas de prorrateo como mejor convenga al partido o coalición, en contra del artículo 17 de la CPEUM. Dado que en tanto que en materia de fiscalización a las coaliciones en lugar de individualizar se pretende colectivizar sin separar los derechos y obligaciones de los partidos políticos que decidan contender bajo esas modalidades, generando inequidad y distorsión en cuestión de responsabilidades.</w:t>
            </w:r>
          </w:p>
          <w:p w14:paraId="249DC997" w14:textId="77777777" w:rsidR="003A0A16" w:rsidRPr="008D4FEB" w:rsidRDefault="003A0A16" w:rsidP="003A0A16">
            <w:pPr>
              <w:pStyle w:val="TableParagraph"/>
              <w:spacing w:before="240" w:after="240" w:line="240" w:lineRule="exact"/>
              <w:ind w:left="170" w:right="198"/>
              <w:contextualSpacing/>
              <w:jc w:val="center"/>
              <w:rPr>
                <w:rFonts w:ascii="Arial" w:hAnsi="Arial" w:cs="Arial"/>
                <w:b/>
                <w:color w:val="000000" w:themeColor="text1"/>
                <w:w w:val="105"/>
                <w:sz w:val="20"/>
                <w:szCs w:val="20"/>
                <w:lang w:val="es-MX"/>
              </w:rPr>
            </w:pPr>
          </w:p>
          <w:p w14:paraId="544B7C3F" w14:textId="77777777" w:rsidR="003A0A16" w:rsidRPr="008D4FEB" w:rsidRDefault="003A0A16" w:rsidP="003A0A16">
            <w:pPr>
              <w:pStyle w:val="TableParagraph"/>
              <w:spacing w:before="240" w:after="240" w:line="240" w:lineRule="exact"/>
              <w:ind w:left="170" w:right="198"/>
              <w:contextualSpacing/>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Consideraciones.</w:t>
            </w:r>
          </w:p>
          <w:p w14:paraId="6EEA6748" w14:textId="77777777" w:rsidR="003A0A16" w:rsidRPr="008D4FEB" w:rsidRDefault="003A0A16" w:rsidP="003A0A16">
            <w:pPr>
              <w:pStyle w:val="TableParagraph"/>
              <w:spacing w:before="240" w:after="240" w:line="240" w:lineRule="exact"/>
              <w:ind w:left="170" w:right="198"/>
              <w:contextualSpacing/>
              <w:rPr>
                <w:rFonts w:ascii="Arial" w:hAnsi="Arial" w:cs="Arial"/>
                <w:color w:val="000000" w:themeColor="text1"/>
                <w:w w:val="105"/>
                <w:sz w:val="20"/>
                <w:szCs w:val="20"/>
                <w:lang w:val="es-MX"/>
              </w:rPr>
            </w:pPr>
          </w:p>
          <w:p w14:paraId="318932AA" w14:textId="77777777" w:rsidR="003A0A16" w:rsidRPr="008D4FEB" w:rsidRDefault="003A0A16" w:rsidP="003A0A16">
            <w:pPr>
              <w:pStyle w:val="TableParagraph"/>
              <w:spacing w:before="240" w:after="240" w:line="240" w:lineRule="exact"/>
              <w:ind w:left="170" w:right="198"/>
              <w:contextualSpacing/>
              <w:jc w:val="both"/>
              <w:rPr>
                <w:rFonts w:ascii="Arial" w:hAnsi="Arial" w:cs="Arial"/>
                <w:color w:val="000000" w:themeColor="text1"/>
                <w:w w:val="105"/>
                <w:sz w:val="20"/>
                <w:szCs w:val="20"/>
                <w:lang w:val="es-MX"/>
              </w:rPr>
            </w:pPr>
            <w:r w:rsidRPr="008D4FEB">
              <w:rPr>
                <w:rFonts w:ascii="Arial" w:hAnsi="Arial" w:cs="Arial"/>
                <w:color w:val="000000" w:themeColor="text1"/>
                <w:w w:val="105"/>
                <w:sz w:val="20"/>
                <w:szCs w:val="20"/>
                <w:lang w:val="es-MX"/>
              </w:rPr>
              <w:t xml:space="preserve">El Pleno de la SCJN, desestimó en la presente acción por lo que hace a los artículos 152, párrafo primero, fracción II, inciso c), 165 y 166 de la Ley Electoral del Estado de San Luis Potosí. Por no alcanzar los votos necesarios con fundamento en lo dispuesto en los artículos 105, fracción II, párrafo quinto, de la Ley Fundamental, y 72 de la Ley Reglamentaria de las Fracciones I y II del Artículo 105 de la CPEUM. </w:t>
            </w:r>
          </w:p>
          <w:p w14:paraId="776960D2" w14:textId="77777777" w:rsidR="003A0A16" w:rsidRPr="008D4FEB" w:rsidRDefault="003A0A16" w:rsidP="003A0A16">
            <w:pPr>
              <w:pStyle w:val="TableParagraph"/>
              <w:spacing w:before="240" w:after="240" w:line="240" w:lineRule="exact"/>
              <w:ind w:left="170" w:right="198"/>
              <w:contextualSpacing/>
              <w:jc w:val="both"/>
              <w:rPr>
                <w:rFonts w:ascii="Arial" w:hAnsi="Arial" w:cs="Arial"/>
                <w:color w:val="000000" w:themeColor="text1"/>
                <w:w w:val="105"/>
                <w:sz w:val="20"/>
                <w:szCs w:val="20"/>
                <w:lang w:val="es-MX"/>
              </w:rPr>
            </w:pPr>
          </w:p>
          <w:p w14:paraId="20B459EB" w14:textId="77777777" w:rsidR="003A0A16" w:rsidRPr="008D4FEB" w:rsidRDefault="003A0A16" w:rsidP="003A0A16">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Resolutivo.</w:t>
            </w:r>
          </w:p>
          <w:p w14:paraId="41EA4923" w14:textId="77777777" w:rsidR="003A0A16" w:rsidRPr="008D4FEB" w:rsidRDefault="003A0A16" w:rsidP="003A0A16">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5404A977" w14:textId="77777777" w:rsidR="003A0A16" w:rsidRPr="008D4FEB" w:rsidRDefault="003A0A16" w:rsidP="003A0A16">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51E62DB2" w14:textId="77777777" w:rsidR="003A0A16" w:rsidRPr="008D4FEB" w:rsidRDefault="003A0A16" w:rsidP="003A0A16">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0673DBFC" w14:textId="77777777" w:rsidR="003A0A16" w:rsidRPr="008D4FEB" w:rsidRDefault="003A0A16" w:rsidP="003A0A16">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 xml:space="preserve">(…) </w:t>
            </w:r>
          </w:p>
          <w:p w14:paraId="25CB0F9E" w14:textId="77777777" w:rsidR="003A0A16" w:rsidRPr="008D4FEB" w:rsidRDefault="003A0A16" w:rsidP="003A0A16">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p>
          <w:p w14:paraId="7A22D54B" w14:textId="77777777" w:rsidR="003A0A16" w:rsidRPr="008D4FEB" w:rsidRDefault="003A0A16" w:rsidP="003A0A16">
            <w:pPr>
              <w:pStyle w:val="TableParagraph"/>
              <w:spacing w:before="240" w:after="240" w:line="240" w:lineRule="exact"/>
              <w:ind w:left="170" w:right="198"/>
              <w:contextualSpacing/>
              <w:jc w:val="both"/>
              <w:rPr>
                <w:rFonts w:ascii="Arial" w:hAnsi="Arial" w:cs="Arial"/>
                <w:color w:val="000000" w:themeColor="text1"/>
                <w:w w:val="105"/>
                <w:sz w:val="20"/>
                <w:szCs w:val="20"/>
                <w:lang w:val="es-MX"/>
              </w:rPr>
            </w:pPr>
            <w:r w:rsidRPr="008D4FEB">
              <w:rPr>
                <w:rFonts w:ascii="Arial" w:hAnsi="Arial" w:cs="Arial"/>
                <w:b/>
                <w:color w:val="000000" w:themeColor="text1"/>
                <w:w w:val="105"/>
                <w:sz w:val="20"/>
                <w:szCs w:val="20"/>
                <w:lang w:val="es-MX"/>
              </w:rPr>
              <w:t>CUARTO.</w:t>
            </w:r>
            <w:r w:rsidRPr="008D4FEB">
              <w:rPr>
                <w:rFonts w:ascii="Arial" w:hAnsi="Arial" w:cs="Arial"/>
                <w:color w:val="000000" w:themeColor="text1"/>
                <w:w w:val="105"/>
                <w:sz w:val="20"/>
                <w:szCs w:val="20"/>
                <w:lang w:val="es-MX"/>
              </w:rPr>
              <w:t xml:space="preserve"> Se desestima la presente acción de inconstitucionalidad en relación con los artículos 152, párrafo primero, fracción II, inciso c), 165, 166, 172, en la porción normativa que indica “coaliciones”, 178, último párrafo, y 179, con la salvedad indicada en el resolutivo sexto de este fallo, por lo que se refiere al planteamiento relativo a que el Congreso del Estado de San Luis Potosí carece de competencia para legislar en materia de coaliciones, 236, fracción II, 237, fracción II, en la porción normativa que indica “y, de éstos solamente se podrá registrar solo un aspirante a candidato que de manera individual haya obtenido el mayor número de manifestaciones de respaldo válidas por tipo de elección: a Gobernador, en cada uno de los distritos de mayoría relativa y en cada uno de los ayuntamientos”, 242, párrafo primero, fracción III, inciso d), 248, 304, párrafo primero, fracción IV, y 467, fracciones IV y V, de la Ley Electoral del Estado de San Luis Potosí, en términos de lo previsto en el considerando quinto de esta sentencia.</w:t>
            </w:r>
          </w:p>
          <w:p w14:paraId="255DA797" w14:textId="77777777" w:rsidR="003A0A16" w:rsidRPr="008D4FEB" w:rsidRDefault="003A0A16" w:rsidP="003A0A16">
            <w:pPr>
              <w:pStyle w:val="TableParagraph"/>
              <w:spacing w:before="240" w:after="240" w:line="240" w:lineRule="exact"/>
              <w:ind w:left="170" w:right="198"/>
              <w:contextualSpacing/>
              <w:jc w:val="both"/>
              <w:rPr>
                <w:rFonts w:ascii="Arial" w:hAnsi="Arial" w:cs="Arial"/>
                <w:color w:val="000000" w:themeColor="text1"/>
                <w:w w:val="105"/>
                <w:sz w:val="20"/>
                <w:szCs w:val="20"/>
                <w:lang w:val="es-MX"/>
              </w:rPr>
            </w:pPr>
          </w:p>
          <w:p w14:paraId="14F323C0" w14:textId="77777777" w:rsidR="003A0A16" w:rsidRPr="008D4FEB" w:rsidRDefault="003A0A16" w:rsidP="003A0A16">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 xml:space="preserve">Votación. </w:t>
            </w:r>
          </w:p>
          <w:p w14:paraId="4EAF32B3" w14:textId="77777777" w:rsidR="003A0A16" w:rsidRPr="008D4FEB" w:rsidRDefault="003A0A16" w:rsidP="003A0A16">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3238CE7A" w14:textId="77777777" w:rsidR="003A0A16" w:rsidRPr="008D4FEB" w:rsidRDefault="003A0A16" w:rsidP="003A0A16">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4855E2CE" w14:textId="77777777" w:rsidR="003A0A16" w:rsidRPr="008D4FEB" w:rsidRDefault="003A0A16" w:rsidP="003A0A16">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21EAD36D" w14:textId="77777777" w:rsidR="003A0A16" w:rsidRPr="008D4FEB" w:rsidRDefault="003A0A16" w:rsidP="003A0A16">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 xml:space="preserve">(…) </w:t>
            </w:r>
          </w:p>
          <w:p w14:paraId="48BDC73A" w14:textId="77777777" w:rsidR="003A0A16" w:rsidRPr="008D4FEB" w:rsidRDefault="003A0A16" w:rsidP="003A0A16">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p>
          <w:p w14:paraId="3390D29D" w14:textId="77777777" w:rsidR="003A0A16" w:rsidRPr="008D4FEB" w:rsidRDefault="003A0A16" w:rsidP="003A0A16">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En relación con el punto resolutivo cuarto:</w:t>
            </w:r>
          </w:p>
          <w:p w14:paraId="55ECA301" w14:textId="77777777" w:rsidR="003A0A16" w:rsidRPr="008D4FEB" w:rsidRDefault="003A0A16" w:rsidP="003A0A16">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p>
          <w:p w14:paraId="723652A0" w14:textId="77777777" w:rsidR="003A0A16" w:rsidRPr="008D4FEB" w:rsidRDefault="003A0A16" w:rsidP="003A0A16">
            <w:pPr>
              <w:pStyle w:val="TableParagraph"/>
              <w:spacing w:before="240" w:after="240" w:line="240" w:lineRule="exact"/>
              <w:ind w:left="170" w:right="198"/>
              <w:contextualSpacing/>
              <w:jc w:val="both"/>
              <w:rPr>
                <w:rFonts w:ascii="Arial" w:hAnsi="Arial" w:cs="Arial"/>
                <w:color w:val="000000" w:themeColor="text1"/>
                <w:w w:val="105"/>
                <w:sz w:val="20"/>
                <w:szCs w:val="20"/>
                <w:lang w:val="es-MX"/>
              </w:rPr>
            </w:pPr>
            <w:r w:rsidRPr="008D4FEB">
              <w:rPr>
                <w:rFonts w:ascii="Arial" w:hAnsi="Arial" w:cs="Arial"/>
                <w:color w:val="000000" w:themeColor="text1"/>
                <w:w w:val="105"/>
                <w:sz w:val="20"/>
                <w:szCs w:val="20"/>
                <w:lang w:val="es-MX"/>
              </w:rPr>
              <w:t xml:space="preserve">Se expresó una mayoría de 7 votos de los Ministros Gutiérrez Ortiz Mena, Cossío Díaz, Luna Ramos, Zaldívar Lelo de Larrea, Sánchez Cordero de García Villegas, Pérez Dayán y Presidente Silva Meza, respecto de las propuestas del considerando quinto, </w:t>
            </w:r>
            <w:r w:rsidRPr="008D4FEB">
              <w:rPr>
                <w:rFonts w:ascii="Arial" w:hAnsi="Arial" w:cs="Arial"/>
                <w:color w:val="000000" w:themeColor="text1"/>
                <w:w w:val="105"/>
                <w:sz w:val="20"/>
                <w:szCs w:val="20"/>
                <w:lang w:val="es-MX"/>
              </w:rPr>
              <w:lastRenderedPageBreak/>
              <w:t>apartados I, V y VI consistentes, correspondientemente, en declarar la invalidez de los artículos 152, párrafo primero, fracción II, inciso c), 165, 166, 172, en la porción normativa que indica “coaliciones”, 178, párrafo último, y 179 de la Ley Electoral del Estado de San Luis Potosí, en lo relativo a que el Congreso del Estado de San Luis Potosí carece de competencia para legislar en materia de coaliciones. Los Ministros Franco González Salas, Pardo Rebolledo y Aguilar Morales votaron en contra.</w:t>
            </w:r>
          </w:p>
          <w:p w14:paraId="290CA83B" w14:textId="77777777" w:rsidR="003A0A16" w:rsidRPr="008D4FEB" w:rsidRDefault="003A0A16" w:rsidP="003A0A16">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659EACAF" w14:textId="77777777" w:rsidR="003A0A16" w:rsidRPr="008D4FEB" w:rsidRDefault="003A0A16" w:rsidP="003A0A16">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34AD8363" w14:textId="77777777" w:rsidR="00021255" w:rsidRDefault="003A0A16" w:rsidP="00021255">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714EC829" w14:textId="0D5FF102" w:rsidR="003A0A16" w:rsidRPr="008D4FEB" w:rsidRDefault="003A0A16" w:rsidP="00021255">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 xml:space="preserve">(…) </w:t>
            </w:r>
          </w:p>
        </w:tc>
      </w:tr>
      <w:tr w:rsidR="00021255" w:rsidRPr="00ED2D84" w14:paraId="244C19DC" w14:textId="77777777" w:rsidTr="00551ABA">
        <w:trPr>
          <w:trHeight w:val="283"/>
        </w:trPr>
        <w:tc>
          <w:tcPr>
            <w:tcW w:w="1877" w:type="dxa"/>
          </w:tcPr>
          <w:p w14:paraId="03E603B9" w14:textId="77777777" w:rsidR="00021255" w:rsidRPr="008D4FEB" w:rsidRDefault="00AF100A" w:rsidP="00021255">
            <w:pPr>
              <w:ind w:left="170" w:right="198"/>
              <w:jc w:val="center"/>
              <w:rPr>
                <w:rFonts w:ascii="Arial" w:hAnsi="Arial" w:cs="Arial"/>
                <w:sz w:val="20"/>
                <w:szCs w:val="20"/>
              </w:rPr>
            </w:pPr>
            <w:hyperlink r:id="rId22" w:history="1">
              <w:r w:rsidR="00021255" w:rsidRPr="008D4FEB">
                <w:rPr>
                  <w:rStyle w:val="Hipervnculo"/>
                  <w:rFonts w:ascii="Arial" w:hAnsi="Arial" w:cs="Arial"/>
                  <w:sz w:val="20"/>
                  <w:szCs w:val="20"/>
                </w:rPr>
                <w:t>38/2014 Y SUS ACUMULADAS 91/2014, 92/2014 Y 93/2014</w:t>
              </w:r>
            </w:hyperlink>
          </w:p>
          <w:p w14:paraId="2A29919F" w14:textId="77777777" w:rsidR="00021255" w:rsidRPr="008D4FEB" w:rsidRDefault="00021255" w:rsidP="00021255">
            <w:pPr>
              <w:ind w:left="170" w:right="198"/>
              <w:jc w:val="center"/>
              <w:rPr>
                <w:rFonts w:ascii="Arial" w:hAnsi="Arial" w:cs="Arial"/>
                <w:sz w:val="20"/>
                <w:szCs w:val="20"/>
              </w:rPr>
            </w:pPr>
          </w:p>
          <w:p w14:paraId="48E825B5" w14:textId="17C44A32" w:rsidR="00021255" w:rsidRPr="008D4FEB" w:rsidRDefault="00021255" w:rsidP="00021255">
            <w:pPr>
              <w:ind w:left="170" w:right="198"/>
              <w:jc w:val="center"/>
              <w:rPr>
                <w:rFonts w:ascii="Arial" w:hAnsi="Arial" w:cs="Arial"/>
                <w:sz w:val="20"/>
                <w:szCs w:val="20"/>
              </w:rPr>
            </w:pPr>
            <w:r w:rsidRPr="008D4FEB">
              <w:rPr>
                <w:rFonts w:ascii="Arial" w:hAnsi="Arial" w:cs="Arial"/>
                <w:sz w:val="20"/>
                <w:szCs w:val="20"/>
              </w:rPr>
              <w:t>Nuevo León</w:t>
            </w:r>
          </w:p>
        </w:tc>
        <w:tc>
          <w:tcPr>
            <w:tcW w:w="12294" w:type="dxa"/>
          </w:tcPr>
          <w:p w14:paraId="605F13F0" w14:textId="77777777" w:rsidR="00021255" w:rsidRPr="008D4FEB" w:rsidRDefault="00021255" w:rsidP="00021255">
            <w:pPr>
              <w:pStyle w:val="TableParagraph"/>
              <w:spacing w:before="240" w:after="240" w:line="240" w:lineRule="exact"/>
              <w:ind w:left="170" w:right="198"/>
              <w:contextualSpacing/>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 xml:space="preserve">DÉCIMO QUINTO. - Auditorias de Partidos Políticos. </w:t>
            </w:r>
          </w:p>
          <w:p w14:paraId="3A8CCBBC" w14:textId="77777777" w:rsidR="00021255" w:rsidRPr="008D4FEB" w:rsidRDefault="00021255" w:rsidP="00021255">
            <w:pPr>
              <w:pStyle w:val="TableParagraph"/>
              <w:spacing w:before="240" w:after="240" w:line="240" w:lineRule="exact"/>
              <w:ind w:left="170" w:right="198"/>
              <w:contextualSpacing/>
              <w:rPr>
                <w:rFonts w:ascii="Arial" w:hAnsi="Arial" w:cs="Arial"/>
                <w:b/>
                <w:color w:val="000000" w:themeColor="text1"/>
                <w:w w:val="105"/>
                <w:sz w:val="20"/>
                <w:szCs w:val="20"/>
                <w:lang w:val="es-MX"/>
              </w:rPr>
            </w:pPr>
          </w:p>
          <w:p w14:paraId="4670B434" w14:textId="77777777" w:rsidR="00021255" w:rsidRPr="008D4FEB" w:rsidRDefault="00021255" w:rsidP="00021255">
            <w:pPr>
              <w:pStyle w:val="TableParagraph"/>
              <w:spacing w:before="240" w:after="240" w:line="240" w:lineRule="exact"/>
              <w:ind w:left="170" w:right="198"/>
              <w:contextualSpacing/>
              <w:jc w:val="both"/>
              <w:rPr>
                <w:rFonts w:ascii="Arial" w:hAnsi="Arial" w:cs="Arial"/>
                <w:color w:val="000000" w:themeColor="text1"/>
                <w:w w:val="105"/>
                <w:sz w:val="20"/>
                <w:szCs w:val="20"/>
                <w:lang w:val="es-MX"/>
              </w:rPr>
            </w:pPr>
            <w:r w:rsidRPr="008D4FEB">
              <w:rPr>
                <w:rFonts w:ascii="Arial" w:hAnsi="Arial" w:cs="Arial"/>
                <w:color w:val="000000" w:themeColor="text1"/>
                <w:w w:val="105"/>
                <w:sz w:val="20"/>
                <w:szCs w:val="20"/>
                <w:lang w:val="es-MX"/>
              </w:rPr>
              <w:t>El Partido del Trabajo, controvirtió el artículo 97 fracción IV de la Ley Electoral para el Estado de Nuevo León, consideró que el precepto legal impugnado, transgredió lo dispuesto por el artículo 41 Base V, apartado B, inciso a), el numeral 6 y 73, fracción XXIX-U de la CPEUM.</w:t>
            </w:r>
          </w:p>
          <w:p w14:paraId="6CBDFE9D" w14:textId="77777777" w:rsidR="00021255" w:rsidRPr="008D4FEB" w:rsidRDefault="00021255" w:rsidP="00021255">
            <w:pPr>
              <w:pStyle w:val="TableParagraph"/>
              <w:spacing w:before="240" w:after="240" w:line="240" w:lineRule="exact"/>
              <w:ind w:left="170" w:right="198"/>
              <w:contextualSpacing/>
              <w:jc w:val="both"/>
              <w:rPr>
                <w:rFonts w:ascii="Arial" w:hAnsi="Arial" w:cs="Arial"/>
                <w:color w:val="000000" w:themeColor="text1"/>
                <w:w w:val="105"/>
                <w:sz w:val="20"/>
                <w:szCs w:val="20"/>
                <w:lang w:val="es-MX"/>
              </w:rPr>
            </w:pPr>
          </w:p>
          <w:p w14:paraId="4FDDB110" w14:textId="77777777" w:rsidR="00021255" w:rsidRPr="008D4FEB" w:rsidRDefault="00021255" w:rsidP="00021255">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Consideraciones.</w:t>
            </w:r>
          </w:p>
          <w:p w14:paraId="06DE9F8A" w14:textId="77777777" w:rsidR="00021255" w:rsidRPr="008D4FEB" w:rsidRDefault="00021255" w:rsidP="00021255">
            <w:pPr>
              <w:pStyle w:val="TableParagraph"/>
              <w:spacing w:before="240" w:after="240" w:line="240" w:lineRule="exact"/>
              <w:ind w:left="170" w:right="198"/>
              <w:contextualSpacing/>
              <w:jc w:val="both"/>
              <w:rPr>
                <w:rFonts w:ascii="Arial" w:hAnsi="Arial" w:cs="Arial"/>
                <w:color w:val="000000" w:themeColor="text1"/>
                <w:w w:val="105"/>
                <w:sz w:val="20"/>
                <w:szCs w:val="20"/>
                <w:lang w:val="es-MX"/>
              </w:rPr>
            </w:pPr>
          </w:p>
          <w:p w14:paraId="259B13C0" w14:textId="77777777" w:rsidR="00021255" w:rsidRPr="008D4FEB" w:rsidRDefault="00021255" w:rsidP="00021255">
            <w:pPr>
              <w:pStyle w:val="TableParagraph"/>
              <w:spacing w:before="240" w:after="240" w:line="240" w:lineRule="exact"/>
              <w:ind w:left="170" w:right="198"/>
              <w:contextualSpacing/>
              <w:jc w:val="both"/>
              <w:rPr>
                <w:rFonts w:ascii="Arial" w:hAnsi="Arial" w:cs="Arial"/>
                <w:color w:val="000000" w:themeColor="text1"/>
                <w:w w:val="105"/>
                <w:sz w:val="20"/>
                <w:szCs w:val="20"/>
                <w:lang w:val="es-MX"/>
              </w:rPr>
            </w:pPr>
            <w:r w:rsidRPr="008D4FEB">
              <w:rPr>
                <w:rFonts w:ascii="Arial" w:hAnsi="Arial" w:cs="Arial"/>
                <w:color w:val="000000" w:themeColor="text1"/>
                <w:w w:val="105"/>
                <w:sz w:val="20"/>
                <w:szCs w:val="20"/>
                <w:lang w:val="es-MX"/>
              </w:rPr>
              <w:t>El Alto Tribunal reconoció la validez</w:t>
            </w:r>
            <w:r w:rsidRPr="008D4FEB">
              <w:rPr>
                <w:rFonts w:ascii="Arial" w:hAnsi="Arial" w:cs="Arial"/>
                <w:sz w:val="20"/>
                <w:szCs w:val="20"/>
              </w:rPr>
              <w:t xml:space="preserve"> </w:t>
            </w:r>
            <w:r w:rsidRPr="008D4FEB">
              <w:rPr>
                <w:rFonts w:ascii="Arial" w:hAnsi="Arial" w:cs="Arial"/>
                <w:color w:val="000000" w:themeColor="text1"/>
                <w:w w:val="105"/>
                <w:sz w:val="20"/>
                <w:szCs w:val="20"/>
                <w:lang w:val="es-MX"/>
              </w:rPr>
              <w:t>del artículo 97 fracción IV de la Ley Electoral para el Estado de Nuevo León, ya que en el artículo 116 fracción IV inciso h) de la CPEUM, establece que las Constituciones y leyes de los estados acogerán criterios para establecer los límites a las erogaciones de los partidos políticos en sus precampañas y campañas electorales, así como los montos máximos que tengan las aportaciones de sus militantes y simpatizantes.</w:t>
            </w:r>
            <w:r w:rsidRPr="008D4FEB">
              <w:rPr>
                <w:rFonts w:ascii="Arial" w:hAnsi="Arial" w:cs="Arial"/>
                <w:b/>
                <w:color w:val="000000" w:themeColor="text1"/>
                <w:w w:val="105"/>
                <w:sz w:val="20"/>
                <w:szCs w:val="20"/>
                <w:lang w:val="es-MX"/>
              </w:rPr>
              <w:t xml:space="preserve"> </w:t>
            </w:r>
            <w:r w:rsidRPr="008D4FEB">
              <w:rPr>
                <w:rFonts w:ascii="Arial" w:hAnsi="Arial" w:cs="Arial"/>
                <w:color w:val="000000" w:themeColor="text1"/>
                <w:w w:val="105"/>
                <w:sz w:val="20"/>
                <w:szCs w:val="20"/>
                <w:lang w:val="es-MX"/>
              </w:rPr>
              <w:t>Así, en el caso de la Constitución del Estado de Nuevo León el artículo 42 párrafo sexto, establece una reserva legal para garantizar que los partidos políticos con registro estatal o nacional cuenten de manera equitativa y permanente con elementos para la realización de sus actividades, siempre y cuando las realicen en el Estado. En ella se establecerán las reglas para el financiamiento público de sus actividades ordinarias permanentes, las tendientes a la obtención del voto durante los procesos electorales y para actividades específicas, relativas a educación, capacitación, investigación socioeconómica y política, así como a las tareas editoriales, que se otorgará a los partidos políticos que participen en las elecciones estatales y para la renovación de los integrantes de los Ayuntamientos de la entidad. En el caso, en la propia legislación comicial del Estado de Nuevo León se señala en su artículo 40 fracción V  que son obligaciones de los partidos el permitir la práctica de auditorías y verificaciones por los órganos del INE facultados para ello, esto es la norma resulta válida toda vez que se utilizará solamente cuando exista la delegación del INE de dichas facultades, o en su caso de la Comisión Estatal Electoral cuando se deleguen en ésta las facultades de fiscalización previstas en el artículo 41 de la Constitución Política de los Estados Unidos Mexicanos para el INE, así como entregar la documentación que dichos órganos les requieran respecto a sus ingresos y egresos.</w:t>
            </w:r>
          </w:p>
          <w:p w14:paraId="49518371" w14:textId="77777777" w:rsidR="00021255" w:rsidRPr="008D4FEB" w:rsidRDefault="00021255" w:rsidP="00021255">
            <w:pPr>
              <w:pStyle w:val="TableParagraph"/>
              <w:spacing w:before="240" w:after="240" w:line="240" w:lineRule="exact"/>
              <w:ind w:left="170" w:right="198"/>
              <w:contextualSpacing/>
              <w:jc w:val="center"/>
              <w:rPr>
                <w:rFonts w:ascii="Arial" w:hAnsi="Arial" w:cs="Arial"/>
                <w:color w:val="000000" w:themeColor="text1"/>
                <w:w w:val="105"/>
                <w:sz w:val="20"/>
                <w:szCs w:val="20"/>
                <w:lang w:val="es-MX"/>
              </w:rPr>
            </w:pPr>
          </w:p>
          <w:p w14:paraId="572C65F5" w14:textId="77777777" w:rsidR="00021255" w:rsidRPr="008D4FEB" w:rsidRDefault="00021255" w:rsidP="00021255">
            <w:pPr>
              <w:pStyle w:val="TableParagraph"/>
              <w:spacing w:before="240" w:after="240" w:line="240" w:lineRule="exact"/>
              <w:ind w:left="170" w:right="198"/>
              <w:contextualSpacing/>
              <w:jc w:val="both"/>
              <w:rPr>
                <w:rFonts w:ascii="Arial" w:hAnsi="Arial" w:cs="Arial"/>
                <w:color w:val="000000" w:themeColor="text1"/>
                <w:w w:val="105"/>
                <w:sz w:val="20"/>
                <w:szCs w:val="20"/>
                <w:lang w:val="es-MX"/>
              </w:rPr>
            </w:pPr>
            <w:r w:rsidRPr="008D4FEB">
              <w:rPr>
                <w:rFonts w:ascii="Arial" w:hAnsi="Arial" w:cs="Arial"/>
                <w:color w:val="000000" w:themeColor="text1"/>
                <w:w w:val="105"/>
                <w:sz w:val="20"/>
                <w:szCs w:val="20"/>
                <w:lang w:val="es-MX"/>
              </w:rPr>
              <w:t>De igual forma el artículo 51 de la legislación electoral local  establece que la Comisión Estatal Electoral deberá contar con una Dirección de Fiscalización dependiente de la Secretaría Ejecutiva, que tendrá entre sus facultades las de ordenar la práctica de auditorías, directamente o a través de terceros, a las finanzas de los partidos políticos y Presentar a la Comisión Estatal Electoral los informes de resultados y proyectos de resolución sobre las auditorías y verificaciones practicadas a los partidos políticos y candidatos independientes. Los informes especificarán las irregularidades en que hubieren incurrido los partidos políticos y candidatos independientes en el manejo de sus recursos; el incumplimiento de su obligación de informar sobre la aplicación de los mismos y, en su caso, propondrán las sanciones que procedan conforme a la normatividad aplicable.</w:t>
            </w:r>
          </w:p>
          <w:p w14:paraId="5D505506" w14:textId="77777777" w:rsidR="00021255" w:rsidRPr="008D4FEB" w:rsidRDefault="00021255" w:rsidP="00021255">
            <w:pPr>
              <w:pStyle w:val="TableParagraph"/>
              <w:spacing w:before="240" w:after="240" w:line="240" w:lineRule="exact"/>
              <w:ind w:left="170" w:right="198"/>
              <w:contextualSpacing/>
              <w:jc w:val="center"/>
              <w:rPr>
                <w:rFonts w:ascii="Arial" w:hAnsi="Arial" w:cs="Arial"/>
                <w:color w:val="000000" w:themeColor="text1"/>
                <w:w w:val="105"/>
                <w:sz w:val="20"/>
                <w:szCs w:val="20"/>
                <w:lang w:val="es-MX"/>
              </w:rPr>
            </w:pPr>
          </w:p>
          <w:p w14:paraId="6DDAAC08" w14:textId="77777777" w:rsidR="00021255" w:rsidRPr="008D4FEB" w:rsidRDefault="00021255" w:rsidP="00021255">
            <w:pPr>
              <w:pStyle w:val="TableParagraph"/>
              <w:spacing w:before="240" w:after="240" w:line="240" w:lineRule="exact"/>
              <w:ind w:left="170" w:right="198"/>
              <w:contextualSpacing/>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Resolutivo.</w:t>
            </w:r>
          </w:p>
          <w:p w14:paraId="79069B79" w14:textId="77777777" w:rsidR="00021255" w:rsidRPr="008D4FEB" w:rsidRDefault="00021255" w:rsidP="00021255">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0D8778CE" w14:textId="77777777" w:rsidR="00021255" w:rsidRPr="008D4FEB" w:rsidRDefault="00021255" w:rsidP="00021255">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21323674" w14:textId="77777777" w:rsidR="00021255" w:rsidRPr="008D4FEB" w:rsidRDefault="00021255" w:rsidP="00021255">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1E5FBBC9" w14:textId="77777777" w:rsidR="00021255" w:rsidRPr="008D4FEB" w:rsidRDefault="00021255" w:rsidP="00021255">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 xml:space="preserve">(…) </w:t>
            </w:r>
          </w:p>
          <w:p w14:paraId="59B3D7F9" w14:textId="77777777" w:rsidR="00021255" w:rsidRPr="008D4FEB" w:rsidRDefault="00021255" w:rsidP="00021255">
            <w:pPr>
              <w:ind w:left="170" w:right="198"/>
              <w:jc w:val="both"/>
              <w:rPr>
                <w:rFonts w:ascii="Arial" w:hAnsi="Arial" w:cs="Arial"/>
                <w:color w:val="000000" w:themeColor="text1"/>
                <w:w w:val="105"/>
                <w:sz w:val="20"/>
                <w:szCs w:val="20"/>
                <w:lang w:val="es-MX"/>
              </w:rPr>
            </w:pPr>
            <w:r w:rsidRPr="008D4FEB">
              <w:rPr>
                <w:rFonts w:ascii="Arial" w:hAnsi="Arial" w:cs="Arial"/>
                <w:b/>
                <w:color w:val="000000" w:themeColor="text1"/>
                <w:w w:val="105"/>
                <w:sz w:val="20"/>
                <w:szCs w:val="20"/>
                <w:lang w:val="es-MX"/>
              </w:rPr>
              <w:t xml:space="preserve">CUARTO. </w:t>
            </w:r>
            <w:r w:rsidRPr="008D4FEB">
              <w:rPr>
                <w:rFonts w:ascii="Arial" w:hAnsi="Arial" w:cs="Arial"/>
                <w:color w:val="000000" w:themeColor="text1"/>
                <w:w w:val="105"/>
                <w:sz w:val="20"/>
                <w:szCs w:val="20"/>
                <w:lang w:val="es-MX"/>
              </w:rPr>
              <w:t>Se reconoció la validez de los artículos 8, fracción III, al tenor de la interpretación conforme consistente en que la restricción respectiva sólo opera cuando el inculpado está privado de la libertad, 11, 16, 92, último párrafo, 96, 97, fracción IV, 99, 100, 101, 108, 109, 110, 111, 112, 156, fracciones I y II, 188, fracción III, párrafo segundo, 189, 191, fracción III, 200, 203, 204, 205, fracción II, 207, fracción V, 213, fracción IV, 215, 216, párrafo tercero, 217, 224, 225, 254, 255, 256, 257, 258, 259, 260, 261, 263, fracción I, 265, párrafo tercero, 266, fracciones I y II, 267, 269, fracción V, 270 fracción II, en la porción normativa que indica "tres por ciento", 342 y 347 de la Ley Electoral para el Estado de Nuevo León, en los términos de la parte considerativa de esta sentencia.</w:t>
            </w:r>
          </w:p>
          <w:p w14:paraId="63715002" w14:textId="77777777" w:rsidR="00021255" w:rsidRPr="008D4FEB" w:rsidRDefault="00021255" w:rsidP="00021255">
            <w:pPr>
              <w:pStyle w:val="TableParagraph"/>
              <w:spacing w:before="240" w:after="240" w:line="240" w:lineRule="exact"/>
              <w:ind w:left="170" w:right="198"/>
              <w:contextualSpacing/>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 xml:space="preserve">Votación. </w:t>
            </w:r>
          </w:p>
          <w:p w14:paraId="0D1753CB" w14:textId="77777777" w:rsidR="00021255" w:rsidRPr="008D4FEB" w:rsidRDefault="00021255" w:rsidP="00021255">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52F637E9" w14:textId="77777777" w:rsidR="00021255" w:rsidRPr="008D4FEB" w:rsidRDefault="00021255" w:rsidP="00021255">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4ACBC314" w14:textId="77777777" w:rsidR="00021255" w:rsidRPr="008D4FEB" w:rsidRDefault="00021255" w:rsidP="00021255">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0607C384" w14:textId="77777777" w:rsidR="00021255" w:rsidRPr="008D4FEB" w:rsidRDefault="00021255" w:rsidP="00021255">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 xml:space="preserve">(…) </w:t>
            </w:r>
          </w:p>
          <w:p w14:paraId="72E44BFB" w14:textId="77777777" w:rsidR="00021255" w:rsidRPr="008D4FEB" w:rsidRDefault="00021255" w:rsidP="00021255">
            <w:pPr>
              <w:pStyle w:val="TableParagraph"/>
              <w:spacing w:before="240" w:after="240" w:line="240" w:lineRule="exact"/>
              <w:ind w:left="170" w:right="198"/>
              <w:contextualSpacing/>
              <w:rPr>
                <w:rFonts w:ascii="Arial" w:hAnsi="Arial" w:cs="Arial"/>
                <w:b/>
                <w:color w:val="000000" w:themeColor="text1"/>
                <w:w w:val="105"/>
                <w:sz w:val="20"/>
                <w:szCs w:val="20"/>
                <w:lang w:val="es-MX"/>
              </w:rPr>
            </w:pPr>
          </w:p>
          <w:p w14:paraId="3B43E2C1" w14:textId="77777777" w:rsidR="00021255" w:rsidRPr="008D4FEB" w:rsidRDefault="00021255" w:rsidP="00021255">
            <w:pPr>
              <w:pStyle w:val="TableParagraph"/>
              <w:spacing w:before="240" w:after="240" w:line="240" w:lineRule="exact"/>
              <w:ind w:left="170" w:right="198"/>
              <w:contextualSpacing/>
              <w:jc w:val="both"/>
              <w:rPr>
                <w:rFonts w:ascii="Arial" w:hAnsi="Arial" w:cs="Arial"/>
                <w:color w:val="000000" w:themeColor="text1"/>
                <w:w w:val="105"/>
                <w:sz w:val="20"/>
                <w:szCs w:val="20"/>
                <w:lang w:val="es-MX"/>
              </w:rPr>
            </w:pPr>
            <w:r w:rsidRPr="008D4FEB">
              <w:rPr>
                <w:rFonts w:ascii="Arial" w:hAnsi="Arial" w:cs="Arial"/>
                <w:color w:val="000000" w:themeColor="text1"/>
                <w:w w:val="105"/>
                <w:sz w:val="20"/>
                <w:szCs w:val="20"/>
                <w:lang w:val="es-MX"/>
              </w:rPr>
              <w:t xml:space="preserve">Se aprobó por mayoría de 7 votos de los Ministros Gutiérrez Ortiz Mena en el entendido de que la norma se aplicará solamente cuando exista la delegación de las facultades del INE, Cossío Díaz en el entendido de que la norma se aplicará solamente cuando exista la delegación de las facultades del Instituto Nacional Electoral, Luna Ramos en el entendido de que la norma se aplicará solamente cuando exista la delegación de las facultades del INE, Aguilar Morales, Sánchez Cordero de García Villegas en el entendido de que la norma se aplicará solamente cuando exista la delegación de las facultades del INE, Pérez Dayán y Presidente </w:t>
            </w:r>
            <w:r w:rsidRPr="008D4FEB">
              <w:rPr>
                <w:rFonts w:ascii="Arial" w:hAnsi="Arial" w:cs="Arial"/>
                <w:color w:val="000000" w:themeColor="text1"/>
                <w:w w:val="105"/>
                <w:sz w:val="20"/>
                <w:szCs w:val="20"/>
                <w:lang w:val="es-MX"/>
              </w:rPr>
              <w:lastRenderedPageBreak/>
              <w:t>Silva Meza, respecto de la propuesta del considerando décimo quinto, consistente en reconocer la validez del artículo 97, fracción IV, de la Ley Electoral para el Estado de Nuevo León. Los Ministros Franco González Salas, Zaldívar Lelo de Larrea y Pardo Rebolledo votaron en contra.</w:t>
            </w:r>
          </w:p>
          <w:p w14:paraId="365EE8A5" w14:textId="77777777" w:rsidR="00021255" w:rsidRPr="008D4FEB" w:rsidRDefault="00021255" w:rsidP="00021255">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720FD64F" w14:textId="77777777" w:rsidR="00021255" w:rsidRPr="008D4FEB" w:rsidRDefault="00021255" w:rsidP="00021255">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4E4961C3" w14:textId="77777777" w:rsidR="00934F4C" w:rsidRDefault="00021255" w:rsidP="00934F4C">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0CFB6B32" w14:textId="6935C166" w:rsidR="00021255" w:rsidRPr="008D4FEB" w:rsidRDefault="00021255" w:rsidP="00934F4C">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 xml:space="preserve">(…) </w:t>
            </w:r>
          </w:p>
        </w:tc>
      </w:tr>
      <w:tr w:rsidR="00712A28" w:rsidRPr="00ED2D84" w14:paraId="615F455B" w14:textId="77777777" w:rsidTr="00551ABA">
        <w:trPr>
          <w:trHeight w:val="283"/>
        </w:trPr>
        <w:tc>
          <w:tcPr>
            <w:tcW w:w="1877" w:type="dxa"/>
          </w:tcPr>
          <w:p w14:paraId="59146702" w14:textId="77777777" w:rsidR="00712A28" w:rsidRPr="008D4FEB" w:rsidRDefault="00AF100A" w:rsidP="00712A28">
            <w:pPr>
              <w:ind w:left="170" w:right="198"/>
              <w:jc w:val="center"/>
              <w:rPr>
                <w:rFonts w:ascii="Arial" w:hAnsi="Arial" w:cs="Arial"/>
                <w:sz w:val="20"/>
                <w:szCs w:val="20"/>
              </w:rPr>
            </w:pPr>
            <w:hyperlink r:id="rId23" w:history="1">
              <w:r w:rsidR="00712A28" w:rsidRPr="008D4FEB">
                <w:rPr>
                  <w:rStyle w:val="Hipervnculo"/>
                  <w:rFonts w:ascii="Arial" w:hAnsi="Arial" w:cs="Arial"/>
                  <w:sz w:val="20"/>
                  <w:szCs w:val="20"/>
                </w:rPr>
                <w:t>22/2014, 26/2014, 28/2014 y 30/2014</w:t>
              </w:r>
            </w:hyperlink>
          </w:p>
          <w:p w14:paraId="7EC09F47" w14:textId="77777777" w:rsidR="00712A28" w:rsidRPr="008D4FEB" w:rsidRDefault="00712A28" w:rsidP="00712A28">
            <w:pPr>
              <w:ind w:left="170" w:right="198"/>
              <w:jc w:val="both"/>
              <w:rPr>
                <w:rFonts w:ascii="Arial" w:hAnsi="Arial" w:cs="Arial"/>
                <w:color w:val="000000"/>
                <w:sz w:val="20"/>
                <w:szCs w:val="20"/>
                <w:lang w:val="es-MX"/>
              </w:rPr>
            </w:pPr>
          </w:p>
          <w:p w14:paraId="459F6230" w14:textId="3EAB58AF" w:rsidR="00712A28" w:rsidRPr="008D4FEB" w:rsidRDefault="00712A28" w:rsidP="00712A28">
            <w:pPr>
              <w:ind w:left="170" w:right="198"/>
              <w:jc w:val="center"/>
              <w:rPr>
                <w:rFonts w:ascii="Arial" w:hAnsi="Arial" w:cs="Arial"/>
                <w:sz w:val="20"/>
                <w:szCs w:val="20"/>
              </w:rPr>
            </w:pPr>
            <w:r w:rsidRPr="008D4FEB">
              <w:rPr>
                <w:rFonts w:ascii="Arial" w:hAnsi="Arial" w:cs="Arial"/>
                <w:sz w:val="20"/>
                <w:szCs w:val="20"/>
              </w:rPr>
              <w:t>Distrito Federal</w:t>
            </w:r>
          </w:p>
        </w:tc>
        <w:tc>
          <w:tcPr>
            <w:tcW w:w="12294" w:type="dxa"/>
          </w:tcPr>
          <w:p w14:paraId="277302C0" w14:textId="77777777" w:rsidR="00712A28" w:rsidRPr="008D4FEB" w:rsidRDefault="00712A28" w:rsidP="00712A28">
            <w:pPr>
              <w:ind w:left="170" w:right="198"/>
              <w:jc w:val="both"/>
              <w:rPr>
                <w:rFonts w:ascii="Arial" w:hAnsi="Arial" w:cs="Arial"/>
                <w:b/>
                <w:color w:val="000000"/>
                <w:sz w:val="20"/>
                <w:szCs w:val="20"/>
                <w:lang w:val="es-MX"/>
              </w:rPr>
            </w:pPr>
            <w:r w:rsidRPr="008D4FEB">
              <w:rPr>
                <w:rFonts w:ascii="Arial" w:hAnsi="Arial" w:cs="Arial"/>
                <w:b/>
                <w:color w:val="000000"/>
                <w:sz w:val="20"/>
                <w:szCs w:val="20"/>
                <w:lang w:val="es-MX"/>
              </w:rPr>
              <w:t xml:space="preserve">CUADRAGÉSIMO QUINTO. Presunta incertidumbre en la fiscalización de los recursos de las candidaturas independientes. </w:t>
            </w:r>
          </w:p>
          <w:p w14:paraId="023D3541" w14:textId="77777777" w:rsidR="00712A28" w:rsidRPr="008D4FEB" w:rsidRDefault="00712A28" w:rsidP="00712A28">
            <w:pPr>
              <w:ind w:left="170" w:right="198"/>
              <w:jc w:val="both"/>
              <w:rPr>
                <w:rFonts w:ascii="Arial" w:hAnsi="Arial" w:cs="Arial"/>
                <w:b/>
                <w:color w:val="000000"/>
                <w:sz w:val="20"/>
                <w:szCs w:val="20"/>
                <w:lang w:val="es-MX"/>
              </w:rPr>
            </w:pPr>
          </w:p>
          <w:p w14:paraId="0130A641" w14:textId="77777777" w:rsidR="00712A28" w:rsidRPr="008D4FEB" w:rsidRDefault="00712A28" w:rsidP="00712A28">
            <w:pPr>
              <w:ind w:left="170" w:right="198"/>
              <w:jc w:val="both"/>
              <w:rPr>
                <w:rFonts w:ascii="Arial" w:hAnsi="Arial" w:cs="Arial"/>
                <w:color w:val="000000"/>
                <w:sz w:val="20"/>
                <w:szCs w:val="20"/>
                <w:lang w:val="es-MX"/>
              </w:rPr>
            </w:pPr>
            <w:r w:rsidRPr="008D4FEB">
              <w:rPr>
                <w:rFonts w:ascii="Arial" w:hAnsi="Arial" w:cs="Arial"/>
                <w:color w:val="000000"/>
                <w:sz w:val="20"/>
                <w:szCs w:val="20"/>
                <w:lang w:val="es-MX"/>
              </w:rPr>
              <w:t>El Partido Movimiento Ciudadano impugnó los artículos 425 a 431 de la Ley General de Instituciones y Procedimientos Electorales, ya que estableció en materia de fiscalización de las candidaturas independientes, que no será el Consejo General del INE si no la Unidad Técnica de Fiscalización de la Comisión de Fiscalización del Instituto, quien podrá requerir a las personas físicas o morales que tengan relación con las operaciones que realicen los aspirantes y candidatos independientes, la información necesaria para el cumplimiento de sus tareas, quienes se nieguen a proporcionar la información requerida o no la proporcionen, sin causa justificada, dentro de los plazos que se señalen se harán acreedores a sanciones, hecho que produce incertidumbre entre los particulares, que deseen apoyar a un candidato independiente al correr el riesgo de ser sancionado por parte de la autoridad, pues se inhibe la participación de los ciudadanos y se limitan las operaciones financieras de los candidatos independientes, lo cual contraviene al artículo 41 en su Base V, apartado B, penúltimo párrafo de la CPEUM.</w:t>
            </w:r>
          </w:p>
          <w:p w14:paraId="4266C277" w14:textId="77777777" w:rsidR="00712A28" w:rsidRPr="008D4FEB" w:rsidRDefault="00712A28" w:rsidP="00712A28">
            <w:pPr>
              <w:ind w:left="170" w:right="198"/>
              <w:jc w:val="both"/>
              <w:rPr>
                <w:rFonts w:ascii="Arial" w:hAnsi="Arial" w:cs="Arial"/>
                <w:color w:val="000000"/>
                <w:sz w:val="20"/>
                <w:szCs w:val="20"/>
                <w:lang w:val="es-MX"/>
              </w:rPr>
            </w:pPr>
          </w:p>
          <w:p w14:paraId="7B3F1834" w14:textId="77777777" w:rsidR="00712A28" w:rsidRPr="008D4FEB" w:rsidRDefault="00712A28" w:rsidP="00712A28">
            <w:pPr>
              <w:ind w:left="170" w:right="198"/>
              <w:jc w:val="both"/>
              <w:rPr>
                <w:rFonts w:ascii="Arial" w:hAnsi="Arial" w:cs="Arial"/>
                <w:b/>
                <w:color w:val="000000"/>
                <w:sz w:val="20"/>
                <w:szCs w:val="20"/>
                <w:lang w:val="es-MX"/>
              </w:rPr>
            </w:pPr>
            <w:r w:rsidRPr="008D4FEB">
              <w:rPr>
                <w:rFonts w:ascii="Arial" w:hAnsi="Arial" w:cs="Arial"/>
                <w:b/>
                <w:color w:val="000000"/>
                <w:sz w:val="20"/>
                <w:szCs w:val="20"/>
                <w:lang w:val="es-MX"/>
              </w:rPr>
              <w:t>Consideraciones.</w:t>
            </w:r>
          </w:p>
          <w:p w14:paraId="3E906CD7" w14:textId="77777777" w:rsidR="00712A28" w:rsidRPr="008D4FEB" w:rsidRDefault="00712A28" w:rsidP="00712A28">
            <w:pPr>
              <w:ind w:left="170" w:right="198"/>
              <w:jc w:val="both"/>
              <w:rPr>
                <w:rFonts w:ascii="Arial" w:hAnsi="Arial" w:cs="Arial"/>
                <w:color w:val="000000"/>
                <w:sz w:val="20"/>
                <w:szCs w:val="20"/>
                <w:lang w:val="es-MX"/>
              </w:rPr>
            </w:pPr>
          </w:p>
          <w:p w14:paraId="45AC47F3" w14:textId="77777777" w:rsidR="00712A28" w:rsidRPr="008D4FEB" w:rsidRDefault="00712A28" w:rsidP="00712A28">
            <w:pPr>
              <w:ind w:left="170" w:right="198"/>
              <w:jc w:val="both"/>
              <w:rPr>
                <w:rFonts w:ascii="Arial" w:hAnsi="Arial" w:cs="Arial"/>
                <w:color w:val="000000"/>
                <w:sz w:val="20"/>
                <w:szCs w:val="20"/>
                <w:lang w:val="es-MX"/>
              </w:rPr>
            </w:pPr>
            <w:r w:rsidRPr="008D4FEB">
              <w:rPr>
                <w:rFonts w:ascii="Arial" w:hAnsi="Arial" w:cs="Arial"/>
                <w:color w:val="000000"/>
                <w:sz w:val="20"/>
                <w:szCs w:val="20"/>
                <w:lang w:val="es-MX"/>
              </w:rPr>
              <w:t xml:space="preserve">El Pleno de la SCJN reconoció la validez  de los artículos controvertidos, dado que no existe un perjuicio a los particulares que apoyen alguna de las candidaturas independientes, ya que la obligación de rendir los informes que se les soliciten con relación a las operaciones financieras vinculadas con la contabilidad de tales candidaturas, solamente tiene el propósito de asegurar el cumplimiento de la normatividad en materia de financiamiento público y privado, lo cual lejos de provocar falta de certeza, asegura prácticas sanas en la observancia de la licitud del origen de los recursos y su flujo legal para los fines de promoción política a los que deben destinarse. Asimismo, también es infundado que el Consejo General del INE no se ocupe de la fiscalización de las candidaturas independientes, toda vez que pierde de vista que el artículo 44 párrafo 1, incisos j), k), o), </w:t>
            </w:r>
            <w:proofErr w:type="spellStart"/>
            <w:r w:rsidRPr="008D4FEB">
              <w:rPr>
                <w:rFonts w:ascii="Arial" w:hAnsi="Arial" w:cs="Arial"/>
                <w:color w:val="000000"/>
                <w:sz w:val="20"/>
                <w:szCs w:val="20"/>
                <w:lang w:val="es-MX"/>
              </w:rPr>
              <w:t>aa</w:t>
            </w:r>
            <w:proofErr w:type="spellEnd"/>
            <w:r w:rsidRPr="008D4FEB">
              <w:rPr>
                <w:rFonts w:ascii="Arial" w:hAnsi="Arial" w:cs="Arial"/>
                <w:color w:val="000000"/>
                <w:sz w:val="20"/>
                <w:szCs w:val="20"/>
                <w:lang w:val="es-MX"/>
              </w:rPr>
              <w:t xml:space="preserve">) y </w:t>
            </w:r>
            <w:proofErr w:type="spellStart"/>
            <w:r w:rsidRPr="008D4FEB">
              <w:rPr>
                <w:rFonts w:ascii="Arial" w:hAnsi="Arial" w:cs="Arial"/>
                <w:color w:val="000000"/>
                <w:sz w:val="20"/>
                <w:szCs w:val="20"/>
                <w:lang w:val="es-MX"/>
              </w:rPr>
              <w:t>ii</w:t>
            </w:r>
            <w:proofErr w:type="spellEnd"/>
            <w:r w:rsidRPr="008D4FEB">
              <w:rPr>
                <w:rFonts w:ascii="Arial" w:hAnsi="Arial" w:cs="Arial"/>
                <w:color w:val="000000"/>
                <w:sz w:val="20"/>
                <w:szCs w:val="20"/>
                <w:lang w:val="es-MX"/>
              </w:rPr>
              <w:t xml:space="preserve">); de la Ley General de Instituciones y Procedimientos Electorales, pues confiere a dicho Consejo las atribuciones necesarias para vigilar el cumplimiento de la legislación general electoral, emitir la normatividad en materia de fiscalización, aprobar los informes sobre ella, e imponer las sanciones que procedan. </w:t>
            </w:r>
          </w:p>
          <w:p w14:paraId="7D5118EE" w14:textId="77777777" w:rsidR="00712A28" w:rsidRPr="008D4FEB" w:rsidRDefault="00712A28" w:rsidP="00712A28">
            <w:pPr>
              <w:ind w:left="170" w:right="198"/>
              <w:jc w:val="both"/>
              <w:rPr>
                <w:rFonts w:ascii="Arial" w:hAnsi="Arial" w:cs="Arial"/>
                <w:color w:val="000000"/>
                <w:sz w:val="20"/>
                <w:szCs w:val="20"/>
                <w:lang w:val="es-MX"/>
              </w:rPr>
            </w:pPr>
          </w:p>
          <w:p w14:paraId="2B3652A1" w14:textId="77777777" w:rsidR="00712A28" w:rsidRPr="008D4FEB" w:rsidRDefault="00712A28" w:rsidP="00712A28">
            <w:pPr>
              <w:ind w:left="170" w:right="198"/>
              <w:jc w:val="both"/>
              <w:rPr>
                <w:rFonts w:ascii="Arial" w:hAnsi="Arial" w:cs="Arial"/>
                <w:color w:val="000000"/>
                <w:sz w:val="20"/>
                <w:szCs w:val="20"/>
                <w:lang w:val="es-MX"/>
              </w:rPr>
            </w:pPr>
            <w:r w:rsidRPr="008D4FEB">
              <w:rPr>
                <w:rFonts w:ascii="Arial" w:hAnsi="Arial" w:cs="Arial"/>
                <w:color w:val="000000"/>
                <w:sz w:val="20"/>
                <w:szCs w:val="20"/>
                <w:lang w:val="es-MX"/>
              </w:rPr>
              <w:t xml:space="preserve">Finalmente, también es inexacto que no se encomiende al Consejo General de INE la emisión de los lineamientos necesarios para la fiscalización, toda vez que si bien esa atribución no está prevista en las normas analizadas en este considerando, lo cierto es que tal facultad sí está otorgada en un diverso precepto de la misma ley, concretamente en el artículo 191, el cual resulta aplicable a las </w:t>
            </w:r>
            <w:r w:rsidRPr="008D4FEB">
              <w:rPr>
                <w:rFonts w:ascii="Arial" w:hAnsi="Arial" w:cs="Arial"/>
                <w:color w:val="000000"/>
                <w:sz w:val="20"/>
                <w:szCs w:val="20"/>
                <w:lang w:val="es-MX"/>
              </w:rPr>
              <w:lastRenderedPageBreak/>
              <w:t>candidaturas independientes en términos del diverso artículo 359 del mismo ordenamiento.</w:t>
            </w:r>
          </w:p>
          <w:p w14:paraId="5E0CC12E" w14:textId="77777777" w:rsidR="00712A28" w:rsidRPr="008D4FEB" w:rsidRDefault="00712A28" w:rsidP="00712A28">
            <w:pPr>
              <w:ind w:left="170" w:right="198"/>
              <w:jc w:val="both"/>
              <w:rPr>
                <w:rFonts w:ascii="Arial" w:hAnsi="Arial" w:cs="Arial"/>
                <w:color w:val="000000"/>
                <w:sz w:val="20"/>
                <w:szCs w:val="20"/>
                <w:lang w:val="es-MX"/>
              </w:rPr>
            </w:pPr>
          </w:p>
          <w:p w14:paraId="2A5BE19F" w14:textId="77777777" w:rsidR="00712A28" w:rsidRPr="008D4FEB" w:rsidRDefault="00712A28" w:rsidP="00712A28">
            <w:pPr>
              <w:ind w:left="170" w:right="198"/>
              <w:jc w:val="both"/>
              <w:rPr>
                <w:rFonts w:ascii="Arial" w:hAnsi="Arial" w:cs="Arial"/>
                <w:b/>
                <w:color w:val="000000"/>
                <w:sz w:val="20"/>
                <w:szCs w:val="20"/>
                <w:lang w:val="es-MX"/>
              </w:rPr>
            </w:pPr>
            <w:r w:rsidRPr="008D4FEB">
              <w:rPr>
                <w:rFonts w:ascii="Arial" w:hAnsi="Arial" w:cs="Arial"/>
                <w:b/>
                <w:color w:val="000000"/>
                <w:sz w:val="20"/>
                <w:szCs w:val="20"/>
                <w:lang w:val="es-MX"/>
              </w:rPr>
              <w:t>Resolutivo.</w:t>
            </w:r>
          </w:p>
          <w:p w14:paraId="21EB576C" w14:textId="77777777" w:rsidR="00712A28" w:rsidRPr="008D4FEB" w:rsidRDefault="00712A28" w:rsidP="00712A28">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5C8588B9" w14:textId="77777777" w:rsidR="00712A28" w:rsidRPr="008D4FEB" w:rsidRDefault="00712A28" w:rsidP="00712A28">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09DB0DC8" w14:textId="77777777" w:rsidR="00712A28" w:rsidRPr="008D4FEB" w:rsidRDefault="00712A28" w:rsidP="00712A28">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33AC6CB3" w14:textId="77777777" w:rsidR="00712A28" w:rsidRPr="008D4FEB" w:rsidRDefault="00712A28" w:rsidP="00712A28">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 xml:space="preserve">(…) </w:t>
            </w:r>
          </w:p>
          <w:p w14:paraId="78D2EDF5" w14:textId="77777777" w:rsidR="00712A28" w:rsidRPr="008D4FEB" w:rsidRDefault="00712A28" w:rsidP="00712A28">
            <w:pPr>
              <w:ind w:left="170" w:right="198"/>
              <w:jc w:val="both"/>
              <w:rPr>
                <w:rFonts w:ascii="Arial" w:hAnsi="Arial" w:cs="Arial"/>
                <w:color w:val="000000"/>
                <w:sz w:val="20"/>
                <w:szCs w:val="20"/>
                <w:lang w:val="es-MX"/>
              </w:rPr>
            </w:pPr>
            <w:r w:rsidRPr="008D4FEB">
              <w:rPr>
                <w:rFonts w:ascii="Arial" w:hAnsi="Arial" w:cs="Arial"/>
                <w:b/>
                <w:color w:val="000000"/>
                <w:sz w:val="20"/>
                <w:szCs w:val="20"/>
                <w:lang w:val="es-MX"/>
              </w:rPr>
              <w:t>DÉCIMO.</w:t>
            </w:r>
            <w:r w:rsidRPr="008D4FEB">
              <w:rPr>
                <w:rFonts w:ascii="Arial" w:hAnsi="Arial" w:cs="Arial"/>
                <w:color w:val="000000"/>
                <w:sz w:val="20"/>
                <w:szCs w:val="20"/>
                <w:lang w:val="es-MX"/>
              </w:rPr>
              <w:t xml:space="preserve"> Con la salvedad a que se refieren los puntos resolutivos sexto a noveno anteriores, se reconoce la validez de las restantes normas reclamadas, pero a condición de que los siguientes preceptos se interpreten como se indica a continuación: 1) el artículo 218, numeral 6, inciso b), de la Ley General de Instituciones y Procedimientos Electorales, en el sentido de que, para la realización de los debates que prevé, es obligatorio que se convoque fehacientemente a todos los candidatos, en términos del considerando décimo tercero de la presente ejecutoria; 2) el artículo 85, párrafo 5, de la Ley General de Partidos Políticos, en el sentido de que la expresión “…en sus Constituciones locales…”; debe comprender al propio Estatuto de Gobierno del Distrito Federal, por tener éste un rango al menos equivalente a la que tendrían las Constituciones locales en el ámbito espacial de las demás entidades federativas, en términos del considerando vigésimo quinto; y 3) el artículo 13, párrafo 1, inciso d), de la Ley General del Sistema de Medios de Impugnación en Materia Electoral no impide a los candidatos independientes promover recursos por cuenta propia sin la intervención de sus representantes, en términos del considerando cuadragésimo sexto.</w:t>
            </w:r>
          </w:p>
          <w:p w14:paraId="4EFFD587" w14:textId="77777777" w:rsidR="00712A28" w:rsidRPr="008D4FEB" w:rsidRDefault="00712A28" w:rsidP="00712A28">
            <w:pPr>
              <w:ind w:left="170" w:right="198"/>
              <w:jc w:val="both"/>
              <w:rPr>
                <w:rFonts w:ascii="Arial" w:hAnsi="Arial" w:cs="Arial"/>
                <w:color w:val="000000"/>
                <w:sz w:val="20"/>
                <w:szCs w:val="20"/>
                <w:lang w:val="es-MX"/>
              </w:rPr>
            </w:pPr>
          </w:p>
          <w:p w14:paraId="47AF69E5" w14:textId="77777777" w:rsidR="00712A28" w:rsidRPr="008D4FEB" w:rsidRDefault="00712A28" w:rsidP="00712A28">
            <w:pPr>
              <w:ind w:left="170" w:right="198"/>
              <w:jc w:val="both"/>
              <w:rPr>
                <w:rFonts w:ascii="Arial" w:hAnsi="Arial" w:cs="Arial"/>
                <w:b/>
                <w:color w:val="000000"/>
                <w:sz w:val="20"/>
                <w:szCs w:val="20"/>
                <w:lang w:val="es-MX"/>
              </w:rPr>
            </w:pPr>
            <w:r w:rsidRPr="008D4FEB">
              <w:rPr>
                <w:rFonts w:ascii="Arial" w:hAnsi="Arial" w:cs="Arial"/>
                <w:b/>
                <w:color w:val="000000"/>
                <w:sz w:val="20"/>
                <w:szCs w:val="20"/>
                <w:lang w:val="es-MX"/>
              </w:rPr>
              <w:t>Votación.</w:t>
            </w:r>
          </w:p>
          <w:p w14:paraId="2F7E4578" w14:textId="77777777" w:rsidR="00712A28" w:rsidRPr="008D4FEB" w:rsidRDefault="00712A28" w:rsidP="00712A28">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1A3BC6D1" w14:textId="77777777" w:rsidR="00712A28" w:rsidRPr="008D4FEB" w:rsidRDefault="00712A28" w:rsidP="00712A28">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0246F893" w14:textId="77777777" w:rsidR="00712A28" w:rsidRPr="008D4FEB" w:rsidRDefault="00712A28" w:rsidP="00712A28">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77BADF2A" w14:textId="77777777" w:rsidR="00712A28" w:rsidRPr="008D4FEB" w:rsidRDefault="00712A28" w:rsidP="00712A28">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 xml:space="preserve">(…) </w:t>
            </w:r>
          </w:p>
          <w:p w14:paraId="57103E34" w14:textId="77777777" w:rsidR="00712A28" w:rsidRPr="008D4FEB" w:rsidRDefault="00712A28" w:rsidP="00712A28">
            <w:pPr>
              <w:ind w:left="170" w:right="198"/>
              <w:jc w:val="both"/>
              <w:rPr>
                <w:rFonts w:ascii="Arial" w:hAnsi="Arial" w:cs="Arial"/>
                <w:b/>
                <w:color w:val="000000"/>
                <w:sz w:val="20"/>
                <w:szCs w:val="20"/>
                <w:lang w:val="es-MX"/>
              </w:rPr>
            </w:pPr>
            <w:r w:rsidRPr="008D4FEB">
              <w:rPr>
                <w:rFonts w:ascii="Arial" w:hAnsi="Arial" w:cs="Arial"/>
                <w:b/>
                <w:color w:val="000000"/>
                <w:sz w:val="20"/>
                <w:szCs w:val="20"/>
                <w:lang w:val="es-MX"/>
              </w:rPr>
              <w:t>Respecto del punto resolutivo décimo:</w:t>
            </w:r>
          </w:p>
          <w:p w14:paraId="252F29AF" w14:textId="77777777" w:rsidR="00712A28" w:rsidRPr="008D4FEB" w:rsidRDefault="00712A28" w:rsidP="00712A28">
            <w:pPr>
              <w:ind w:left="170" w:right="198"/>
              <w:jc w:val="both"/>
              <w:rPr>
                <w:rFonts w:ascii="Arial" w:hAnsi="Arial" w:cs="Arial"/>
                <w:color w:val="000000"/>
                <w:sz w:val="20"/>
                <w:szCs w:val="20"/>
                <w:lang w:val="es-MX"/>
              </w:rPr>
            </w:pPr>
          </w:p>
          <w:p w14:paraId="1D5EDB6B" w14:textId="77777777" w:rsidR="00712A28" w:rsidRPr="008D4FEB" w:rsidRDefault="00712A28" w:rsidP="00712A28">
            <w:pPr>
              <w:ind w:left="170" w:right="198"/>
              <w:jc w:val="both"/>
              <w:rPr>
                <w:rFonts w:ascii="Arial" w:hAnsi="Arial" w:cs="Arial"/>
                <w:color w:val="000000"/>
                <w:sz w:val="20"/>
                <w:szCs w:val="20"/>
                <w:lang w:val="es-MX"/>
              </w:rPr>
            </w:pPr>
            <w:r w:rsidRPr="008D4FEB">
              <w:rPr>
                <w:rFonts w:ascii="Arial" w:hAnsi="Arial" w:cs="Arial"/>
                <w:color w:val="000000"/>
                <w:sz w:val="20"/>
                <w:szCs w:val="20"/>
                <w:lang w:val="es-MX"/>
              </w:rPr>
              <w:t xml:space="preserve">Se aprobó por unanimidad de 10 votos de los Ministros Gutiérrez Ortiz Mena, Cossío Díaz, Luna Ramos, Franco González Salas, Zaldívar Lelo de Larrea, Pardo Rebolledo, Aguilar Morales, Sánchez Cordero de García Villegas, Pérez Dayán y Presidente Silva Meza, respecto de los considerandos cuadragésimo segundo (en el cual se reconoció la validez del artículo 401, párrafo 1, inciso i), de la Ley General de Instituciones y Procedimientos Electorales), cuadragésimo tercero (en el cual se reconoció la validez del artículo 403 de la Ley General de Instituciones y Procedimientos Electorales), cuadragésimo cuarto (en el cual se reconoció la validez del artículo 423 de la Ley General de Instituciones y Procedimientos Electorales), cuadragésimo quinto (en el cual se reconoció la validez de los artículos </w:t>
            </w:r>
            <w:r w:rsidRPr="008D4FEB">
              <w:rPr>
                <w:rFonts w:ascii="Arial" w:hAnsi="Arial" w:cs="Arial"/>
                <w:color w:val="000000"/>
                <w:sz w:val="20"/>
                <w:szCs w:val="20"/>
                <w:lang w:val="es-MX"/>
              </w:rPr>
              <w:lastRenderedPageBreak/>
              <w:t>425 a 431 de la Ley General de Instituciones y Procedimientos Electorales) y cuadragésimo sexto (en el cual se reconoció la validez del artículo 13, párrafo 1, inciso d), de la Ley General del Sistema de Medios de Impugnación en Materia Electoral, y se fijó su interpretación). Los Ministros Franco González Salas (reserva genérica) y Zaldívar Lelo de Larrea (reserva genérica) reservaron su derecho de formular sendos votos concurrentes.</w:t>
            </w:r>
          </w:p>
          <w:p w14:paraId="5B145E3A" w14:textId="77777777" w:rsidR="00712A28" w:rsidRPr="008D4FEB" w:rsidRDefault="00712A28" w:rsidP="00712A28">
            <w:pPr>
              <w:ind w:left="170" w:right="198"/>
              <w:jc w:val="both"/>
              <w:rPr>
                <w:rFonts w:ascii="Arial" w:hAnsi="Arial" w:cs="Arial"/>
                <w:color w:val="000000"/>
                <w:sz w:val="20"/>
                <w:szCs w:val="20"/>
                <w:lang w:val="es-MX"/>
              </w:rPr>
            </w:pPr>
            <w:r w:rsidRPr="008D4FEB">
              <w:rPr>
                <w:rFonts w:ascii="Arial" w:hAnsi="Arial" w:cs="Arial"/>
                <w:b/>
                <w:color w:val="000000" w:themeColor="text1"/>
                <w:w w:val="105"/>
                <w:sz w:val="20"/>
                <w:szCs w:val="20"/>
                <w:lang w:val="es-MX"/>
              </w:rPr>
              <w:t>.</w:t>
            </w:r>
          </w:p>
          <w:p w14:paraId="376FC66A" w14:textId="77777777" w:rsidR="00712A28" w:rsidRPr="008D4FEB" w:rsidRDefault="00712A28" w:rsidP="00712A28">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561BA733" w14:textId="77777777" w:rsidR="00712A28" w:rsidRPr="008D4FEB" w:rsidRDefault="00712A28" w:rsidP="00712A28">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0E86B876" w14:textId="7DEA2F6F" w:rsidR="00712A28" w:rsidRPr="008D4FEB" w:rsidRDefault="00712A28" w:rsidP="00712A28">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 xml:space="preserve">(…) </w:t>
            </w:r>
          </w:p>
        </w:tc>
      </w:tr>
      <w:tr w:rsidR="00712A28" w:rsidRPr="00ED2D84" w14:paraId="64F3EB2F" w14:textId="77777777" w:rsidTr="00C75296">
        <w:trPr>
          <w:trHeight w:val="283"/>
        </w:trPr>
        <w:tc>
          <w:tcPr>
            <w:tcW w:w="1877" w:type="dxa"/>
            <w:vAlign w:val="center"/>
          </w:tcPr>
          <w:p w14:paraId="0E88B3FB" w14:textId="77777777" w:rsidR="00712A28" w:rsidRPr="00ED2D84" w:rsidRDefault="00712A28" w:rsidP="00712A28">
            <w:pPr>
              <w:ind w:left="170" w:right="198"/>
              <w:jc w:val="center"/>
              <w:rPr>
                <w:rFonts w:ascii="Arial" w:hAnsi="Arial" w:cs="Arial"/>
                <w:sz w:val="20"/>
                <w:szCs w:val="20"/>
              </w:rPr>
            </w:pPr>
          </w:p>
          <w:p w14:paraId="2D6D551D" w14:textId="77777777" w:rsidR="00712A28" w:rsidRPr="00ED2D84" w:rsidRDefault="00712A28" w:rsidP="00712A28">
            <w:pPr>
              <w:ind w:left="170" w:right="198"/>
              <w:jc w:val="center"/>
              <w:rPr>
                <w:rFonts w:ascii="Arial" w:hAnsi="Arial" w:cs="Arial"/>
                <w:sz w:val="20"/>
                <w:szCs w:val="20"/>
              </w:rPr>
            </w:pPr>
          </w:p>
          <w:p w14:paraId="382FD9C0" w14:textId="77777777" w:rsidR="00712A28" w:rsidRDefault="00AF100A" w:rsidP="00712A28">
            <w:pPr>
              <w:ind w:left="170" w:right="198"/>
              <w:jc w:val="center"/>
              <w:rPr>
                <w:rStyle w:val="Hipervnculo"/>
                <w:rFonts w:ascii="Arial" w:hAnsi="Arial" w:cs="Arial"/>
                <w:b/>
                <w:sz w:val="20"/>
                <w:szCs w:val="20"/>
                <w:lang w:val="es-MX"/>
              </w:rPr>
            </w:pPr>
            <w:hyperlink r:id="rId24" w:history="1">
              <w:r w:rsidR="00712A28" w:rsidRPr="00ED2D84">
                <w:rPr>
                  <w:rStyle w:val="Hipervnculo"/>
                  <w:rFonts w:ascii="Arial" w:hAnsi="Arial" w:cs="Arial"/>
                  <w:b/>
                  <w:sz w:val="20"/>
                  <w:szCs w:val="20"/>
                  <w:lang w:val="es-MX"/>
                </w:rPr>
                <w:t>51/2014 Y SUS ACUMULADAS 77/2014 Y 79/2014</w:t>
              </w:r>
            </w:hyperlink>
          </w:p>
          <w:p w14:paraId="7DFBDE06" w14:textId="77777777" w:rsidR="00712A28" w:rsidRDefault="00712A28" w:rsidP="00712A28">
            <w:pPr>
              <w:ind w:left="170" w:right="198"/>
              <w:jc w:val="center"/>
              <w:rPr>
                <w:rStyle w:val="Hipervnculo"/>
                <w:rFonts w:ascii="Arial" w:hAnsi="Arial" w:cs="Arial"/>
                <w:b/>
                <w:sz w:val="20"/>
                <w:szCs w:val="20"/>
                <w:lang w:val="es-MX"/>
              </w:rPr>
            </w:pPr>
          </w:p>
          <w:p w14:paraId="3B02560F" w14:textId="428194C6" w:rsidR="00712A28" w:rsidRPr="00C4535A" w:rsidRDefault="00712A28" w:rsidP="00712A28">
            <w:pPr>
              <w:ind w:left="170" w:right="198"/>
              <w:jc w:val="center"/>
              <w:rPr>
                <w:rFonts w:ascii="Arial" w:hAnsi="Arial" w:cs="Arial"/>
                <w:b/>
                <w:bCs/>
                <w:sz w:val="20"/>
                <w:szCs w:val="20"/>
                <w:lang w:val="es-MX"/>
              </w:rPr>
            </w:pPr>
            <w:r w:rsidRPr="00C4535A">
              <w:rPr>
                <w:rFonts w:ascii="Arial" w:hAnsi="Arial" w:cs="Arial"/>
                <w:b/>
                <w:bCs/>
                <w:sz w:val="20"/>
                <w:szCs w:val="20"/>
                <w:lang w:val="es-MX"/>
              </w:rPr>
              <w:t>Campeche</w:t>
            </w:r>
          </w:p>
        </w:tc>
        <w:tc>
          <w:tcPr>
            <w:tcW w:w="12294" w:type="dxa"/>
          </w:tcPr>
          <w:p w14:paraId="49231548" w14:textId="77777777" w:rsidR="00712A28" w:rsidRPr="00ED2D84" w:rsidRDefault="00712A28" w:rsidP="00712A28">
            <w:pPr>
              <w:pStyle w:val="corte4fondo"/>
              <w:numPr>
                <w:ilvl w:val="0"/>
                <w:numId w:val="8"/>
              </w:numPr>
              <w:tabs>
                <w:tab w:val="left" w:pos="252"/>
              </w:tabs>
              <w:spacing w:line="240" w:lineRule="auto"/>
              <w:ind w:left="170" w:right="198" w:hanging="567"/>
              <w:rPr>
                <w:rFonts w:cs="Arial"/>
                <w:sz w:val="20"/>
                <w:lang w:val="es-MX"/>
              </w:rPr>
            </w:pPr>
          </w:p>
          <w:p w14:paraId="61F45301" w14:textId="77777777" w:rsidR="00712A28" w:rsidRPr="00ED2D84" w:rsidRDefault="00712A28" w:rsidP="00712A28">
            <w:pPr>
              <w:pStyle w:val="Prrafodelista"/>
              <w:numPr>
                <w:ilvl w:val="0"/>
                <w:numId w:val="9"/>
              </w:numPr>
              <w:ind w:left="170" w:right="198" w:hanging="142"/>
              <w:rPr>
                <w:rFonts w:ascii="Arial" w:eastAsia="Times New Roman" w:hAnsi="Arial" w:cs="Arial"/>
                <w:b/>
                <w:bCs/>
                <w:sz w:val="20"/>
                <w:szCs w:val="20"/>
                <w:lang w:val="es-MX" w:eastAsia="es-MX"/>
              </w:rPr>
            </w:pPr>
            <w:r w:rsidRPr="00ED2D84">
              <w:rPr>
                <w:rFonts w:ascii="Arial" w:eastAsia="Times New Roman" w:hAnsi="Arial" w:cs="Arial"/>
                <w:b/>
                <w:bCs/>
                <w:sz w:val="20"/>
                <w:szCs w:val="20"/>
                <w:lang w:val="es-MX" w:eastAsia="es-MX"/>
              </w:rPr>
              <w:t>Análisis de la posibilidad de regular la fiscalización de los partidos políticos locales en la legislación estatal.</w:t>
            </w:r>
          </w:p>
          <w:p w14:paraId="7521441F" w14:textId="77777777" w:rsidR="00712A28" w:rsidRPr="00ED2D84" w:rsidRDefault="00712A28" w:rsidP="00712A28">
            <w:pPr>
              <w:ind w:left="170" w:right="198"/>
              <w:rPr>
                <w:rFonts w:ascii="Arial" w:eastAsia="Times New Roman" w:hAnsi="Arial" w:cs="Arial"/>
                <w:b/>
                <w:bCs/>
                <w:sz w:val="20"/>
                <w:szCs w:val="20"/>
                <w:lang w:val="es-MX" w:eastAsia="es-MX"/>
              </w:rPr>
            </w:pPr>
          </w:p>
          <w:p w14:paraId="183F55A5" w14:textId="77777777" w:rsidR="00712A28" w:rsidRPr="00ED2D84" w:rsidRDefault="00712A28" w:rsidP="00712A28">
            <w:pPr>
              <w:pStyle w:val="corte4fondo"/>
              <w:numPr>
                <w:ilvl w:val="0"/>
                <w:numId w:val="10"/>
              </w:numPr>
              <w:tabs>
                <w:tab w:val="left" w:pos="252"/>
              </w:tabs>
              <w:spacing w:line="240" w:lineRule="auto"/>
              <w:ind w:left="170" w:right="198" w:hanging="567"/>
              <w:rPr>
                <w:rFonts w:cs="Arial"/>
                <w:sz w:val="20"/>
                <w:lang w:val="es-MX"/>
              </w:rPr>
            </w:pPr>
            <w:r w:rsidRPr="00ED2D84">
              <w:rPr>
                <w:rFonts w:cs="Arial"/>
                <w:sz w:val="20"/>
                <w:lang w:val="es-MX"/>
              </w:rPr>
              <w:t>El Partido de la Revolución Democrática afirmó que resultan inconstitucionales los artículos 104 a 114 de la Ley de Instituciones y Procedimientos Electorales del Estado de Campeche, debido a que invaden competencias reservadas a la Unidad de Fiscalización del Instituto Nacional Electoral y porque no establecen correctamente los topes de gastos de campaña ni prevén la preponderancia del financiamiento público sobre el privado. Lo anterior, en clara contravención de los artículos 1°, 8°, 14, primer y último párrafo, 17, 41, 116, fracción IV, y 133 de la Constitución Federal.</w:t>
            </w:r>
          </w:p>
          <w:p w14:paraId="50C5627F" w14:textId="77777777" w:rsidR="00712A28" w:rsidRPr="00ED2D84" w:rsidRDefault="00712A28" w:rsidP="00712A28">
            <w:pPr>
              <w:ind w:left="170" w:right="198"/>
              <w:jc w:val="both"/>
              <w:rPr>
                <w:rFonts w:ascii="Arial" w:hAnsi="Arial" w:cs="Arial"/>
                <w:b/>
                <w:color w:val="000000"/>
                <w:sz w:val="20"/>
                <w:szCs w:val="20"/>
                <w:lang w:val="es-MX"/>
              </w:rPr>
            </w:pPr>
          </w:p>
          <w:p w14:paraId="3F608DE2" w14:textId="77777777" w:rsidR="00712A28" w:rsidRPr="00ED2D84" w:rsidRDefault="00712A28" w:rsidP="00712A28">
            <w:pPr>
              <w:ind w:left="170" w:right="198"/>
              <w:jc w:val="both"/>
              <w:rPr>
                <w:rFonts w:ascii="Arial" w:hAnsi="Arial" w:cs="Arial"/>
                <w:b/>
                <w:color w:val="000000"/>
                <w:sz w:val="20"/>
                <w:szCs w:val="20"/>
                <w:lang w:val="es-MX"/>
              </w:rPr>
            </w:pPr>
            <w:r w:rsidRPr="00ED2D84">
              <w:rPr>
                <w:rFonts w:ascii="Arial" w:hAnsi="Arial" w:cs="Arial"/>
                <w:b/>
                <w:color w:val="000000"/>
                <w:sz w:val="20"/>
                <w:szCs w:val="20"/>
                <w:lang w:val="es-MX"/>
              </w:rPr>
              <w:t>Consideraciones</w:t>
            </w:r>
          </w:p>
          <w:p w14:paraId="762FF895" w14:textId="77777777" w:rsidR="00712A28" w:rsidRPr="00ED2D84" w:rsidRDefault="00712A28" w:rsidP="00712A28">
            <w:pPr>
              <w:pStyle w:val="corte4fondo"/>
              <w:numPr>
                <w:ilvl w:val="0"/>
                <w:numId w:val="10"/>
              </w:numPr>
              <w:tabs>
                <w:tab w:val="left" w:pos="252"/>
              </w:tabs>
              <w:spacing w:line="240" w:lineRule="auto"/>
              <w:ind w:left="170" w:right="198" w:hanging="567"/>
              <w:rPr>
                <w:rFonts w:cs="Arial"/>
                <w:sz w:val="20"/>
                <w:lang w:val="es-MX"/>
              </w:rPr>
            </w:pPr>
          </w:p>
          <w:p w14:paraId="29605208" w14:textId="77777777" w:rsidR="00712A28" w:rsidRPr="00ED2D84" w:rsidRDefault="00712A28" w:rsidP="00712A28">
            <w:pPr>
              <w:widowControl/>
              <w:numPr>
                <w:ilvl w:val="0"/>
                <w:numId w:val="10"/>
              </w:numPr>
              <w:autoSpaceDE/>
              <w:autoSpaceDN/>
              <w:ind w:left="170" w:right="198" w:hanging="567"/>
              <w:jc w:val="both"/>
              <w:rPr>
                <w:rFonts w:ascii="Arial" w:hAnsi="Arial" w:cs="Arial"/>
                <w:sz w:val="20"/>
                <w:szCs w:val="20"/>
                <w:lang w:val="es-MX"/>
              </w:rPr>
            </w:pPr>
            <w:r w:rsidRPr="00ED2D84">
              <w:rPr>
                <w:rFonts w:ascii="Arial" w:hAnsi="Arial" w:cs="Arial"/>
                <w:b/>
                <w:bCs/>
                <w:sz w:val="20"/>
                <w:szCs w:val="20"/>
                <w:lang w:val="es-MX"/>
              </w:rPr>
              <w:t>El Alto Tribunal reconoció la validez</w:t>
            </w:r>
            <w:r w:rsidRPr="00ED2D84">
              <w:rPr>
                <w:rFonts w:ascii="Arial" w:hAnsi="Arial" w:cs="Arial"/>
                <w:sz w:val="20"/>
                <w:szCs w:val="20"/>
                <w:lang w:val="es-MX"/>
              </w:rPr>
              <w:t xml:space="preserve"> de los artículos 104 a 114 de la legislación estatal combatida, debido a que dichos preceptos regulan lo relativo a las distintas reglas que deberán llevarse a cabo al momento de la fiscalización respecto a qué debe considerarse como financiamiento público y privado, cómo deben rendirse y qué deben de contener los informes de los partidos, cuál es el procedimiento para su presentación y revisión, entre otras muchas cuestiones. Lo trascendente es que toda esa normatividad sigue los lineamientos de lo previsto en la ley general, si bien en algunos artículos de la ley local se incluyen más sujetos obligados que en la ley general; ello tiene una justificación normativa, puesto que en la mayoría de ellos se detalla en específico el tipo de elección (gobernador, diputados, ayuntamientos) y se alude a la fiscalización de las candidaturas independientes, lo cual cae dentro del ámbito de competencias de la entidad federativa. Asimismo, recurrentemente se hace mención a que el ejercicio de facultades de fiscalización se hará conforme a la ley general y a lo dispuesto en la normatividad emitida por el INE, en clara concordancia con las reglas competenciales establecidas en la CPEUM.</w:t>
            </w:r>
          </w:p>
          <w:p w14:paraId="6F37D7F1" w14:textId="77777777" w:rsidR="00712A28" w:rsidRPr="00ED2D84" w:rsidRDefault="00712A28" w:rsidP="00712A28">
            <w:pPr>
              <w:pStyle w:val="corte4fondo"/>
              <w:spacing w:line="240" w:lineRule="auto"/>
              <w:ind w:left="170" w:right="198" w:firstLine="0"/>
              <w:rPr>
                <w:rFonts w:cs="Arial"/>
                <w:b/>
                <w:sz w:val="20"/>
              </w:rPr>
            </w:pPr>
          </w:p>
          <w:p w14:paraId="4C642CFD" w14:textId="77777777" w:rsidR="00712A28" w:rsidRPr="00ED2D84" w:rsidRDefault="00712A28" w:rsidP="00712A28">
            <w:pPr>
              <w:pStyle w:val="corte4fondo"/>
              <w:spacing w:line="240" w:lineRule="auto"/>
              <w:ind w:left="170" w:right="198" w:firstLine="0"/>
              <w:rPr>
                <w:rFonts w:cs="Arial"/>
                <w:b/>
                <w:sz w:val="20"/>
              </w:rPr>
            </w:pPr>
            <w:r w:rsidRPr="00ED2D84">
              <w:rPr>
                <w:rFonts w:cs="Arial"/>
                <w:b/>
                <w:sz w:val="20"/>
              </w:rPr>
              <w:t>Resolutivo.</w:t>
            </w:r>
          </w:p>
          <w:p w14:paraId="3A1ECA3D" w14:textId="77777777" w:rsidR="00712A28" w:rsidRPr="00ED2D84" w:rsidRDefault="00712A28" w:rsidP="00712A28">
            <w:pPr>
              <w:pStyle w:val="corte4fondo"/>
              <w:spacing w:line="240" w:lineRule="auto"/>
              <w:ind w:left="170" w:right="198" w:firstLine="0"/>
              <w:rPr>
                <w:rFonts w:cs="Arial"/>
                <w:b/>
                <w:sz w:val="20"/>
              </w:rPr>
            </w:pPr>
            <w:r w:rsidRPr="00ED2D84">
              <w:rPr>
                <w:rFonts w:cs="Arial"/>
                <w:b/>
                <w:sz w:val="20"/>
              </w:rPr>
              <w:t>.</w:t>
            </w:r>
          </w:p>
          <w:p w14:paraId="4A416851" w14:textId="77777777" w:rsidR="00712A28" w:rsidRPr="00ED2D84" w:rsidRDefault="00712A28" w:rsidP="00712A28">
            <w:pPr>
              <w:pStyle w:val="corte4fondo"/>
              <w:spacing w:line="240" w:lineRule="auto"/>
              <w:ind w:left="170" w:right="198" w:firstLine="0"/>
              <w:rPr>
                <w:rFonts w:cs="Arial"/>
                <w:b/>
                <w:sz w:val="20"/>
              </w:rPr>
            </w:pPr>
            <w:r w:rsidRPr="00ED2D84">
              <w:rPr>
                <w:rFonts w:cs="Arial"/>
                <w:b/>
                <w:sz w:val="20"/>
              </w:rPr>
              <w:t>.</w:t>
            </w:r>
          </w:p>
          <w:p w14:paraId="4A4BC351" w14:textId="77777777" w:rsidR="00712A28" w:rsidRPr="00ED2D84" w:rsidRDefault="00712A28" w:rsidP="00712A28">
            <w:pPr>
              <w:pStyle w:val="corte4fondo"/>
              <w:spacing w:line="240" w:lineRule="auto"/>
              <w:ind w:left="170" w:right="198" w:firstLine="0"/>
              <w:rPr>
                <w:rFonts w:cs="Arial"/>
                <w:b/>
                <w:sz w:val="20"/>
              </w:rPr>
            </w:pPr>
            <w:r w:rsidRPr="00ED2D84">
              <w:rPr>
                <w:rFonts w:cs="Arial"/>
                <w:b/>
                <w:sz w:val="20"/>
              </w:rPr>
              <w:lastRenderedPageBreak/>
              <w:t>.</w:t>
            </w:r>
          </w:p>
          <w:p w14:paraId="5790D6BC" w14:textId="77777777" w:rsidR="00712A28" w:rsidRPr="00ED2D84" w:rsidRDefault="00712A28" w:rsidP="00712A28">
            <w:pPr>
              <w:pStyle w:val="corte4fondo"/>
              <w:spacing w:line="240" w:lineRule="auto"/>
              <w:ind w:left="170" w:right="198" w:firstLine="0"/>
              <w:rPr>
                <w:rFonts w:cs="Arial"/>
                <w:b/>
                <w:sz w:val="20"/>
              </w:rPr>
            </w:pPr>
            <w:r w:rsidRPr="00ED2D84">
              <w:rPr>
                <w:rFonts w:cs="Arial"/>
                <w:b/>
                <w:sz w:val="20"/>
              </w:rPr>
              <w:t>(…)</w:t>
            </w:r>
          </w:p>
          <w:p w14:paraId="6A8AE21B" w14:textId="77777777" w:rsidR="00712A28" w:rsidRPr="00ED2D84" w:rsidRDefault="00712A28" w:rsidP="00712A28">
            <w:pPr>
              <w:pStyle w:val="corte4fondo"/>
              <w:spacing w:line="240" w:lineRule="auto"/>
              <w:ind w:left="170" w:right="198" w:firstLine="0"/>
              <w:rPr>
                <w:rFonts w:cs="Arial"/>
                <w:b/>
                <w:sz w:val="20"/>
              </w:rPr>
            </w:pPr>
          </w:p>
          <w:p w14:paraId="6D1110A7" w14:textId="77777777" w:rsidR="00712A28" w:rsidRPr="00ED2D84" w:rsidRDefault="00712A28" w:rsidP="00712A28">
            <w:pPr>
              <w:pStyle w:val="corte4fondo"/>
              <w:spacing w:line="240" w:lineRule="auto"/>
              <w:ind w:left="170" w:right="198" w:firstLine="0"/>
              <w:rPr>
                <w:rFonts w:cs="Arial"/>
                <w:b/>
                <w:sz w:val="20"/>
              </w:rPr>
            </w:pPr>
            <w:r w:rsidRPr="00ED2D84">
              <w:rPr>
                <w:rFonts w:cs="Arial"/>
                <w:b/>
                <w:sz w:val="20"/>
              </w:rPr>
              <w:t>SEXTO.</w:t>
            </w:r>
            <w:r w:rsidRPr="00ED2D84">
              <w:rPr>
                <w:rFonts w:cs="Arial"/>
                <w:sz w:val="20"/>
              </w:rPr>
              <w:t xml:space="preserve"> Se reconoce la validez de los artículos 104 a 114, 167, párrafo segundo, 168, 245, párrafos segundo y tercero, 581, 642, fracciones III, IV, V y VI, 644, 669, fracciones I, IV y VI, 674, fracciones II y IV, y 711, fracciones II y III, todos de la Ley de Instituciones y Procedimientos Electorales del Estado de Campeche</w:t>
            </w:r>
          </w:p>
          <w:p w14:paraId="42B8D79F" w14:textId="77777777" w:rsidR="00712A28" w:rsidRPr="00ED2D84" w:rsidRDefault="00712A28" w:rsidP="00712A28">
            <w:pPr>
              <w:pStyle w:val="corte4fondo"/>
              <w:spacing w:line="240" w:lineRule="auto"/>
              <w:ind w:left="170" w:right="198" w:firstLine="0"/>
              <w:rPr>
                <w:rFonts w:cs="Arial"/>
                <w:b/>
                <w:sz w:val="20"/>
              </w:rPr>
            </w:pPr>
            <w:r w:rsidRPr="00ED2D84">
              <w:rPr>
                <w:rFonts w:cs="Arial"/>
                <w:b/>
                <w:sz w:val="20"/>
              </w:rPr>
              <w:t>.</w:t>
            </w:r>
          </w:p>
          <w:p w14:paraId="4834B977" w14:textId="77777777" w:rsidR="00712A28" w:rsidRPr="00ED2D84" w:rsidRDefault="00712A28" w:rsidP="00712A28">
            <w:pPr>
              <w:pStyle w:val="corte4fondo"/>
              <w:spacing w:line="240" w:lineRule="auto"/>
              <w:ind w:left="170" w:right="198" w:firstLine="0"/>
              <w:rPr>
                <w:rFonts w:cs="Arial"/>
                <w:b/>
                <w:sz w:val="20"/>
              </w:rPr>
            </w:pPr>
            <w:r w:rsidRPr="00ED2D84">
              <w:rPr>
                <w:rFonts w:cs="Arial"/>
                <w:b/>
                <w:sz w:val="20"/>
              </w:rPr>
              <w:t>.</w:t>
            </w:r>
          </w:p>
          <w:p w14:paraId="29BBE7BE" w14:textId="77777777" w:rsidR="00712A28" w:rsidRPr="00ED2D84" w:rsidRDefault="00712A28" w:rsidP="00712A28">
            <w:pPr>
              <w:pStyle w:val="corte4fondo"/>
              <w:spacing w:line="240" w:lineRule="auto"/>
              <w:ind w:left="170" w:right="198" w:firstLine="0"/>
              <w:rPr>
                <w:rFonts w:cs="Arial"/>
                <w:b/>
                <w:sz w:val="20"/>
              </w:rPr>
            </w:pPr>
            <w:r w:rsidRPr="00ED2D84">
              <w:rPr>
                <w:rFonts w:cs="Arial"/>
                <w:b/>
                <w:sz w:val="20"/>
              </w:rPr>
              <w:t>.</w:t>
            </w:r>
          </w:p>
          <w:p w14:paraId="28B631E0" w14:textId="77777777" w:rsidR="00712A28" w:rsidRPr="00ED2D84" w:rsidRDefault="00712A28" w:rsidP="00712A28">
            <w:pPr>
              <w:pStyle w:val="corte4fondo"/>
              <w:spacing w:line="240" w:lineRule="auto"/>
              <w:ind w:left="170" w:right="198" w:firstLine="0"/>
              <w:rPr>
                <w:rFonts w:cs="Arial"/>
                <w:b/>
                <w:sz w:val="20"/>
              </w:rPr>
            </w:pPr>
            <w:r w:rsidRPr="00ED2D84">
              <w:rPr>
                <w:rFonts w:cs="Arial"/>
                <w:b/>
                <w:sz w:val="20"/>
              </w:rPr>
              <w:t>(…)</w:t>
            </w:r>
          </w:p>
          <w:p w14:paraId="70A42DA6" w14:textId="77777777" w:rsidR="00712A28" w:rsidRPr="00ED2D84" w:rsidRDefault="00712A28" w:rsidP="00712A28">
            <w:pPr>
              <w:pStyle w:val="corte4fondo"/>
              <w:spacing w:line="240" w:lineRule="auto"/>
              <w:ind w:left="170" w:right="198" w:firstLine="0"/>
              <w:rPr>
                <w:rFonts w:cs="Arial"/>
                <w:b/>
                <w:sz w:val="20"/>
              </w:rPr>
            </w:pPr>
          </w:p>
          <w:p w14:paraId="657819E3" w14:textId="77777777" w:rsidR="00712A28" w:rsidRPr="00ED2D84" w:rsidRDefault="00712A28" w:rsidP="00712A28">
            <w:pPr>
              <w:pStyle w:val="corte4fondo"/>
              <w:spacing w:line="240" w:lineRule="auto"/>
              <w:ind w:left="170" w:right="198" w:firstLine="0"/>
              <w:rPr>
                <w:rFonts w:cs="Arial"/>
                <w:b/>
                <w:sz w:val="20"/>
              </w:rPr>
            </w:pPr>
            <w:r w:rsidRPr="00ED2D84">
              <w:rPr>
                <w:rFonts w:cs="Arial"/>
                <w:b/>
                <w:sz w:val="20"/>
              </w:rPr>
              <w:t>En relación con el punto resolutivo sexto:</w:t>
            </w:r>
          </w:p>
          <w:p w14:paraId="4B85F88C" w14:textId="77777777" w:rsidR="00712A28" w:rsidRPr="00ED2D84" w:rsidRDefault="00712A28" w:rsidP="00712A28">
            <w:pPr>
              <w:pStyle w:val="corte4fondo"/>
              <w:spacing w:line="240" w:lineRule="auto"/>
              <w:ind w:left="170" w:right="198" w:firstLine="0"/>
              <w:rPr>
                <w:rFonts w:cs="Arial"/>
                <w:b/>
                <w:sz w:val="20"/>
              </w:rPr>
            </w:pPr>
            <w:r w:rsidRPr="00ED2D84">
              <w:rPr>
                <w:rFonts w:cs="Arial"/>
                <w:sz w:val="20"/>
              </w:rPr>
              <w:t xml:space="preserve">Se aprobó por mayoría de nueve votos de los señores </w:t>
            </w:r>
            <w:proofErr w:type="gramStart"/>
            <w:r w:rsidRPr="00ED2D84">
              <w:rPr>
                <w:rFonts w:cs="Arial"/>
                <w:sz w:val="20"/>
              </w:rPr>
              <w:t>Ministros</w:t>
            </w:r>
            <w:proofErr w:type="gramEnd"/>
            <w:r w:rsidRPr="00ED2D84">
              <w:rPr>
                <w:rFonts w:cs="Arial"/>
                <w:sz w:val="20"/>
              </w:rPr>
              <w:t xml:space="preserve"> Gutiérrez Ortiz Mena, Luna Ramos, Franco González Salas, Zaldívar Lelo de Larrea, Pardo Rebolledo, Aguilar Morales, Sánchez Cordero de García Villegas, Pérez Dayán y Presidente Silva Meza, respecto de la propuesta del apartado XII, consistente en reconocer la validez de los artículos 104 a 114 de la Ley de Instituciones y Procedimientos Electorales del Estado de Campeche. El señor </w:t>
            </w:r>
            <w:proofErr w:type="gramStart"/>
            <w:r w:rsidRPr="00ED2D84">
              <w:rPr>
                <w:rFonts w:cs="Arial"/>
                <w:sz w:val="20"/>
              </w:rPr>
              <w:t>Ministro</w:t>
            </w:r>
            <w:proofErr w:type="gramEnd"/>
            <w:r w:rsidRPr="00ED2D84">
              <w:rPr>
                <w:rFonts w:cs="Arial"/>
                <w:sz w:val="20"/>
              </w:rPr>
              <w:t xml:space="preserve"> Cossío Díaz votó en contra y anunció voto particular. El señor </w:t>
            </w:r>
            <w:proofErr w:type="gramStart"/>
            <w:r w:rsidRPr="00ED2D84">
              <w:rPr>
                <w:rFonts w:cs="Arial"/>
                <w:sz w:val="20"/>
              </w:rPr>
              <w:t>Ministro</w:t>
            </w:r>
            <w:proofErr w:type="gramEnd"/>
            <w:r w:rsidRPr="00ED2D84">
              <w:rPr>
                <w:rFonts w:cs="Arial"/>
                <w:sz w:val="20"/>
              </w:rPr>
              <w:t xml:space="preserve"> Franco González Salas anunció voto concurrente.</w:t>
            </w:r>
          </w:p>
          <w:p w14:paraId="6D9CFFF4" w14:textId="77777777" w:rsidR="00712A28" w:rsidRPr="00ED2D84" w:rsidRDefault="00712A28" w:rsidP="00712A28">
            <w:pPr>
              <w:pStyle w:val="corte4fondo"/>
              <w:spacing w:line="240" w:lineRule="auto"/>
              <w:ind w:left="170" w:right="198" w:firstLine="0"/>
              <w:rPr>
                <w:rFonts w:cs="Arial"/>
                <w:b/>
                <w:sz w:val="20"/>
              </w:rPr>
            </w:pPr>
            <w:r w:rsidRPr="00ED2D84">
              <w:rPr>
                <w:rFonts w:cs="Arial"/>
                <w:b/>
                <w:sz w:val="20"/>
              </w:rPr>
              <w:t>.</w:t>
            </w:r>
          </w:p>
          <w:p w14:paraId="3B141F77" w14:textId="77777777" w:rsidR="00712A28" w:rsidRPr="00ED2D84" w:rsidRDefault="00712A28" w:rsidP="00712A28">
            <w:pPr>
              <w:pStyle w:val="corte4fondo"/>
              <w:spacing w:line="240" w:lineRule="auto"/>
              <w:ind w:left="170" w:right="198" w:firstLine="0"/>
              <w:rPr>
                <w:rFonts w:cs="Arial"/>
                <w:b/>
                <w:sz w:val="20"/>
              </w:rPr>
            </w:pPr>
            <w:r w:rsidRPr="00ED2D84">
              <w:rPr>
                <w:rFonts w:cs="Arial"/>
                <w:b/>
                <w:sz w:val="20"/>
              </w:rPr>
              <w:t>.</w:t>
            </w:r>
          </w:p>
          <w:p w14:paraId="0E07DA65" w14:textId="77777777" w:rsidR="00712A28" w:rsidRPr="00ED2D84" w:rsidRDefault="00712A28" w:rsidP="00712A28">
            <w:pPr>
              <w:pStyle w:val="corte4fondo"/>
              <w:spacing w:line="240" w:lineRule="auto"/>
              <w:ind w:left="170" w:right="198" w:firstLine="0"/>
              <w:rPr>
                <w:rFonts w:cs="Arial"/>
                <w:b/>
                <w:sz w:val="20"/>
              </w:rPr>
            </w:pPr>
            <w:r w:rsidRPr="00ED2D84">
              <w:rPr>
                <w:rFonts w:cs="Arial"/>
                <w:b/>
                <w:sz w:val="20"/>
              </w:rPr>
              <w:t>.</w:t>
            </w:r>
          </w:p>
          <w:p w14:paraId="63AC52DE" w14:textId="1BD927D1" w:rsidR="00712A28" w:rsidRPr="00594A26" w:rsidRDefault="00712A28" w:rsidP="00712A28">
            <w:pPr>
              <w:pStyle w:val="corte4fondo"/>
              <w:spacing w:line="240" w:lineRule="auto"/>
              <w:ind w:left="170" w:right="198" w:firstLine="0"/>
              <w:rPr>
                <w:rFonts w:cs="Arial"/>
                <w:b/>
                <w:sz w:val="20"/>
              </w:rPr>
            </w:pPr>
            <w:r w:rsidRPr="00ED2D84">
              <w:rPr>
                <w:rFonts w:cs="Arial"/>
                <w:b/>
                <w:sz w:val="20"/>
              </w:rPr>
              <w:t>(…)</w:t>
            </w:r>
          </w:p>
        </w:tc>
      </w:tr>
      <w:tr w:rsidR="00712A28" w:rsidRPr="00ED2D84" w14:paraId="2B6A35BA" w14:textId="77777777" w:rsidTr="00C75296">
        <w:trPr>
          <w:trHeight w:val="167"/>
        </w:trPr>
        <w:tc>
          <w:tcPr>
            <w:tcW w:w="1877" w:type="dxa"/>
            <w:vAlign w:val="center"/>
          </w:tcPr>
          <w:p w14:paraId="2DEE2427" w14:textId="1BA79980" w:rsidR="00712A28" w:rsidRPr="00ED2D84" w:rsidRDefault="00712A28" w:rsidP="00712A28">
            <w:pPr>
              <w:pStyle w:val="Encabezado"/>
              <w:ind w:left="170" w:right="198"/>
              <w:jc w:val="center"/>
              <w:rPr>
                <w:rStyle w:val="Hipervnculo"/>
                <w:rFonts w:ascii="Arial" w:hAnsi="Arial" w:cs="Arial"/>
                <w:b/>
                <w:sz w:val="20"/>
                <w:szCs w:val="20"/>
                <w:lang w:val="es-MX"/>
              </w:rPr>
            </w:pPr>
            <w:r w:rsidRPr="00ED2D84">
              <w:rPr>
                <w:rFonts w:ascii="Arial" w:hAnsi="Arial" w:cs="Arial"/>
                <w:b/>
                <w:sz w:val="20"/>
                <w:szCs w:val="20"/>
                <w:lang w:val="es-MX"/>
              </w:rPr>
              <w:lastRenderedPageBreak/>
              <w:fldChar w:fldCharType="begin"/>
            </w:r>
            <w:r w:rsidRPr="00ED2D84">
              <w:rPr>
                <w:rFonts w:ascii="Arial" w:hAnsi="Arial" w:cs="Arial"/>
                <w:b/>
                <w:sz w:val="20"/>
                <w:szCs w:val="20"/>
                <w:lang w:val="es-MX"/>
              </w:rPr>
              <w:instrText xml:space="preserve"> HYPERLINK "http://mxscjnbiblio.scjn.pjf.gob.mx/Tematica/Detalle.aspx?AsuntoID=120962" </w:instrText>
            </w:r>
            <w:r w:rsidRPr="00ED2D84">
              <w:rPr>
                <w:rFonts w:ascii="Arial" w:hAnsi="Arial" w:cs="Arial"/>
                <w:b/>
                <w:sz w:val="20"/>
                <w:szCs w:val="20"/>
                <w:lang w:val="es-MX"/>
              </w:rPr>
            </w:r>
            <w:r w:rsidRPr="00ED2D84">
              <w:rPr>
                <w:rFonts w:ascii="Arial" w:hAnsi="Arial" w:cs="Arial"/>
                <w:b/>
                <w:sz w:val="20"/>
                <w:szCs w:val="20"/>
                <w:lang w:val="es-MX"/>
              </w:rPr>
              <w:fldChar w:fldCharType="separate"/>
            </w:r>
            <w:r w:rsidRPr="00ED2D84">
              <w:rPr>
                <w:rStyle w:val="Hipervnculo"/>
                <w:rFonts w:ascii="Arial" w:hAnsi="Arial" w:cs="Arial"/>
                <w:b/>
                <w:sz w:val="20"/>
                <w:szCs w:val="20"/>
                <w:lang w:val="es-MX"/>
              </w:rPr>
              <w:t>22/2010</w:t>
            </w:r>
          </w:p>
          <w:p w14:paraId="627DF09A" w14:textId="77777777" w:rsidR="00712A28" w:rsidRDefault="00712A28" w:rsidP="00712A28">
            <w:pPr>
              <w:ind w:left="170" w:right="198"/>
              <w:jc w:val="center"/>
              <w:rPr>
                <w:rFonts w:ascii="Arial" w:hAnsi="Arial" w:cs="Arial"/>
                <w:b/>
                <w:sz w:val="20"/>
                <w:szCs w:val="20"/>
                <w:lang w:val="es-MX"/>
              </w:rPr>
            </w:pPr>
            <w:r w:rsidRPr="00ED2D84">
              <w:rPr>
                <w:rStyle w:val="Hipervnculo"/>
                <w:rFonts w:ascii="Arial" w:hAnsi="Arial" w:cs="Arial"/>
                <w:b/>
                <w:sz w:val="20"/>
                <w:szCs w:val="20"/>
                <w:lang w:val="es-MX"/>
              </w:rPr>
              <w:t>y sus acumuladas 24/2010 y 25/2010</w:t>
            </w:r>
            <w:r w:rsidRPr="00ED2D84">
              <w:rPr>
                <w:rFonts w:ascii="Arial" w:hAnsi="Arial" w:cs="Arial"/>
                <w:b/>
                <w:sz w:val="20"/>
                <w:szCs w:val="20"/>
                <w:lang w:val="es-MX"/>
              </w:rPr>
              <w:fldChar w:fldCharType="end"/>
            </w:r>
          </w:p>
          <w:p w14:paraId="2E2B8294" w14:textId="77777777" w:rsidR="00712A28" w:rsidRPr="00C4535A" w:rsidRDefault="00712A28" w:rsidP="00712A28">
            <w:pPr>
              <w:ind w:left="170" w:right="198"/>
              <w:jc w:val="center"/>
              <w:rPr>
                <w:rFonts w:ascii="Arial" w:hAnsi="Arial" w:cs="Arial"/>
                <w:b/>
                <w:bCs/>
                <w:sz w:val="20"/>
                <w:szCs w:val="20"/>
                <w:lang w:val="es-MX"/>
              </w:rPr>
            </w:pPr>
          </w:p>
          <w:p w14:paraId="7C98C8DD" w14:textId="563D21D6" w:rsidR="00712A28" w:rsidRPr="00ED2D84" w:rsidRDefault="00712A28" w:rsidP="00712A28">
            <w:pPr>
              <w:ind w:left="170" w:right="198"/>
              <w:jc w:val="center"/>
              <w:rPr>
                <w:rFonts w:ascii="Arial" w:hAnsi="Arial" w:cs="Arial"/>
                <w:b/>
                <w:sz w:val="20"/>
                <w:szCs w:val="20"/>
                <w:lang w:val="es-MX"/>
              </w:rPr>
            </w:pPr>
            <w:r w:rsidRPr="00C4535A">
              <w:rPr>
                <w:rFonts w:ascii="Arial" w:eastAsia="Calibri" w:hAnsi="Arial" w:cs="Arial"/>
                <w:b/>
                <w:bCs/>
                <w:sz w:val="20"/>
                <w:szCs w:val="20"/>
                <w:lang w:val="es-MX"/>
              </w:rPr>
              <w:t>Nayarit</w:t>
            </w:r>
          </w:p>
        </w:tc>
        <w:tc>
          <w:tcPr>
            <w:tcW w:w="12294" w:type="dxa"/>
          </w:tcPr>
          <w:p w14:paraId="6BA04C6F" w14:textId="77777777" w:rsidR="00712A28" w:rsidRPr="002106DB" w:rsidRDefault="00712A28" w:rsidP="00712A28">
            <w:pPr>
              <w:pStyle w:val="Prrafodelista"/>
              <w:numPr>
                <w:ilvl w:val="0"/>
                <w:numId w:val="9"/>
              </w:numPr>
              <w:ind w:left="252" w:right="198" w:hanging="142"/>
              <w:jc w:val="both"/>
              <w:rPr>
                <w:rFonts w:ascii="Arial" w:eastAsia="Calibri" w:hAnsi="Arial" w:cs="Arial"/>
                <w:sz w:val="20"/>
                <w:szCs w:val="20"/>
                <w:lang w:val="es-MX"/>
              </w:rPr>
            </w:pPr>
            <w:r w:rsidRPr="002106DB">
              <w:rPr>
                <w:rFonts w:ascii="Arial" w:eastAsia="Calibri" w:hAnsi="Arial" w:cs="Arial"/>
                <w:b/>
                <w:bCs/>
                <w:sz w:val="20"/>
                <w:szCs w:val="20"/>
                <w:lang w:val="es-MX"/>
              </w:rPr>
              <w:t>Omisión en la reglamentación de las bases en materia de coordinación con el Instituto Federal Electoral en materia de fiscalización de los partidos políticos</w:t>
            </w:r>
            <w:r w:rsidRPr="002106DB">
              <w:rPr>
                <w:rFonts w:ascii="Arial" w:eastAsia="Calibri" w:hAnsi="Arial" w:cs="Arial"/>
                <w:sz w:val="20"/>
                <w:szCs w:val="20"/>
                <w:lang w:val="es-MX"/>
              </w:rPr>
              <w:t>.</w:t>
            </w:r>
          </w:p>
          <w:p w14:paraId="66A3C17A" w14:textId="77777777" w:rsidR="00712A28" w:rsidRDefault="00712A28" w:rsidP="00712A28">
            <w:pPr>
              <w:ind w:left="170" w:right="198"/>
              <w:jc w:val="both"/>
              <w:rPr>
                <w:rFonts w:ascii="Arial" w:eastAsia="Calibri" w:hAnsi="Arial" w:cs="Arial"/>
                <w:sz w:val="20"/>
                <w:szCs w:val="20"/>
                <w:lang w:val="es-MX"/>
              </w:rPr>
            </w:pPr>
          </w:p>
          <w:p w14:paraId="53042692" w14:textId="7FA1360E" w:rsidR="00712A28" w:rsidRPr="00ED2D84" w:rsidRDefault="00712A28" w:rsidP="00712A28">
            <w:pPr>
              <w:ind w:left="170" w:right="198"/>
              <w:jc w:val="both"/>
              <w:rPr>
                <w:rFonts w:ascii="Arial" w:eastAsia="Calibri" w:hAnsi="Arial" w:cs="Arial"/>
                <w:sz w:val="20"/>
                <w:szCs w:val="20"/>
                <w:lang w:val="es-MX"/>
              </w:rPr>
            </w:pPr>
            <w:r w:rsidRPr="00ED2D84">
              <w:rPr>
                <w:rFonts w:ascii="Arial" w:eastAsia="Calibri" w:hAnsi="Arial" w:cs="Arial"/>
                <w:sz w:val="20"/>
                <w:szCs w:val="20"/>
                <w:lang w:val="es-MX"/>
              </w:rPr>
              <w:t>E</w:t>
            </w:r>
            <w:r w:rsidRPr="00ED2D84">
              <w:rPr>
                <w:rFonts w:ascii="Arial" w:hAnsi="Arial" w:cs="Arial"/>
                <w:sz w:val="20"/>
                <w:szCs w:val="20"/>
                <w:lang w:val="es-MX"/>
              </w:rPr>
              <w:t xml:space="preserve">l </w:t>
            </w:r>
            <w:r w:rsidRPr="00ED2D84">
              <w:rPr>
                <w:rFonts w:ascii="Arial" w:eastAsia="Calibri" w:hAnsi="Arial" w:cs="Arial"/>
                <w:sz w:val="20"/>
                <w:szCs w:val="20"/>
                <w:lang w:val="es-MX"/>
              </w:rPr>
              <w:t xml:space="preserve">Partido </w:t>
            </w:r>
            <w:r w:rsidRPr="00ED2D84">
              <w:rPr>
                <w:rFonts w:ascii="Arial" w:hAnsi="Arial" w:cs="Arial"/>
                <w:sz w:val="20"/>
                <w:szCs w:val="20"/>
                <w:lang w:val="es-MX"/>
              </w:rPr>
              <w:t xml:space="preserve">de la Revolución Democrática </w:t>
            </w:r>
            <w:r w:rsidRPr="00ED2D84">
              <w:rPr>
                <w:rFonts w:ascii="Arial" w:eastAsia="Calibri" w:hAnsi="Arial" w:cs="Arial"/>
                <w:sz w:val="20"/>
                <w:szCs w:val="20"/>
                <w:lang w:val="es-MX"/>
              </w:rPr>
              <w:t xml:space="preserve">consideró que existen omisiones relativas a lo señalado en los artículos 116, fracción IV, inciso k), y Sexto Transitorio de la Constitución Federal, ya que el Congreso Local, dejó incompleta la reforma a la Ley Electoral del Estado de Nayarit, dado que no se incluyeron las bases obligatorias para la coordinación entre el Instituto Federal Electoral y las autoridades electorales locales en materia de fiscalización de las finanzas de los partidos políticos en los términos establecidos en el penúltimo párrafo de la fracción V, del artículo 41 de la CPEUM. Convenios que se exigen para que las autoridades electorales locales, a través de su órgano técnico en materia de fiscalización de las finanzas, no se encuentren limitadas al secreto bancario, fiduciario y fiscal. </w:t>
            </w:r>
          </w:p>
          <w:p w14:paraId="53A62C6D" w14:textId="7B1FA84F" w:rsidR="00712A28" w:rsidRPr="00ED2D84" w:rsidRDefault="00712A28" w:rsidP="00712A28">
            <w:pPr>
              <w:ind w:left="170" w:right="198"/>
              <w:jc w:val="both"/>
              <w:rPr>
                <w:rFonts w:ascii="Arial" w:eastAsia="Calibri" w:hAnsi="Arial" w:cs="Arial"/>
                <w:sz w:val="20"/>
                <w:szCs w:val="20"/>
                <w:lang w:val="es-MX"/>
              </w:rPr>
            </w:pPr>
          </w:p>
          <w:p w14:paraId="2F8C442B" w14:textId="77777777" w:rsidR="00712A28" w:rsidRPr="00ED2D84" w:rsidRDefault="00712A28" w:rsidP="00712A28">
            <w:pPr>
              <w:ind w:left="170" w:right="198"/>
              <w:jc w:val="both"/>
              <w:rPr>
                <w:rFonts w:ascii="Arial" w:hAnsi="Arial" w:cs="Arial"/>
                <w:color w:val="000000"/>
                <w:sz w:val="20"/>
                <w:szCs w:val="20"/>
                <w:lang w:val="es-MX"/>
              </w:rPr>
            </w:pPr>
            <w:r w:rsidRPr="00ED2D84">
              <w:rPr>
                <w:rFonts w:ascii="Arial" w:hAnsi="Arial" w:cs="Arial"/>
                <w:b/>
                <w:color w:val="000000"/>
                <w:sz w:val="20"/>
                <w:szCs w:val="20"/>
                <w:lang w:val="es-MX"/>
              </w:rPr>
              <w:t>Consideraciones</w:t>
            </w:r>
          </w:p>
          <w:p w14:paraId="0078F115" w14:textId="77777777" w:rsidR="00712A28" w:rsidRPr="00ED2D84" w:rsidRDefault="00712A28" w:rsidP="00712A28">
            <w:pPr>
              <w:ind w:left="170" w:right="198"/>
              <w:jc w:val="both"/>
              <w:rPr>
                <w:rFonts w:ascii="Arial" w:hAnsi="Arial" w:cs="Arial"/>
                <w:b/>
                <w:bCs/>
                <w:sz w:val="20"/>
                <w:szCs w:val="20"/>
                <w:lang w:val="es-MX"/>
              </w:rPr>
            </w:pPr>
          </w:p>
          <w:p w14:paraId="080DFC5A" w14:textId="77777777" w:rsidR="00712A28" w:rsidRPr="00ED2D84" w:rsidRDefault="00712A28" w:rsidP="00712A28">
            <w:pPr>
              <w:ind w:left="170" w:right="198"/>
              <w:jc w:val="both"/>
              <w:rPr>
                <w:rFonts w:ascii="Arial" w:hAnsi="Arial" w:cs="Arial"/>
                <w:sz w:val="20"/>
                <w:szCs w:val="20"/>
                <w:lang w:val="es-MX"/>
              </w:rPr>
            </w:pPr>
            <w:r w:rsidRPr="00ED2D84">
              <w:rPr>
                <w:rFonts w:ascii="Arial" w:hAnsi="Arial" w:cs="Arial"/>
                <w:b/>
                <w:bCs/>
                <w:sz w:val="20"/>
                <w:szCs w:val="20"/>
                <w:lang w:val="es-MX"/>
              </w:rPr>
              <w:t>El Pleno de la SCJN consideró que el argumento hecho por parte del PRD es infundado</w:t>
            </w:r>
            <w:r w:rsidRPr="00ED2D84">
              <w:rPr>
                <w:rFonts w:ascii="Arial" w:hAnsi="Arial" w:cs="Arial"/>
                <w:sz w:val="20"/>
                <w:szCs w:val="20"/>
                <w:lang w:val="es-MX"/>
              </w:rPr>
              <w:t xml:space="preserve">, ya que las previsiones legales son suficientes para colmar la exigencia constitucional derivada de la reforma del 13 de noviembre de 2017, contenida en el artículo 116 fracción IV, inciso k), de la Constitución puesto que establecen bases suficientes para la debida coordinación entre los órganos </w:t>
            </w:r>
            <w:r w:rsidRPr="00ED2D84">
              <w:rPr>
                <w:rFonts w:ascii="Arial" w:hAnsi="Arial" w:cs="Arial"/>
                <w:sz w:val="20"/>
                <w:szCs w:val="20"/>
                <w:lang w:val="es-MX"/>
              </w:rPr>
              <w:lastRenderedPageBreak/>
              <w:t>fiscalizadores del Instituto Federal Electoral y el Instituto Electoral local, para que éste último pueda tener el acceso a la información que se encuentra protegida por algún secreto legal y llevar a cabo sus funciones de fiscalización de las finanzas de los partidos políticos.</w:t>
            </w:r>
          </w:p>
          <w:p w14:paraId="2A326AB3" w14:textId="77777777" w:rsidR="00712A28" w:rsidRPr="00ED2D84" w:rsidRDefault="00712A28" w:rsidP="00712A28">
            <w:pPr>
              <w:pStyle w:val="corte4fondo"/>
              <w:spacing w:line="240" w:lineRule="auto"/>
              <w:ind w:left="170" w:right="198" w:firstLine="0"/>
              <w:rPr>
                <w:rFonts w:cs="Arial"/>
                <w:b/>
                <w:sz w:val="20"/>
              </w:rPr>
            </w:pPr>
          </w:p>
          <w:p w14:paraId="1B96CE3B" w14:textId="579C81F5" w:rsidR="00712A28" w:rsidRPr="00ED2D84" w:rsidRDefault="00712A28" w:rsidP="00712A28">
            <w:pPr>
              <w:pStyle w:val="corte4fondo"/>
              <w:spacing w:line="240" w:lineRule="auto"/>
              <w:ind w:left="170" w:right="198" w:firstLine="0"/>
              <w:rPr>
                <w:rFonts w:cs="Arial"/>
                <w:b/>
                <w:sz w:val="20"/>
              </w:rPr>
            </w:pPr>
            <w:r w:rsidRPr="00ED2D84">
              <w:rPr>
                <w:rFonts w:cs="Arial"/>
                <w:b/>
                <w:sz w:val="20"/>
              </w:rPr>
              <w:t>Resolutivo.</w:t>
            </w:r>
          </w:p>
          <w:p w14:paraId="0372767E" w14:textId="77777777" w:rsidR="00712A28" w:rsidRPr="00ED2D84" w:rsidRDefault="00712A28" w:rsidP="00712A28">
            <w:pPr>
              <w:pStyle w:val="corte4fondo"/>
              <w:spacing w:line="240" w:lineRule="auto"/>
              <w:ind w:left="170" w:right="198" w:firstLine="0"/>
              <w:rPr>
                <w:rFonts w:cs="Arial"/>
                <w:b/>
                <w:sz w:val="20"/>
              </w:rPr>
            </w:pPr>
            <w:r w:rsidRPr="00ED2D84">
              <w:rPr>
                <w:rFonts w:cs="Arial"/>
                <w:b/>
                <w:sz w:val="20"/>
              </w:rPr>
              <w:t>.</w:t>
            </w:r>
          </w:p>
          <w:p w14:paraId="59387712" w14:textId="77777777" w:rsidR="00712A28" w:rsidRPr="00ED2D84" w:rsidRDefault="00712A28" w:rsidP="00712A28">
            <w:pPr>
              <w:pStyle w:val="corte4fondo"/>
              <w:spacing w:line="240" w:lineRule="auto"/>
              <w:ind w:left="170" w:right="198" w:firstLine="0"/>
              <w:rPr>
                <w:rFonts w:cs="Arial"/>
                <w:b/>
                <w:sz w:val="20"/>
              </w:rPr>
            </w:pPr>
            <w:r w:rsidRPr="00ED2D84">
              <w:rPr>
                <w:rFonts w:cs="Arial"/>
                <w:b/>
                <w:sz w:val="20"/>
              </w:rPr>
              <w:t>.</w:t>
            </w:r>
          </w:p>
          <w:p w14:paraId="663CC953" w14:textId="77777777" w:rsidR="00712A28" w:rsidRPr="00ED2D84" w:rsidRDefault="00712A28" w:rsidP="00712A28">
            <w:pPr>
              <w:pStyle w:val="corte4fondo"/>
              <w:spacing w:line="240" w:lineRule="auto"/>
              <w:ind w:left="170" w:right="198" w:firstLine="0"/>
              <w:rPr>
                <w:rFonts w:cs="Arial"/>
                <w:b/>
                <w:sz w:val="20"/>
              </w:rPr>
            </w:pPr>
            <w:r w:rsidRPr="00ED2D84">
              <w:rPr>
                <w:rFonts w:cs="Arial"/>
                <w:b/>
                <w:sz w:val="20"/>
              </w:rPr>
              <w:t>.</w:t>
            </w:r>
          </w:p>
          <w:p w14:paraId="7A58B6C8" w14:textId="77777777" w:rsidR="00712A28" w:rsidRPr="00ED2D84" w:rsidRDefault="00712A28" w:rsidP="00712A28">
            <w:pPr>
              <w:pStyle w:val="corte4fondo"/>
              <w:spacing w:line="240" w:lineRule="auto"/>
              <w:ind w:left="170" w:right="198" w:firstLine="0"/>
              <w:rPr>
                <w:rFonts w:cs="Arial"/>
                <w:b/>
                <w:sz w:val="20"/>
              </w:rPr>
            </w:pPr>
            <w:r w:rsidRPr="00ED2D84">
              <w:rPr>
                <w:rFonts w:cs="Arial"/>
                <w:b/>
                <w:sz w:val="20"/>
              </w:rPr>
              <w:t>(…)</w:t>
            </w:r>
          </w:p>
          <w:p w14:paraId="30C75CE1" w14:textId="77777777" w:rsidR="00712A28" w:rsidRPr="00ED2D84" w:rsidRDefault="00712A28" w:rsidP="00712A28">
            <w:pPr>
              <w:pStyle w:val="corte4fondo"/>
              <w:spacing w:line="240" w:lineRule="auto"/>
              <w:ind w:left="170" w:right="198" w:firstLine="0"/>
              <w:rPr>
                <w:rFonts w:cs="Arial"/>
                <w:b/>
                <w:sz w:val="20"/>
              </w:rPr>
            </w:pPr>
          </w:p>
          <w:p w14:paraId="286864AF" w14:textId="38690A92" w:rsidR="00712A28" w:rsidRPr="00ED2D84" w:rsidRDefault="00712A28" w:rsidP="00712A28">
            <w:pPr>
              <w:pStyle w:val="corte4fondo"/>
              <w:spacing w:line="240" w:lineRule="auto"/>
              <w:ind w:left="170" w:right="198" w:firstLine="0"/>
              <w:rPr>
                <w:rFonts w:cs="Arial"/>
                <w:b/>
                <w:sz w:val="20"/>
              </w:rPr>
            </w:pPr>
            <w:r w:rsidRPr="00ED2D84">
              <w:rPr>
                <w:rFonts w:cs="Arial"/>
                <w:b/>
                <w:sz w:val="20"/>
                <w:lang w:val="es-MX"/>
              </w:rPr>
              <w:t>TERCERO.-</w:t>
            </w:r>
            <w:r w:rsidRPr="00ED2D84">
              <w:rPr>
                <w:rFonts w:cs="Arial"/>
                <w:sz w:val="20"/>
                <w:lang w:val="es-MX"/>
              </w:rPr>
              <w:t xml:space="preserve"> Se declara in</w:t>
            </w:r>
            <w:r w:rsidRPr="00ED2D84">
              <w:rPr>
                <w:rFonts w:cs="Arial"/>
                <w:sz w:val="20"/>
              </w:rPr>
              <w:t xml:space="preserve">fundada la acción de inconstitucionalidad en contra de la </w:t>
            </w:r>
            <w:proofErr w:type="spellStart"/>
            <w:r w:rsidRPr="00ED2D84">
              <w:rPr>
                <w:rFonts w:cs="Arial"/>
                <w:sz w:val="20"/>
              </w:rPr>
              <w:t>omisión</w:t>
            </w:r>
            <w:proofErr w:type="spellEnd"/>
            <w:r w:rsidRPr="00ED2D84">
              <w:rPr>
                <w:rFonts w:cs="Arial"/>
                <w:sz w:val="20"/>
              </w:rPr>
              <w:t xml:space="preserve"> legislativa del Congreso del Estado de Nayarit, consistente en regular de manera deficiente en la Ley Electoral de esa entidad federativa, las bases obligatorias para la coordinación entre el Instituto Federal Electoral y las autoridades electorales locales en materia de fiscalización de las finanzas de los partidos políticos, prevista en el inciso k) de la fracción IV del numeral 116 de la Constitución General de la República. </w:t>
            </w:r>
          </w:p>
          <w:p w14:paraId="1582B2A5" w14:textId="77777777" w:rsidR="00712A28" w:rsidRPr="00ED2D84" w:rsidRDefault="00712A28" w:rsidP="00712A28">
            <w:pPr>
              <w:pStyle w:val="corte4fondo"/>
              <w:spacing w:line="240" w:lineRule="auto"/>
              <w:ind w:left="170" w:right="198" w:firstLine="0"/>
              <w:rPr>
                <w:rFonts w:cs="Arial"/>
                <w:b/>
                <w:sz w:val="20"/>
              </w:rPr>
            </w:pPr>
            <w:r w:rsidRPr="00ED2D84">
              <w:rPr>
                <w:rFonts w:cs="Arial"/>
                <w:b/>
                <w:sz w:val="20"/>
              </w:rPr>
              <w:t>.</w:t>
            </w:r>
          </w:p>
          <w:p w14:paraId="520C1F35" w14:textId="77777777" w:rsidR="00712A28" w:rsidRPr="00ED2D84" w:rsidRDefault="00712A28" w:rsidP="00712A28">
            <w:pPr>
              <w:pStyle w:val="corte4fondo"/>
              <w:spacing w:line="240" w:lineRule="auto"/>
              <w:ind w:left="170" w:right="198" w:firstLine="0"/>
              <w:rPr>
                <w:rFonts w:cs="Arial"/>
                <w:b/>
                <w:sz w:val="20"/>
              </w:rPr>
            </w:pPr>
            <w:r w:rsidRPr="00ED2D84">
              <w:rPr>
                <w:rFonts w:cs="Arial"/>
                <w:b/>
                <w:sz w:val="20"/>
              </w:rPr>
              <w:t>.</w:t>
            </w:r>
          </w:p>
          <w:p w14:paraId="36162818" w14:textId="77777777" w:rsidR="00712A28" w:rsidRPr="00ED2D84" w:rsidRDefault="00712A28" w:rsidP="00712A28">
            <w:pPr>
              <w:pStyle w:val="corte4fondo"/>
              <w:spacing w:line="240" w:lineRule="auto"/>
              <w:ind w:left="170" w:right="198" w:firstLine="0"/>
              <w:rPr>
                <w:rFonts w:cs="Arial"/>
                <w:b/>
                <w:sz w:val="20"/>
              </w:rPr>
            </w:pPr>
            <w:r w:rsidRPr="00ED2D84">
              <w:rPr>
                <w:rFonts w:cs="Arial"/>
                <w:b/>
                <w:sz w:val="20"/>
              </w:rPr>
              <w:t>.</w:t>
            </w:r>
          </w:p>
          <w:p w14:paraId="1E56AE34" w14:textId="77777777" w:rsidR="00712A28" w:rsidRPr="00ED2D84" w:rsidRDefault="00712A28" w:rsidP="00712A28">
            <w:pPr>
              <w:pStyle w:val="corte4fondo"/>
              <w:spacing w:line="240" w:lineRule="auto"/>
              <w:ind w:left="170" w:right="198" w:firstLine="0"/>
              <w:rPr>
                <w:rFonts w:cs="Arial"/>
                <w:b/>
                <w:sz w:val="20"/>
              </w:rPr>
            </w:pPr>
            <w:r w:rsidRPr="00ED2D84">
              <w:rPr>
                <w:rFonts w:cs="Arial"/>
                <w:b/>
                <w:sz w:val="20"/>
              </w:rPr>
              <w:t>(…)</w:t>
            </w:r>
          </w:p>
          <w:p w14:paraId="1E860EAB" w14:textId="77777777" w:rsidR="00712A28" w:rsidRPr="00ED2D84" w:rsidRDefault="00712A28" w:rsidP="00712A28">
            <w:pPr>
              <w:pStyle w:val="corte4fondo"/>
              <w:spacing w:line="240" w:lineRule="auto"/>
              <w:ind w:left="170" w:right="198" w:firstLine="0"/>
              <w:rPr>
                <w:rFonts w:cs="Arial"/>
                <w:b/>
                <w:sz w:val="20"/>
              </w:rPr>
            </w:pPr>
          </w:p>
          <w:p w14:paraId="3AE2C3FD" w14:textId="77777777" w:rsidR="00712A28" w:rsidRPr="00ED2D84" w:rsidRDefault="00712A28" w:rsidP="00712A28">
            <w:pPr>
              <w:pStyle w:val="corte4fondo"/>
              <w:spacing w:line="240" w:lineRule="auto"/>
              <w:ind w:left="170" w:right="198" w:firstLine="0"/>
              <w:rPr>
                <w:rFonts w:cs="Arial"/>
                <w:b/>
                <w:sz w:val="20"/>
              </w:rPr>
            </w:pPr>
            <w:r w:rsidRPr="00ED2D84">
              <w:rPr>
                <w:rFonts w:cs="Arial"/>
                <w:b/>
                <w:sz w:val="20"/>
              </w:rPr>
              <w:t>En relación con el punto resolutivo Tercero:</w:t>
            </w:r>
          </w:p>
          <w:p w14:paraId="29F5D942" w14:textId="77777777" w:rsidR="00712A28" w:rsidRPr="00ED2D84" w:rsidRDefault="00712A28" w:rsidP="00712A28">
            <w:pPr>
              <w:pStyle w:val="corte4fondo"/>
              <w:spacing w:line="240" w:lineRule="auto"/>
              <w:ind w:left="170" w:right="198" w:firstLine="0"/>
              <w:rPr>
                <w:rFonts w:cs="Arial"/>
                <w:b/>
                <w:sz w:val="20"/>
              </w:rPr>
            </w:pPr>
          </w:p>
          <w:p w14:paraId="7E95ECB4" w14:textId="2885A41E" w:rsidR="00712A28" w:rsidRPr="00ED2D84" w:rsidRDefault="00712A28" w:rsidP="00712A28">
            <w:pPr>
              <w:pStyle w:val="corte4fondo"/>
              <w:spacing w:line="240" w:lineRule="auto"/>
              <w:ind w:left="170" w:right="198" w:firstLine="0"/>
              <w:rPr>
                <w:rFonts w:cs="Arial"/>
                <w:b/>
                <w:sz w:val="20"/>
              </w:rPr>
            </w:pPr>
            <w:r w:rsidRPr="00ED2D84">
              <w:rPr>
                <w:rFonts w:cs="Arial"/>
                <w:sz w:val="20"/>
              </w:rPr>
              <w:t xml:space="preserve">Se aprobó por mayoría de siete votos de los señores Ministros Sergio Salvador Aguirre Anguiano, José Ramón Cossío Díaz, Margarita Beatriz Luna Ramos con salvedades en cuanto a la procedencia de la acción de inconstitucionalidad contra omisiones legislativas, José Fernando Franco González Salas con las mismas salvedades, Luis María Aguilar Morales, Juan N. Silva Meza y Presidente Guillermo I. Ortiz </w:t>
            </w:r>
            <w:proofErr w:type="spellStart"/>
            <w:r w:rsidRPr="00ED2D84">
              <w:rPr>
                <w:rFonts w:cs="Arial"/>
                <w:sz w:val="20"/>
              </w:rPr>
              <w:t>Mayagoitia</w:t>
            </w:r>
            <w:proofErr w:type="spellEnd"/>
            <w:r w:rsidRPr="00ED2D84">
              <w:rPr>
                <w:rFonts w:cs="Arial"/>
                <w:sz w:val="20"/>
              </w:rPr>
              <w:t>; los señores Ministros Arturo Zaldívar Lelo de Larrea, Sergio A. Valls Hernández, Olga Sánchez Cordero de García Villegas votaron en contra y reservaron su derecho para formular voto de minoría.</w:t>
            </w:r>
          </w:p>
          <w:p w14:paraId="07F9F2BE" w14:textId="77777777" w:rsidR="00712A28" w:rsidRPr="00ED2D84" w:rsidRDefault="00712A28" w:rsidP="00712A28">
            <w:pPr>
              <w:pStyle w:val="corte4fondo"/>
              <w:spacing w:line="240" w:lineRule="auto"/>
              <w:ind w:left="170" w:right="198" w:firstLine="0"/>
              <w:rPr>
                <w:rFonts w:cs="Arial"/>
                <w:b/>
                <w:sz w:val="20"/>
              </w:rPr>
            </w:pPr>
            <w:r w:rsidRPr="00ED2D84">
              <w:rPr>
                <w:rFonts w:cs="Arial"/>
                <w:b/>
                <w:sz w:val="20"/>
              </w:rPr>
              <w:t>.</w:t>
            </w:r>
          </w:p>
          <w:p w14:paraId="1AE21202" w14:textId="77777777" w:rsidR="00712A28" w:rsidRPr="00ED2D84" w:rsidRDefault="00712A28" w:rsidP="00712A28">
            <w:pPr>
              <w:pStyle w:val="corte4fondo"/>
              <w:spacing w:line="240" w:lineRule="auto"/>
              <w:ind w:left="170" w:right="198" w:firstLine="0"/>
              <w:rPr>
                <w:rFonts w:cs="Arial"/>
                <w:b/>
                <w:sz w:val="20"/>
              </w:rPr>
            </w:pPr>
            <w:r w:rsidRPr="00ED2D84">
              <w:rPr>
                <w:rFonts w:cs="Arial"/>
                <w:b/>
                <w:sz w:val="20"/>
              </w:rPr>
              <w:t>.</w:t>
            </w:r>
          </w:p>
          <w:p w14:paraId="6DD985EE" w14:textId="77777777" w:rsidR="00712A28" w:rsidRPr="00ED2D84" w:rsidRDefault="00712A28" w:rsidP="00712A28">
            <w:pPr>
              <w:pStyle w:val="corte4fondo"/>
              <w:spacing w:line="240" w:lineRule="auto"/>
              <w:ind w:left="170" w:right="198" w:firstLine="0"/>
              <w:rPr>
                <w:rFonts w:cs="Arial"/>
                <w:b/>
                <w:sz w:val="20"/>
              </w:rPr>
            </w:pPr>
            <w:r w:rsidRPr="00ED2D84">
              <w:rPr>
                <w:rFonts w:cs="Arial"/>
                <w:b/>
                <w:sz w:val="20"/>
              </w:rPr>
              <w:t>.</w:t>
            </w:r>
          </w:p>
          <w:p w14:paraId="463209D9" w14:textId="77777777" w:rsidR="00712A28" w:rsidRDefault="00712A28" w:rsidP="00712A28">
            <w:pPr>
              <w:pStyle w:val="corte4fondo"/>
              <w:spacing w:line="240" w:lineRule="auto"/>
              <w:ind w:left="170" w:right="198" w:firstLine="0"/>
              <w:rPr>
                <w:rFonts w:cs="Arial"/>
                <w:b/>
                <w:sz w:val="20"/>
              </w:rPr>
            </w:pPr>
            <w:r w:rsidRPr="00ED2D84">
              <w:rPr>
                <w:rFonts w:cs="Arial"/>
                <w:b/>
                <w:sz w:val="20"/>
              </w:rPr>
              <w:t>(…)</w:t>
            </w:r>
          </w:p>
          <w:p w14:paraId="0C5EC9A3" w14:textId="4D6C136D" w:rsidR="004046AC" w:rsidRPr="00ED2D84" w:rsidRDefault="004046AC" w:rsidP="00712A28">
            <w:pPr>
              <w:pStyle w:val="corte4fondo"/>
              <w:spacing w:line="240" w:lineRule="auto"/>
              <w:ind w:left="170" w:right="198" w:firstLine="0"/>
              <w:rPr>
                <w:rFonts w:cs="Arial"/>
                <w:b/>
                <w:sz w:val="20"/>
              </w:rPr>
            </w:pPr>
          </w:p>
        </w:tc>
      </w:tr>
      <w:tr w:rsidR="00BA4CFB" w:rsidRPr="00ED2D84" w14:paraId="13545B05" w14:textId="77777777" w:rsidTr="00FF43B1">
        <w:trPr>
          <w:trHeight w:val="167"/>
        </w:trPr>
        <w:tc>
          <w:tcPr>
            <w:tcW w:w="1877" w:type="dxa"/>
          </w:tcPr>
          <w:p w14:paraId="17F1C6FD" w14:textId="77777777" w:rsidR="00BA4CFB" w:rsidRPr="008D4FEB" w:rsidRDefault="00AF100A" w:rsidP="00BA4CFB">
            <w:pPr>
              <w:ind w:left="170" w:right="198"/>
              <w:jc w:val="center"/>
              <w:rPr>
                <w:rFonts w:ascii="Arial" w:hAnsi="Arial" w:cs="Arial"/>
                <w:color w:val="000000"/>
                <w:sz w:val="20"/>
                <w:szCs w:val="20"/>
                <w:lang w:val="es-MX"/>
              </w:rPr>
            </w:pPr>
            <w:hyperlink r:id="rId25" w:history="1">
              <w:r w:rsidR="00BA4CFB" w:rsidRPr="008D4FEB">
                <w:rPr>
                  <w:rStyle w:val="Hipervnculo"/>
                  <w:rFonts w:ascii="Arial" w:hAnsi="Arial" w:cs="Arial"/>
                  <w:sz w:val="20"/>
                  <w:szCs w:val="20"/>
                  <w:lang w:val="es-MX"/>
                </w:rPr>
                <w:t>2/2011</w:t>
              </w:r>
            </w:hyperlink>
          </w:p>
          <w:p w14:paraId="316BA5B0" w14:textId="77777777" w:rsidR="00BA4CFB" w:rsidRPr="008D4FEB" w:rsidRDefault="00BA4CFB" w:rsidP="00BA4CFB">
            <w:pPr>
              <w:ind w:left="170" w:right="198"/>
              <w:jc w:val="center"/>
              <w:rPr>
                <w:rFonts w:ascii="Arial" w:hAnsi="Arial" w:cs="Arial"/>
                <w:color w:val="000000"/>
                <w:sz w:val="20"/>
                <w:szCs w:val="20"/>
                <w:lang w:val="es-MX"/>
              </w:rPr>
            </w:pPr>
          </w:p>
          <w:p w14:paraId="0D7CA39D" w14:textId="09C0193F" w:rsidR="00BA4CFB" w:rsidRDefault="00BA4CFB" w:rsidP="00BA4CFB">
            <w:pPr>
              <w:pStyle w:val="TableParagraph"/>
              <w:spacing w:before="240" w:after="240" w:line="240" w:lineRule="exact"/>
              <w:ind w:left="57" w:right="57"/>
              <w:contextualSpacing/>
              <w:jc w:val="center"/>
            </w:pPr>
            <w:r w:rsidRPr="008D4FEB">
              <w:rPr>
                <w:rFonts w:ascii="Arial" w:hAnsi="Arial" w:cs="Arial"/>
                <w:color w:val="000000"/>
                <w:sz w:val="20"/>
                <w:szCs w:val="20"/>
                <w:lang w:val="es-MX"/>
              </w:rPr>
              <w:t>Distrito Federal</w:t>
            </w:r>
          </w:p>
        </w:tc>
        <w:tc>
          <w:tcPr>
            <w:tcW w:w="12294" w:type="dxa"/>
          </w:tcPr>
          <w:p w14:paraId="5941B8B2" w14:textId="77777777" w:rsidR="00BA4CFB" w:rsidRPr="008D4FEB" w:rsidRDefault="00BA4CFB" w:rsidP="00BA4CFB">
            <w:pPr>
              <w:ind w:left="170" w:right="198"/>
              <w:jc w:val="both"/>
              <w:rPr>
                <w:rFonts w:ascii="Arial" w:hAnsi="Arial" w:cs="Arial"/>
                <w:b/>
                <w:color w:val="000000"/>
                <w:sz w:val="20"/>
                <w:szCs w:val="20"/>
                <w:lang w:val="es-MX"/>
              </w:rPr>
            </w:pPr>
            <w:r w:rsidRPr="008D4FEB">
              <w:rPr>
                <w:rFonts w:ascii="Arial" w:hAnsi="Arial" w:cs="Arial"/>
                <w:b/>
                <w:color w:val="000000"/>
                <w:sz w:val="20"/>
                <w:szCs w:val="20"/>
                <w:lang w:val="es-MX"/>
              </w:rPr>
              <w:t xml:space="preserve">DÉCIMO PRIMERO. Intervención del Contador Mayor de Hacienda de la Asamblea Legislativa del Distrito Federal en la designación del Titular de la Unidad Técnica Especializada de Fiscalización. </w:t>
            </w:r>
          </w:p>
          <w:p w14:paraId="49576732" w14:textId="77777777" w:rsidR="00BA4CFB" w:rsidRPr="008D4FEB" w:rsidRDefault="00BA4CFB" w:rsidP="00BA4CFB">
            <w:pPr>
              <w:ind w:left="170" w:right="198"/>
              <w:jc w:val="both"/>
              <w:rPr>
                <w:rFonts w:ascii="Arial" w:hAnsi="Arial" w:cs="Arial"/>
                <w:b/>
                <w:color w:val="000000"/>
                <w:sz w:val="20"/>
                <w:szCs w:val="20"/>
                <w:lang w:val="es-MX"/>
              </w:rPr>
            </w:pPr>
          </w:p>
          <w:p w14:paraId="391EBD89" w14:textId="77777777" w:rsidR="00BA4CFB" w:rsidRPr="008D4FEB" w:rsidRDefault="00BA4CFB" w:rsidP="00BA4CFB">
            <w:pPr>
              <w:ind w:left="170" w:right="198"/>
              <w:jc w:val="both"/>
              <w:rPr>
                <w:rFonts w:ascii="Arial" w:hAnsi="Arial" w:cs="Arial"/>
                <w:color w:val="000000"/>
                <w:sz w:val="20"/>
                <w:szCs w:val="20"/>
                <w:lang w:val="es-MX"/>
              </w:rPr>
            </w:pPr>
            <w:r w:rsidRPr="008D4FEB">
              <w:rPr>
                <w:rFonts w:ascii="Arial" w:hAnsi="Arial" w:cs="Arial"/>
                <w:color w:val="000000"/>
                <w:sz w:val="20"/>
                <w:szCs w:val="20"/>
                <w:lang w:val="es-MX"/>
              </w:rPr>
              <w:t xml:space="preserve">El Tribunal Pleno, en sesión pública de 7 de junio de 2011, desestimó en la presente acción de inconstitucionalidad respecto del artículo 88, segundo párrafo, del Código de Instituciones y Procedimientos Electorales del Distrito Federal, al no alcanzar la mayoría que exigen los artículos 105, fracción II, último párrafo, de la Constitución Federal y 72, de la Ley Reglamentaria de las Fracciones I y II del Artículo </w:t>
            </w:r>
            <w:r w:rsidRPr="008D4FEB">
              <w:rPr>
                <w:rFonts w:ascii="Arial" w:hAnsi="Arial" w:cs="Arial"/>
                <w:color w:val="000000"/>
                <w:sz w:val="20"/>
                <w:szCs w:val="20"/>
                <w:lang w:val="es-MX"/>
              </w:rPr>
              <w:lastRenderedPageBreak/>
              <w:t>105 de la CPEUM.</w:t>
            </w:r>
          </w:p>
          <w:p w14:paraId="6B59F879" w14:textId="77777777" w:rsidR="00BA4CFB" w:rsidRPr="008D4FEB" w:rsidRDefault="00BA4CFB" w:rsidP="00BA4CFB">
            <w:pPr>
              <w:ind w:left="170" w:right="198"/>
              <w:jc w:val="both"/>
              <w:rPr>
                <w:rFonts w:ascii="Arial" w:hAnsi="Arial" w:cs="Arial"/>
                <w:b/>
                <w:color w:val="000000"/>
                <w:sz w:val="20"/>
                <w:szCs w:val="20"/>
                <w:lang w:val="es-MX"/>
              </w:rPr>
            </w:pPr>
          </w:p>
          <w:p w14:paraId="759E33A3" w14:textId="77777777" w:rsidR="00BA4CFB" w:rsidRPr="008D4FEB" w:rsidRDefault="00BA4CFB" w:rsidP="00BA4CFB">
            <w:pPr>
              <w:ind w:left="170" w:right="198"/>
              <w:jc w:val="both"/>
              <w:rPr>
                <w:rFonts w:ascii="Arial" w:hAnsi="Arial" w:cs="Arial"/>
                <w:b/>
                <w:color w:val="000000"/>
                <w:sz w:val="20"/>
                <w:szCs w:val="20"/>
                <w:lang w:val="es-MX"/>
              </w:rPr>
            </w:pPr>
            <w:r w:rsidRPr="008D4FEB">
              <w:rPr>
                <w:rFonts w:ascii="Arial" w:hAnsi="Arial" w:cs="Arial"/>
                <w:b/>
                <w:color w:val="000000"/>
                <w:sz w:val="20"/>
                <w:szCs w:val="20"/>
                <w:lang w:val="es-MX"/>
              </w:rPr>
              <w:t>Resolución.</w:t>
            </w:r>
          </w:p>
          <w:p w14:paraId="512FF3D1" w14:textId="77777777" w:rsidR="00BA4CFB" w:rsidRPr="008D4FEB" w:rsidRDefault="00BA4CFB" w:rsidP="00BA4CFB">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37A97FA7" w14:textId="77777777" w:rsidR="00BA4CFB" w:rsidRPr="008D4FEB" w:rsidRDefault="00BA4CFB" w:rsidP="00BA4CFB">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7C9304A1" w14:textId="77777777" w:rsidR="00BA4CFB" w:rsidRPr="008D4FEB" w:rsidRDefault="00BA4CFB" w:rsidP="00BA4CFB">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2F2581F6" w14:textId="77777777" w:rsidR="00BA4CFB" w:rsidRPr="008D4FEB" w:rsidRDefault="00BA4CFB" w:rsidP="00BA4CFB">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 xml:space="preserve">(…) </w:t>
            </w:r>
          </w:p>
          <w:p w14:paraId="4CF77C61" w14:textId="77777777" w:rsidR="00BA4CFB" w:rsidRPr="008D4FEB" w:rsidRDefault="00BA4CFB" w:rsidP="00BA4CFB">
            <w:pPr>
              <w:ind w:left="170" w:right="198"/>
              <w:jc w:val="both"/>
              <w:rPr>
                <w:rFonts w:ascii="Arial" w:hAnsi="Arial" w:cs="Arial"/>
                <w:color w:val="000000"/>
                <w:sz w:val="20"/>
                <w:szCs w:val="20"/>
                <w:lang w:val="es-MX"/>
              </w:rPr>
            </w:pPr>
            <w:r w:rsidRPr="008D4FEB">
              <w:rPr>
                <w:rFonts w:ascii="Arial" w:hAnsi="Arial" w:cs="Arial"/>
                <w:b/>
                <w:color w:val="000000"/>
                <w:sz w:val="20"/>
                <w:szCs w:val="20"/>
                <w:lang w:val="es-MX"/>
              </w:rPr>
              <w:t xml:space="preserve">SEGUNDO. </w:t>
            </w:r>
            <w:r w:rsidRPr="008D4FEB">
              <w:rPr>
                <w:rFonts w:ascii="Arial" w:hAnsi="Arial" w:cs="Arial"/>
                <w:color w:val="000000"/>
                <w:sz w:val="20"/>
                <w:szCs w:val="20"/>
                <w:lang w:val="es-MX"/>
              </w:rPr>
              <w:t>Se desestimó la presente acción de inconstitucionalidad respecto del artículo 88, párrafo segundo, del Código de Instituciones y Procedimientos Electorales del Distrito Federal.</w:t>
            </w:r>
          </w:p>
          <w:p w14:paraId="4D6B700D" w14:textId="77777777" w:rsidR="00BA4CFB" w:rsidRPr="008D4FEB" w:rsidRDefault="00BA4CFB" w:rsidP="00BA4CFB">
            <w:pPr>
              <w:ind w:left="170" w:right="198"/>
              <w:jc w:val="both"/>
              <w:rPr>
                <w:rFonts w:ascii="Arial" w:hAnsi="Arial" w:cs="Arial"/>
                <w:b/>
                <w:color w:val="000000"/>
                <w:sz w:val="20"/>
                <w:szCs w:val="20"/>
                <w:lang w:val="es-MX"/>
              </w:rPr>
            </w:pPr>
          </w:p>
          <w:p w14:paraId="2DB68242" w14:textId="77777777" w:rsidR="00BA4CFB" w:rsidRPr="008D4FEB" w:rsidRDefault="00BA4CFB" w:rsidP="00BA4CFB">
            <w:pPr>
              <w:ind w:left="170" w:right="198"/>
              <w:jc w:val="both"/>
              <w:rPr>
                <w:rFonts w:ascii="Arial" w:hAnsi="Arial" w:cs="Arial"/>
                <w:b/>
                <w:color w:val="000000"/>
                <w:sz w:val="20"/>
                <w:szCs w:val="20"/>
                <w:lang w:val="es-MX"/>
              </w:rPr>
            </w:pPr>
            <w:r w:rsidRPr="008D4FEB">
              <w:rPr>
                <w:rFonts w:ascii="Arial" w:hAnsi="Arial" w:cs="Arial"/>
                <w:b/>
                <w:color w:val="000000"/>
                <w:sz w:val="20"/>
                <w:szCs w:val="20"/>
                <w:lang w:val="es-MX"/>
              </w:rPr>
              <w:t>Votación.</w:t>
            </w:r>
          </w:p>
          <w:p w14:paraId="4DAFE828" w14:textId="77777777" w:rsidR="00BA4CFB" w:rsidRPr="008D4FEB" w:rsidRDefault="00BA4CFB" w:rsidP="00BA4CFB">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706A19A0" w14:textId="77777777" w:rsidR="00BA4CFB" w:rsidRPr="008D4FEB" w:rsidRDefault="00BA4CFB" w:rsidP="00BA4CFB">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3165F9D3" w14:textId="77777777" w:rsidR="00BA4CFB" w:rsidRPr="008D4FEB" w:rsidRDefault="00BA4CFB" w:rsidP="00BA4CFB">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302DE04E" w14:textId="77777777" w:rsidR="00BA4CFB" w:rsidRPr="008D4FEB" w:rsidRDefault="00BA4CFB" w:rsidP="00BA4CFB">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 xml:space="preserve">(…) </w:t>
            </w:r>
          </w:p>
          <w:p w14:paraId="6B02E334" w14:textId="77777777" w:rsidR="00BA4CFB" w:rsidRPr="008D4FEB" w:rsidRDefault="00BA4CFB" w:rsidP="00BA4CFB">
            <w:pPr>
              <w:ind w:left="170" w:right="198"/>
              <w:jc w:val="both"/>
              <w:rPr>
                <w:rFonts w:ascii="Arial" w:hAnsi="Arial" w:cs="Arial"/>
                <w:b/>
                <w:color w:val="000000"/>
                <w:sz w:val="20"/>
                <w:szCs w:val="20"/>
                <w:lang w:val="es-MX"/>
              </w:rPr>
            </w:pPr>
            <w:r w:rsidRPr="008D4FEB">
              <w:rPr>
                <w:rFonts w:ascii="Arial" w:hAnsi="Arial" w:cs="Arial"/>
                <w:b/>
                <w:color w:val="000000"/>
                <w:sz w:val="20"/>
                <w:szCs w:val="20"/>
                <w:lang w:val="es-MX"/>
              </w:rPr>
              <w:t>En relación con el punto resolutivo Segundo:</w:t>
            </w:r>
          </w:p>
          <w:p w14:paraId="68D33E0B" w14:textId="77777777" w:rsidR="00BA4CFB" w:rsidRPr="008D4FEB" w:rsidRDefault="00BA4CFB" w:rsidP="00BA4CFB">
            <w:pPr>
              <w:ind w:left="170" w:right="198"/>
              <w:jc w:val="both"/>
              <w:rPr>
                <w:rFonts w:ascii="Arial" w:hAnsi="Arial" w:cs="Arial"/>
                <w:b/>
                <w:color w:val="000000"/>
                <w:sz w:val="20"/>
                <w:szCs w:val="20"/>
                <w:lang w:val="es-MX"/>
              </w:rPr>
            </w:pPr>
          </w:p>
          <w:p w14:paraId="0B002B74" w14:textId="77777777" w:rsidR="00BA4CFB" w:rsidRPr="008D4FEB" w:rsidRDefault="00BA4CFB" w:rsidP="00BA4CFB">
            <w:pPr>
              <w:ind w:left="170" w:right="198"/>
              <w:jc w:val="both"/>
              <w:rPr>
                <w:rFonts w:ascii="Arial" w:hAnsi="Arial" w:cs="Arial"/>
                <w:color w:val="000000"/>
                <w:sz w:val="20"/>
                <w:szCs w:val="20"/>
                <w:lang w:val="es-MX"/>
              </w:rPr>
            </w:pPr>
            <w:r w:rsidRPr="008D4FEB">
              <w:rPr>
                <w:rFonts w:ascii="Arial" w:hAnsi="Arial" w:cs="Arial"/>
                <w:color w:val="000000"/>
                <w:sz w:val="20"/>
                <w:szCs w:val="20"/>
                <w:lang w:val="es-MX"/>
              </w:rPr>
              <w:t xml:space="preserve">Los </w:t>
            </w:r>
            <w:proofErr w:type="gramStart"/>
            <w:r w:rsidRPr="008D4FEB">
              <w:rPr>
                <w:rFonts w:ascii="Arial" w:hAnsi="Arial" w:cs="Arial"/>
                <w:color w:val="000000"/>
                <w:sz w:val="20"/>
                <w:szCs w:val="20"/>
                <w:lang w:val="es-MX"/>
              </w:rPr>
              <w:t>Ministros</w:t>
            </w:r>
            <w:proofErr w:type="gramEnd"/>
            <w:r w:rsidRPr="008D4FEB">
              <w:rPr>
                <w:rFonts w:ascii="Arial" w:hAnsi="Arial" w:cs="Arial"/>
                <w:color w:val="000000"/>
                <w:sz w:val="20"/>
                <w:szCs w:val="20"/>
                <w:lang w:val="es-MX"/>
              </w:rPr>
              <w:t xml:space="preserve"> Aguirre Anguiano, Zaldívar Lelo de Larrea, Pardo Rebolledo, Valls Hernández con salvedades en cuanto a las consideraciones, Sánchez Cordero de García Villegas y Presidente Silva Meza, votaron a favor de declarar la invalidez del párrafo segundo del artículo 88 del Código de Instituciones y Procedimientos Electorales del Distrito Federal. Los </w:t>
            </w:r>
            <w:proofErr w:type="gramStart"/>
            <w:r w:rsidRPr="008D4FEB">
              <w:rPr>
                <w:rFonts w:ascii="Arial" w:hAnsi="Arial" w:cs="Arial"/>
                <w:color w:val="000000"/>
                <w:sz w:val="20"/>
                <w:szCs w:val="20"/>
                <w:lang w:val="es-MX"/>
              </w:rPr>
              <w:t>Ministros</w:t>
            </w:r>
            <w:proofErr w:type="gramEnd"/>
            <w:r w:rsidRPr="008D4FEB">
              <w:rPr>
                <w:rFonts w:ascii="Arial" w:hAnsi="Arial" w:cs="Arial"/>
                <w:color w:val="000000"/>
                <w:sz w:val="20"/>
                <w:szCs w:val="20"/>
                <w:lang w:val="es-MX"/>
              </w:rPr>
              <w:t xml:space="preserve"> Cossío Díaz, Luna Ramos, Franco González Salas, Aguilar Morales y Ortiz </w:t>
            </w:r>
            <w:proofErr w:type="spellStart"/>
            <w:r w:rsidRPr="008D4FEB">
              <w:rPr>
                <w:rFonts w:ascii="Arial" w:hAnsi="Arial" w:cs="Arial"/>
                <w:color w:val="000000"/>
                <w:sz w:val="20"/>
                <w:szCs w:val="20"/>
                <w:lang w:val="es-MX"/>
              </w:rPr>
              <w:t>Mayagoitia</w:t>
            </w:r>
            <w:proofErr w:type="spellEnd"/>
            <w:r w:rsidRPr="008D4FEB">
              <w:rPr>
                <w:rFonts w:ascii="Arial" w:hAnsi="Arial" w:cs="Arial"/>
                <w:color w:val="000000"/>
                <w:sz w:val="20"/>
                <w:szCs w:val="20"/>
                <w:lang w:val="es-MX"/>
              </w:rPr>
              <w:t xml:space="preserve"> votaron en contra. </w:t>
            </w:r>
          </w:p>
          <w:p w14:paraId="208FB37F" w14:textId="77777777" w:rsidR="00BA4CFB" w:rsidRPr="008D4FEB" w:rsidRDefault="00BA4CFB" w:rsidP="00BA4CFB">
            <w:pPr>
              <w:ind w:left="170" w:right="198"/>
              <w:jc w:val="both"/>
              <w:rPr>
                <w:rFonts w:ascii="Arial" w:hAnsi="Arial" w:cs="Arial"/>
                <w:color w:val="000000"/>
                <w:sz w:val="20"/>
                <w:szCs w:val="20"/>
                <w:lang w:val="es-MX"/>
              </w:rPr>
            </w:pPr>
          </w:p>
          <w:p w14:paraId="43E5C503" w14:textId="77777777" w:rsidR="00BA4CFB" w:rsidRPr="008D4FEB" w:rsidRDefault="00BA4CFB" w:rsidP="00BA4CFB">
            <w:pPr>
              <w:ind w:left="170" w:right="198"/>
              <w:jc w:val="both"/>
              <w:rPr>
                <w:rFonts w:ascii="Arial" w:hAnsi="Arial" w:cs="Arial"/>
                <w:color w:val="000000"/>
                <w:sz w:val="20"/>
                <w:szCs w:val="20"/>
                <w:lang w:val="es-MX"/>
              </w:rPr>
            </w:pPr>
            <w:r w:rsidRPr="008D4FEB">
              <w:rPr>
                <w:rFonts w:ascii="Arial" w:hAnsi="Arial" w:cs="Arial"/>
                <w:color w:val="000000"/>
                <w:sz w:val="20"/>
                <w:szCs w:val="20"/>
                <w:lang w:val="es-MX"/>
              </w:rPr>
              <w:t>Por tanto, dada la votación de 6 votos a favor de la propuesta de declarar la invalidez del párrafo segundo del artículo 88 del Código de Instituciones y Procedimientos Electorales del Distrito Federal, de conformidad con lo dispuesto en los artículos 105, fracción II, párrafo último, de la Constitución Política de los Estados Unidos Mexicanos y 72 de la Ley Reglamentaria de las Fracciones I y II del Artículo 105 constitucional, se desestimó la acción de inconstitucionalidad al no alcanzarse la votación mayoritaria calificada de ocho votos.</w:t>
            </w:r>
          </w:p>
          <w:p w14:paraId="60C3CE91" w14:textId="77777777" w:rsidR="00BA4CFB" w:rsidRPr="008D4FEB" w:rsidRDefault="00BA4CFB" w:rsidP="00BA4CFB">
            <w:pPr>
              <w:ind w:left="170" w:right="198"/>
              <w:jc w:val="both"/>
              <w:rPr>
                <w:rFonts w:ascii="Arial" w:hAnsi="Arial" w:cs="Arial"/>
                <w:b/>
                <w:color w:val="000000"/>
                <w:sz w:val="20"/>
                <w:szCs w:val="20"/>
                <w:lang w:val="es-MX"/>
              </w:rPr>
            </w:pPr>
            <w:r w:rsidRPr="008D4FEB">
              <w:rPr>
                <w:rFonts w:ascii="Arial" w:hAnsi="Arial" w:cs="Arial"/>
                <w:b/>
                <w:color w:val="000000"/>
                <w:sz w:val="20"/>
                <w:szCs w:val="20"/>
                <w:lang w:val="es-MX"/>
              </w:rPr>
              <w:t>.</w:t>
            </w:r>
          </w:p>
          <w:p w14:paraId="52D87FA5" w14:textId="77777777" w:rsidR="00BA4CFB" w:rsidRPr="008D4FEB" w:rsidRDefault="00BA4CFB" w:rsidP="00BA4CFB">
            <w:pPr>
              <w:ind w:left="170" w:right="198"/>
              <w:jc w:val="both"/>
              <w:rPr>
                <w:rFonts w:ascii="Arial" w:hAnsi="Arial" w:cs="Arial"/>
                <w:b/>
                <w:color w:val="000000"/>
                <w:sz w:val="20"/>
                <w:szCs w:val="20"/>
                <w:lang w:val="es-MX"/>
              </w:rPr>
            </w:pPr>
            <w:r w:rsidRPr="008D4FEB">
              <w:rPr>
                <w:rFonts w:ascii="Arial" w:hAnsi="Arial" w:cs="Arial"/>
                <w:b/>
                <w:color w:val="000000"/>
                <w:sz w:val="20"/>
                <w:szCs w:val="20"/>
                <w:lang w:val="es-MX"/>
              </w:rPr>
              <w:t>.</w:t>
            </w:r>
          </w:p>
          <w:p w14:paraId="56A5B727" w14:textId="77777777" w:rsidR="00BA4CFB" w:rsidRPr="008D4FEB" w:rsidRDefault="00BA4CFB" w:rsidP="00BA4CFB">
            <w:pPr>
              <w:ind w:left="170" w:right="198"/>
              <w:jc w:val="both"/>
              <w:rPr>
                <w:rFonts w:ascii="Arial" w:hAnsi="Arial" w:cs="Arial"/>
                <w:b/>
                <w:color w:val="000000"/>
                <w:sz w:val="20"/>
                <w:szCs w:val="20"/>
                <w:lang w:val="es-MX"/>
              </w:rPr>
            </w:pPr>
            <w:r w:rsidRPr="008D4FEB">
              <w:rPr>
                <w:rFonts w:ascii="Arial" w:hAnsi="Arial" w:cs="Arial"/>
                <w:b/>
                <w:color w:val="000000"/>
                <w:sz w:val="20"/>
                <w:szCs w:val="20"/>
                <w:lang w:val="es-MX"/>
              </w:rPr>
              <w:t>.</w:t>
            </w:r>
          </w:p>
          <w:p w14:paraId="019D8718" w14:textId="2E7047AF" w:rsidR="00BA4CFB" w:rsidRDefault="00BA4CFB" w:rsidP="00BA4CFB">
            <w:pPr>
              <w:pStyle w:val="TableParagraph"/>
              <w:spacing w:before="240" w:after="240" w:line="240" w:lineRule="exact"/>
              <w:ind w:left="170" w:right="198"/>
              <w:contextualSpacing/>
              <w:jc w:val="both"/>
              <w:rPr>
                <w:rFonts w:ascii="Arial" w:hAnsi="Arial" w:cs="Arial"/>
                <w:sz w:val="20"/>
                <w:szCs w:val="20"/>
                <w:lang w:val="es-MX"/>
              </w:rPr>
            </w:pPr>
            <w:r w:rsidRPr="008D4FEB">
              <w:rPr>
                <w:rFonts w:ascii="Arial" w:hAnsi="Arial" w:cs="Arial"/>
                <w:b/>
                <w:color w:val="000000"/>
                <w:sz w:val="20"/>
                <w:szCs w:val="20"/>
                <w:lang w:val="es-MX"/>
              </w:rPr>
              <w:lastRenderedPageBreak/>
              <w:t>(…)</w:t>
            </w:r>
          </w:p>
        </w:tc>
      </w:tr>
      <w:tr w:rsidR="00BA4CFB" w:rsidRPr="00ED2D84" w14:paraId="689770B0" w14:textId="77777777" w:rsidTr="00C75296">
        <w:trPr>
          <w:trHeight w:val="167"/>
        </w:trPr>
        <w:tc>
          <w:tcPr>
            <w:tcW w:w="1877" w:type="dxa"/>
            <w:vAlign w:val="center"/>
          </w:tcPr>
          <w:p w14:paraId="47CA34AA" w14:textId="77777777" w:rsidR="00BA4CFB" w:rsidRPr="00606E1F" w:rsidRDefault="00AF100A" w:rsidP="00BA4CFB">
            <w:pPr>
              <w:pStyle w:val="TableParagraph"/>
              <w:spacing w:before="240" w:after="240" w:line="240" w:lineRule="exact"/>
              <w:ind w:left="57" w:right="57"/>
              <w:contextualSpacing/>
              <w:jc w:val="center"/>
              <w:rPr>
                <w:rFonts w:ascii="Arial" w:hAnsi="Arial" w:cs="Arial"/>
                <w:sz w:val="20"/>
                <w:szCs w:val="20"/>
              </w:rPr>
            </w:pPr>
            <w:hyperlink r:id="rId26" w:history="1">
              <w:r w:rsidR="00BA4CFB" w:rsidRPr="00DD4A68">
                <w:rPr>
                  <w:rStyle w:val="Hipervnculo"/>
                  <w:rFonts w:ascii="Arial" w:hAnsi="Arial" w:cs="Arial"/>
                  <w:sz w:val="20"/>
                  <w:szCs w:val="20"/>
                </w:rPr>
                <w:t>26/2010 Y SUS ACUMULADAS 27/2010, 28/2010 Y 29/2010</w:t>
              </w:r>
            </w:hyperlink>
          </w:p>
          <w:p w14:paraId="33533F51" w14:textId="77777777" w:rsidR="00BA4CFB" w:rsidRPr="00606E1F" w:rsidRDefault="00BA4CFB" w:rsidP="00BA4CFB">
            <w:pPr>
              <w:pStyle w:val="TableParagraph"/>
              <w:spacing w:before="240" w:after="240" w:line="240" w:lineRule="exact"/>
              <w:ind w:left="57" w:right="57"/>
              <w:contextualSpacing/>
              <w:jc w:val="center"/>
              <w:rPr>
                <w:rFonts w:ascii="Arial" w:hAnsi="Arial" w:cs="Arial"/>
                <w:sz w:val="20"/>
                <w:szCs w:val="20"/>
              </w:rPr>
            </w:pPr>
          </w:p>
          <w:p w14:paraId="01EB4F3F" w14:textId="3BED30A9" w:rsidR="00BA4CFB" w:rsidRPr="00ED2D84" w:rsidRDefault="00BA4CFB" w:rsidP="00BA4CFB">
            <w:pPr>
              <w:pStyle w:val="Encabezado"/>
              <w:ind w:left="170" w:right="198"/>
              <w:jc w:val="center"/>
              <w:rPr>
                <w:rFonts w:ascii="Arial" w:hAnsi="Arial" w:cs="Arial"/>
                <w:b/>
                <w:sz w:val="20"/>
                <w:szCs w:val="20"/>
                <w:lang w:val="es-MX"/>
              </w:rPr>
            </w:pPr>
            <w:r w:rsidRPr="009E3A21">
              <w:rPr>
                <w:rFonts w:ascii="Arial" w:hAnsi="Arial" w:cs="Arial"/>
                <w:b/>
                <w:sz w:val="20"/>
                <w:szCs w:val="20"/>
              </w:rPr>
              <w:t xml:space="preserve">Estado </w:t>
            </w:r>
            <w:r>
              <w:rPr>
                <w:rFonts w:ascii="Arial" w:hAnsi="Arial" w:cs="Arial"/>
                <w:b/>
                <w:sz w:val="20"/>
                <w:szCs w:val="20"/>
              </w:rPr>
              <w:t>d</w:t>
            </w:r>
            <w:r w:rsidRPr="009E3A21">
              <w:rPr>
                <w:rFonts w:ascii="Arial" w:hAnsi="Arial" w:cs="Arial"/>
                <w:b/>
                <w:sz w:val="20"/>
                <w:szCs w:val="20"/>
              </w:rPr>
              <w:t>e México</w:t>
            </w:r>
          </w:p>
        </w:tc>
        <w:tc>
          <w:tcPr>
            <w:tcW w:w="12294" w:type="dxa"/>
          </w:tcPr>
          <w:p w14:paraId="68B2C3BD" w14:textId="77777777" w:rsidR="00BA4CFB" w:rsidRDefault="00BA4CFB" w:rsidP="00BA4CFB">
            <w:pPr>
              <w:ind w:left="144" w:right="286"/>
              <w:jc w:val="both"/>
              <w:rPr>
                <w:rFonts w:ascii="Arial" w:hAnsi="Arial" w:cs="Arial"/>
                <w:sz w:val="20"/>
                <w:szCs w:val="20"/>
                <w:lang w:val="es-MX"/>
              </w:rPr>
            </w:pPr>
          </w:p>
          <w:p w14:paraId="2D0C1E7A" w14:textId="77777777" w:rsidR="00BA4CFB" w:rsidRPr="009E3A21" w:rsidRDefault="00BA4CFB" w:rsidP="00BA4CFB">
            <w:pPr>
              <w:ind w:left="144" w:right="286"/>
              <w:jc w:val="both"/>
              <w:rPr>
                <w:rFonts w:ascii="Arial" w:hAnsi="Arial" w:cs="Arial"/>
                <w:b/>
                <w:sz w:val="20"/>
                <w:szCs w:val="20"/>
                <w:lang w:val="es-MX"/>
              </w:rPr>
            </w:pPr>
            <w:r w:rsidRPr="009E3A21">
              <w:rPr>
                <w:rFonts w:ascii="Arial" w:hAnsi="Arial" w:cs="Arial"/>
                <w:b/>
                <w:sz w:val="20"/>
                <w:szCs w:val="20"/>
                <w:lang w:val="es-MX"/>
              </w:rPr>
              <w:t>Autonomía y principios de la función electoral que</w:t>
            </w:r>
            <w:r>
              <w:rPr>
                <w:rFonts w:ascii="Arial" w:hAnsi="Arial" w:cs="Arial"/>
                <w:b/>
                <w:sz w:val="20"/>
                <w:szCs w:val="20"/>
                <w:lang w:val="es-MX"/>
              </w:rPr>
              <w:t xml:space="preserve"> </w:t>
            </w:r>
            <w:r w:rsidRPr="009E3A21">
              <w:rPr>
                <w:rFonts w:ascii="Arial" w:hAnsi="Arial" w:cs="Arial"/>
                <w:b/>
                <w:sz w:val="20"/>
                <w:szCs w:val="20"/>
                <w:lang w:val="es-MX"/>
              </w:rPr>
              <w:t>corresponde al Órgano Técnico de Fiscalización del Instituto</w:t>
            </w:r>
            <w:r>
              <w:rPr>
                <w:rFonts w:ascii="Arial" w:hAnsi="Arial" w:cs="Arial"/>
                <w:b/>
                <w:sz w:val="20"/>
                <w:szCs w:val="20"/>
                <w:lang w:val="es-MX"/>
              </w:rPr>
              <w:t xml:space="preserve"> </w:t>
            </w:r>
            <w:r w:rsidRPr="009E3A21">
              <w:rPr>
                <w:rFonts w:ascii="Arial" w:hAnsi="Arial" w:cs="Arial"/>
                <w:b/>
                <w:sz w:val="20"/>
                <w:szCs w:val="20"/>
                <w:lang w:val="es-MX"/>
              </w:rPr>
              <w:t xml:space="preserve">Electoral del Estado. </w:t>
            </w:r>
          </w:p>
          <w:p w14:paraId="44F9E89D" w14:textId="77777777" w:rsidR="00BA4CFB" w:rsidRDefault="00BA4CFB" w:rsidP="00BA4CFB">
            <w:pPr>
              <w:ind w:left="144" w:right="286"/>
              <w:jc w:val="both"/>
              <w:rPr>
                <w:rFonts w:ascii="Arial" w:hAnsi="Arial" w:cs="Arial"/>
                <w:sz w:val="20"/>
                <w:szCs w:val="20"/>
                <w:lang w:val="es-MX"/>
              </w:rPr>
            </w:pPr>
          </w:p>
          <w:p w14:paraId="425DB503" w14:textId="77777777" w:rsidR="00BA4CFB" w:rsidRPr="00606E1F" w:rsidRDefault="00BA4CFB" w:rsidP="00BA4CFB">
            <w:pPr>
              <w:ind w:left="144" w:right="286"/>
              <w:jc w:val="both"/>
              <w:rPr>
                <w:rFonts w:ascii="Arial" w:hAnsi="Arial" w:cs="Arial"/>
                <w:sz w:val="20"/>
                <w:szCs w:val="20"/>
                <w:lang w:val="es-MX"/>
              </w:rPr>
            </w:pPr>
            <w:r w:rsidRPr="00606E1F">
              <w:rPr>
                <w:rFonts w:ascii="Arial" w:hAnsi="Arial" w:cs="Arial"/>
                <w:sz w:val="20"/>
                <w:szCs w:val="20"/>
                <w:lang w:val="es-MX"/>
              </w:rPr>
              <w:t>Los partidos Acción Nacional y de la Revolución Democrática</w:t>
            </w:r>
            <w:r>
              <w:rPr>
                <w:rFonts w:ascii="Arial" w:hAnsi="Arial" w:cs="Arial"/>
                <w:sz w:val="20"/>
                <w:szCs w:val="20"/>
                <w:lang w:val="es-MX"/>
              </w:rPr>
              <w:t>, impugnaron los</w:t>
            </w:r>
            <w:r w:rsidRPr="00606E1F">
              <w:rPr>
                <w:rFonts w:ascii="Arial" w:hAnsi="Arial" w:cs="Arial"/>
                <w:sz w:val="20"/>
                <w:szCs w:val="20"/>
                <w:lang w:val="es-MX"/>
              </w:rPr>
              <w:t xml:space="preserve"> artículos 62,</w:t>
            </w:r>
            <w:r>
              <w:rPr>
                <w:rFonts w:ascii="Arial" w:hAnsi="Arial" w:cs="Arial"/>
                <w:sz w:val="20"/>
                <w:szCs w:val="20"/>
                <w:lang w:val="es-MX"/>
              </w:rPr>
              <w:t xml:space="preserve"> </w:t>
            </w:r>
            <w:r w:rsidRPr="00606E1F">
              <w:rPr>
                <w:rFonts w:ascii="Arial" w:hAnsi="Arial" w:cs="Arial"/>
                <w:sz w:val="20"/>
                <w:szCs w:val="20"/>
                <w:lang w:val="es-MX"/>
              </w:rPr>
              <w:t>fracciones I, incisos c), j) y k); y II, inciso h); 95, fracciones</w:t>
            </w:r>
            <w:r>
              <w:rPr>
                <w:rFonts w:ascii="Arial" w:hAnsi="Arial" w:cs="Arial"/>
                <w:sz w:val="20"/>
                <w:szCs w:val="20"/>
                <w:lang w:val="es-MX"/>
              </w:rPr>
              <w:t xml:space="preserve"> </w:t>
            </w:r>
            <w:r w:rsidRPr="00606E1F">
              <w:rPr>
                <w:rFonts w:ascii="Arial" w:hAnsi="Arial" w:cs="Arial"/>
                <w:sz w:val="20"/>
                <w:szCs w:val="20"/>
                <w:lang w:val="es-MX"/>
              </w:rPr>
              <w:t>XXXV y XXXV Bis; y 97, fracción I Bis del Código Electoral</w:t>
            </w:r>
            <w:r>
              <w:rPr>
                <w:rFonts w:ascii="Arial" w:hAnsi="Arial" w:cs="Arial"/>
                <w:sz w:val="20"/>
                <w:szCs w:val="20"/>
                <w:lang w:val="es-MX"/>
              </w:rPr>
              <w:t xml:space="preserve"> </w:t>
            </w:r>
            <w:r w:rsidRPr="00606E1F">
              <w:rPr>
                <w:rFonts w:ascii="Arial" w:hAnsi="Arial" w:cs="Arial"/>
                <w:sz w:val="20"/>
                <w:szCs w:val="20"/>
                <w:lang w:val="es-MX"/>
              </w:rPr>
              <w:t>del Estado de México, por violación al artículo 1, 14, 16, 41 y</w:t>
            </w:r>
            <w:r>
              <w:rPr>
                <w:rFonts w:ascii="Arial" w:hAnsi="Arial" w:cs="Arial"/>
                <w:sz w:val="20"/>
                <w:szCs w:val="20"/>
                <w:lang w:val="es-MX"/>
              </w:rPr>
              <w:t xml:space="preserve"> </w:t>
            </w:r>
            <w:r w:rsidRPr="00606E1F">
              <w:rPr>
                <w:rFonts w:ascii="Arial" w:hAnsi="Arial" w:cs="Arial"/>
                <w:sz w:val="20"/>
                <w:szCs w:val="20"/>
                <w:lang w:val="es-MX"/>
              </w:rPr>
              <w:t>116, fracción IV, incisos b), h), l) y j), y 133 de la C</w:t>
            </w:r>
            <w:r>
              <w:rPr>
                <w:rFonts w:ascii="Arial" w:hAnsi="Arial" w:cs="Arial"/>
                <w:sz w:val="20"/>
                <w:szCs w:val="20"/>
                <w:lang w:val="es-MX"/>
              </w:rPr>
              <w:t>PEUM, al considerar que se</w:t>
            </w:r>
            <w:r w:rsidRPr="00606E1F">
              <w:rPr>
                <w:rFonts w:ascii="Arial" w:hAnsi="Arial" w:cs="Arial"/>
                <w:sz w:val="20"/>
                <w:szCs w:val="20"/>
                <w:lang w:val="es-MX"/>
              </w:rPr>
              <w:t xml:space="preserve"> vulner</w:t>
            </w:r>
            <w:r>
              <w:rPr>
                <w:rFonts w:ascii="Arial" w:hAnsi="Arial" w:cs="Arial"/>
                <w:sz w:val="20"/>
                <w:szCs w:val="20"/>
                <w:lang w:val="es-MX"/>
              </w:rPr>
              <w:t>ó</w:t>
            </w:r>
            <w:r w:rsidRPr="00606E1F">
              <w:rPr>
                <w:rFonts w:ascii="Arial" w:hAnsi="Arial" w:cs="Arial"/>
                <w:sz w:val="20"/>
                <w:szCs w:val="20"/>
                <w:lang w:val="es-MX"/>
              </w:rPr>
              <w:t xml:space="preserve"> la autonomía y </w:t>
            </w:r>
            <w:r>
              <w:rPr>
                <w:rFonts w:ascii="Arial" w:hAnsi="Arial" w:cs="Arial"/>
                <w:sz w:val="20"/>
                <w:szCs w:val="20"/>
                <w:lang w:val="es-MX"/>
              </w:rPr>
              <w:t xml:space="preserve">los </w:t>
            </w:r>
            <w:r w:rsidRPr="00606E1F">
              <w:rPr>
                <w:rFonts w:ascii="Arial" w:hAnsi="Arial" w:cs="Arial"/>
                <w:sz w:val="20"/>
                <w:szCs w:val="20"/>
                <w:lang w:val="es-MX"/>
              </w:rPr>
              <w:t>principios rectores de la función electoral que corresponde al Órgano Técnico de Fiscalización del Instituto Electoral de la Entidad, como órgano auxiliar del Consejo General del Instituto Electoral del Estado de México.</w:t>
            </w:r>
            <w:r w:rsidRPr="00606E1F">
              <w:rPr>
                <w:rFonts w:ascii="Arial" w:hAnsi="Arial" w:cs="Arial"/>
                <w:sz w:val="20"/>
                <w:szCs w:val="20"/>
              </w:rPr>
              <w:t xml:space="preserve"> </w:t>
            </w:r>
            <w:r w:rsidRPr="00606E1F">
              <w:rPr>
                <w:rFonts w:ascii="Arial" w:hAnsi="Arial" w:cs="Arial"/>
                <w:sz w:val="20"/>
                <w:szCs w:val="20"/>
                <w:lang w:val="es-MX"/>
              </w:rPr>
              <w:t>Alega</w:t>
            </w:r>
            <w:r>
              <w:rPr>
                <w:rFonts w:ascii="Arial" w:hAnsi="Arial" w:cs="Arial"/>
                <w:sz w:val="20"/>
                <w:szCs w:val="20"/>
                <w:lang w:val="es-MX"/>
              </w:rPr>
              <w:t>ron</w:t>
            </w:r>
            <w:r w:rsidRPr="00606E1F">
              <w:rPr>
                <w:rFonts w:ascii="Arial" w:hAnsi="Arial" w:cs="Arial"/>
                <w:sz w:val="20"/>
                <w:szCs w:val="20"/>
                <w:lang w:val="es-MX"/>
              </w:rPr>
              <w:t xml:space="preserve"> que la reforma impugnada quita capacidad de gestión, autonomía y vulnera la fiscalización de los partidos políticos, al establecer que el Órgano Técnico de Fiscalización del Instituto Electoral del Estado de México realice todo el trabajo de fiscalización sin que elabore el dictamen el propio órgano, siendo que la propuesta de sanción corresponderá elaborarla al Secretario Ejecutivo</w:t>
            </w:r>
            <w:r>
              <w:rPr>
                <w:rFonts w:ascii="Arial" w:hAnsi="Arial" w:cs="Arial"/>
                <w:sz w:val="20"/>
                <w:szCs w:val="20"/>
                <w:lang w:val="es-MX"/>
              </w:rPr>
              <w:t>, a</w:t>
            </w:r>
            <w:r w:rsidRPr="00606E1F">
              <w:rPr>
                <w:rFonts w:ascii="Arial" w:hAnsi="Arial" w:cs="Arial"/>
                <w:sz w:val="20"/>
                <w:szCs w:val="20"/>
                <w:lang w:val="es-MX"/>
              </w:rPr>
              <w:t>du</w:t>
            </w:r>
            <w:r>
              <w:rPr>
                <w:rFonts w:ascii="Arial" w:hAnsi="Arial" w:cs="Arial"/>
                <w:sz w:val="20"/>
                <w:szCs w:val="20"/>
                <w:lang w:val="es-MX"/>
              </w:rPr>
              <w:t>jeron</w:t>
            </w:r>
            <w:r w:rsidRPr="00606E1F">
              <w:rPr>
                <w:rFonts w:ascii="Arial" w:hAnsi="Arial" w:cs="Arial"/>
                <w:sz w:val="20"/>
                <w:szCs w:val="20"/>
                <w:lang w:val="es-MX"/>
              </w:rPr>
              <w:t xml:space="preserve"> que dicho Secretario no personifica al Consejo General, ni es el encargado de realizar la fiscalización de los gastos; por lo que los artículos impugnados son contrarios a los principios de certeza y legalidad</w:t>
            </w:r>
            <w:r>
              <w:rPr>
                <w:rFonts w:ascii="Arial" w:hAnsi="Arial" w:cs="Arial"/>
                <w:sz w:val="20"/>
                <w:szCs w:val="20"/>
                <w:lang w:val="es-MX"/>
              </w:rPr>
              <w:t>, asimismo, alegaron que</w:t>
            </w:r>
            <w:r w:rsidRPr="00606E1F">
              <w:rPr>
                <w:rFonts w:ascii="Arial" w:hAnsi="Arial" w:cs="Arial"/>
                <w:sz w:val="20"/>
                <w:szCs w:val="20"/>
                <w:lang w:val="es-MX"/>
              </w:rPr>
              <w:t xml:space="preserve"> el Órgano Técnico de Fiscalización se encuentr</w:t>
            </w:r>
            <w:r>
              <w:rPr>
                <w:rFonts w:ascii="Arial" w:hAnsi="Arial" w:cs="Arial"/>
                <w:sz w:val="20"/>
                <w:szCs w:val="20"/>
                <w:lang w:val="es-MX"/>
              </w:rPr>
              <w:t>a</w:t>
            </w:r>
            <w:r w:rsidRPr="00606E1F">
              <w:rPr>
                <w:rFonts w:ascii="Arial" w:hAnsi="Arial" w:cs="Arial"/>
                <w:sz w:val="20"/>
                <w:szCs w:val="20"/>
                <w:lang w:val="es-MX"/>
              </w:rPr>
              <w:t xml:space="preserve"> como auxiliar del Consejo General</w:t>
            </w:r>
            <w:r>
              <w:rPr>
                <w:rFonts w:ascii="Arial" w:hAnsi="Arial" w:cs="Arial"/>
                <w:sz w:val="20"/>
                <w:szCs w:val="20"/>
                <w:lang w:val="es-MX"/>
              </w:rPr>
              <w:t>, lo que</w:t>
            </w:r>
            <w:r w:rsidRPr="00606E1F">
              <w:rPr>
                <w:rFonts w:ascii="Arial" w:hAnsi="Arial" w:cs="Arial"/>
                <w:sz w:val="20"/>
                <w:szCs w:val="20"/>
                <w:lang w:val="es-MX"/>
              </w:rPr>
              <w:t xml:space="preserve"> impide una fiscalización adecuada con la autonomía técnica necesaria para fiscalizar conforme a derecho.</w:t>
            </w:r>
          </w:p>
          <w:p w14:paraId="1FF61619" w14:textId="77777777" w:rsidR="00BA4CFB" w:rsidRPr="00606E1F" w:rsidRDefault="00BA4CFB" w:rsidP="00BA4CFB">
            <w:pPr>
              <w:ind w:left="144" w:right="286"/>
              <w:jc w:val="both"/>
              <w:rPr>
                <w:rFonts w:ascii="Arial" w:hAnsi="Arial" w:cs="Arial"/>
                <w:sz w:val="20"/>
                <w:szCs w:val="20"/>
                <w:lang w:val="es-MX"/>
              </w:rPr>
            </w:pPr>
          </w:p>
          <w:p w14:paraId="3EBA8709" w14:textId="77777777" w:rsidR="00BA4CFB" w:rsidRDefault="00BA4CFB" w:rsidP="00BA4CFB">
            <w:pPr>
              <w:ind w:left="144" w:right="286"/>
              <w:jc w:val="both"/>
              <w:rPr>
                <w:rFonts w:ascii="Arial" w:hAnsi="Arial" w:cs="Arial"/>
                <w:sz w:val="20"/>
                <w:szCs w:val="20"/>
                <w:lang w:val="es-MX"/>
              </w:rPr>
            </w:pPr>
            <w:r w:rsidRPr="00606E1F">
              <w:rPr>
                <w:rFonts w:ascii="Arial" w:hAnsi="Arial" w:cs="Arial"/>
                <w:sz w:val="20"/>
                <w:szCs w:val="20"/>
                <w:lang w:val="es-MX"/>
              </w:rPr>
              <w:t xml:space="preserve">Adicionalmente el Partido Acción Nacional señaló que la reforma electoral impugnada carece de idoneidad, </w:t>
            </w:r>
            <w:r>
              <w:rPr>
                <w:rFonts w:ascii="Arial" w:hAnsi="Arial" w:cs="Arial"/>
                <w:sz w:val="20"/>
                <w:szCs w:val="20"/>
                <w:lang w:val="es-MX"/>
              </w:rPr>
              <w:t>al resultar</w:t>
            </w:r>
            <w:r w:rsidRPr="00606E1F">
              <w:rPr>
                <w:rFonts w:ascii="Arial" w:hAnsi="Arial" w:cs="Arial"/>
                <w:sz w:val="20"/>
                <w:szCs w:val="20"/>
                <w:lang w:val="es-MX"/>
              </w:rPr>
              <w:t xml:space="preserve"> desproporcional e irracional, </w:t>
            </w:r>
            <w:r>
              <w:rPr>
                <w:rFonts w:ascii="Arial" w:hAnsi="Arial" w:cs="Arial"/>
                <w:sz w:val="20"/>
                <w:szCs w:val="20"/>
                <w:lang w:val="es-MX"/>
              </w:rPr>
              <w:t>ya que</w:t>
            </w:r>
            <w:r w:rsidRPr="00606E1F">
              <w:rPr>
                <w:rFonts w:ascii="Arial" w:hAnsi="Arial" w:cs="Arial"/>
                <w:sz w:val="20"/>
                <w:szCs w:val="20"/>
                <w:lang w:val="es-MX"/>
              </w:rPr>
              <w:t xml:space="preserve"> la eliminación en la ley de la atribución del Órgano Técnico de Fiscalización del Instituto Electoral del Estado de México de “proponer sanciones” al Consejo General derivadas de las irregularidades detectadas en la fiscalización de los recursos de los partidos político</w:t>
            </w:r>
            <w:r>
              <w:rPr>
                <w:rFonts w:ascii="Arial" w:hAnsi="Arial" w:cs="Arial"/>
                <w:sz w:val="20"/>
                <w:szCs w:val="20"/>
                <w:lang w:val="es-MX"/>
              </w:rPr>
              <w:t xml:space="preserve">, lo que </w:t>
            </w:r>
            <w:r w:rsidRPr="00606E1F">
              <w:rPr>
                <w:rFonts w:ascii="Arial" w:hAnsi="Arial" w:cs="Arial"/>
                <w:sz w:val="20"/>
                <w:szCs w:val="20"/>
                <w:lang w:val="es-MX"/>
              </w:rPr>
              <w:t>convierte el modelo de atribución,</w:t>
            </w:r>
            <w:r>
              <w:rPr>
                <w:rFonts w:ascii="Arial" w:hAnsi="Arial" w:cs="Arial"/>
                <w:sz w:val="20"/>
                <w:szCs w:val="20"/>
                <w:lang w:val="es-MX"/>
              </w:rPr>
              <w:t xml:space="preserve"> a</w:t>
            </w:r>
            <w:r w:rsidRPr="00606E1F">
              <w:rPr>
                <w:rFonts w:ascii="Arial" w:hAnsi="Arial" w:cs="Arial"/>
                <w:sz w:val="20"/>
                <w:szCs w:val="20"/>
                <w:lang w:val="es-MX"/>
              </w:rPr>
              <w:t>l diseño de facultades y la instrumentación de funciones del Órgano Técnico de Fiscalización en inoperante y disfuncional, en razón de que se le limita de ser binomio auditoría-contable y resolución-jurídica de la cual gozaba hasta antes de la referida afectación reformadora.</w:t>
            </w:r>
          </w:p>
          <w:p w14:paraId="14DB48D4" w14:textId="77777777" w:rsidR="00BA4CFB" w:rsidRDefault="00BA4CFB" w:rsidP="00BA4CFB">
            <w:pPr>
              <w:ind w:left="144" w:right="286"/>
              <w:jc w:val="both"/>
              <w:rPr>
                <w:rFonts w:ascii="Arial" w:hAnsi="Arial" w:cs="Arial"/>
                <w:sz w:val="20"/>
                <w:szCs w:val="20"/>
                <w:lang w:val="es-MX"/>
              </w:rPr>
            </w:pPr>
          </w:p>
          <w:p w14:paraId="3B85975A" w14:textId="77777777" w:rsidR="00BA4CFB" w:rsidRDefault="00BA4CFB" w:rsidP="00BA4CFB">
            <w:pPr>
              <w:ind w:left="144" w:right="286"/>
              <w:jc w:val="both"/>
              <w:rPr>
                <w:rFonts w:ascii="Arial" w:hAnsi="Arial" w:cs="Arial"/>
                <w:b/>
                <w:sz w:val="20"/>
                <w:szCs w:val="20"/>
                <w:lang w:val="es-MX"/>
              </w:rPr>
            </w:pPr>
            <w:r w:rsidRPr="0080646D">
              <w:rPr>
                <w:rFonts w:ascii="Arial" w:hAnsi="Arial" w:cs="Arial"/>
                <w:b/>
                <w:sz w:val="20"/>
                <w:szCs w:val="20"/>
                <w:lang w:val="es-MX"/>
              </w:rPr>
              <w:t>Consideraciones</w:t>
            </w:r>
          </w:p>
          <w:p w14:paraId="0F0C233A" w14:textId="77777777" w:rsidR="00BA4CFB" w:rsidRDefault="00BA4CFB" w:rsidP="00BA4CFB">
            <w:pPr>
              <w:ind w:left="144" w:right="286"/>
              <w:jc w:val="both"/>
              <w:rPr>
                <w:rFonts w:ascii="Arial" w:hAnsi="Arial" w:cs="Arial"/>
                <w:b/>
                <w:sz w:val="20"/>
                <w:szCs w:val="20"/>
                <w:lang w:val="es-MX"/>
              </w:rPr>
            </w:pPr>
          </w:p>
          <w:p w14:paraId="5FB01F24" w14:textId="77777777" w:rsidR="00BA4CFB" w:rsidRDefault="00BA4CFB" w:rsidP="00BA4CFB">
            <w:pPr>
              <w:ind w:left="144" w:right="286"/>
              <w:jc w:val="both"/>
              <w:rPr>
                <w:rFonts w:ascii="Arial" w:hAnsi="Arial" w:cs="Arial"/>
                <w:sz w:val="20"/>
                <w:szCs w:val="20"/>
                <w:lang w:val="es-MX"/>
              </w:rPr>
            </w:pPr>
            <w:r w:rsidRPr="0080646D">
              <w:rPr>
                <w:rFonts w:ascii="Arial" w:hAnsi="Arial" w:cs="Arial"/>
                <w:sz w:val="20"/>
                <w:szCs w:val="20"/>
                <w:lang w:val="es-MX"/>
              </w:rPr>
              <w:t xml:space="preserve">El Tribunal Pleno de la SCJN, </w:t>
            </w:r>
            <w:r w:rsidRPr="00A617D5">
              <w:rPr>
                <w:rFonts w:ascii="Arial" w:hAnsi="Arial" w:cs="Arial"/>
                <w:b/>
                <w:sz w:val="20"/>
                <w:szCs w:val="20"/>
                <w:lang w:val="es-MX"/>
              </w:rPr>
              <w:t>reconoció la validez</w:t>
            </w:r>
            <w:r>
              <w:t xml:space="preserve"> </w:t>
            </w:r>
            <w:r w:rsidRPr="00A617D5">
              <w:rPr>
                <w:rFonts w:ascii="Arial" w:hAnsi="Arial" w:cs="Arial"/>
                <w:sz w:val="20"/>
                <w:szCs w:val="20"/>
                <w:lang w:val="es-MX"/>
              </w:rPr>
              <w:t>de los decretos números “171, 172, 173, 174, 175 y 176” mediante los que se reformó el Código Electoral del Estado de México</w:t>
            </w:r>
            <w:r>
              <w:rPr>
                <w:rFonts w:ascii="Arial" w:hAnsi="Arial" w:cs="Arial"/>
                <w:sz w:val="20"/>
                <w:szCs w:val="20"/>
                <w:lang w:val="es-MX"/>
              </w:rPr>
              <w:t>,</w:t>
            </w:r>
            <w:r w:rsidRPr="00A617D5">
              <w:rPr>
                <w:rFonts w:ascii="Arial" w:hAnsi="Arial" w:cs="Arial"/>
                <w:sz w:val="20"/>
                <w:szCs w:val="20"/>
                <w:lang w:val="es-MX"/>
              </w:rPr>
              <w:t xml:space="preserve"> </w:t>
            </w:r>
            <w:r w:rsidRPr="0080646D">
              <w:rPr>
                <w:rFonts w:ascii="Arial" w:hAnsi="Arial" w:cs="Arial"/>
                <w:sz w:val="20"/>
                <w:szCs w:val="20"/>
                <w:lang w:val="es-MX"/>
              </w:rPr>
              <w:t xml:space="preserve">ya que, independientemente de la configuración específica por la que se haya optado para el Órgano Técnico de Fiscalización, el legislador local cuenta con una amplia libertad para hacerlo, sin seguir como se desprende de los precedentes que enseguida se citan necesariamente los mismos patrones que a nivel federal. Esta libertad de configuración les permite contar con un amplio margen para desarrollar en la forma que más les convenga a partir de los parámetros mínimos establecidos en la Constitución Federal, que se reducen a: obligación de establecimiento de procedimientos para el control y vigilancia del origen y uso de los recursos con los que cuenten los partidos políticos, y establecimiento de sanciones por el incumplimiento a las </w:t>
            </w:r>
            <w:r w:rsidRPr="0080646D">
              <w:rPr>
                <w:rFonts w:ascii="Arial" w:hAnsi="Arial" w:cs="Arial"/>
                <w:sz w:val="20"/>
                <w:szCs w:val="20"/>
                <w:lang w:val="es-MX"/>
              </w:rPr>
              <w:lastRenderedPageBreak/>
              <w:t xml:space="preserve">disposiciones en esta materia. </w:t>
            </w:r>
          </w:p>
          <w:p w14:paraId="02A79554" w14:textId="77777777" w:rsidR="00BA4CFB" w:rsidRDefault="00BA4CFB" w:rsidP="00BA4CFB">
            <w:pPr>
              <w:ind w:left="144" w:right="286"/>
              <w:jc w:val="both"/>
              <w:rPr>
                <w:rFonts w:ascii="Arial" w:hAnsi="Arial" w:cs="Arial"/>
                <w:sz w:val="20"/>
                <w:szCs w:val="20"/>
                <w:lang w:val="es-MX"/>
              </w:rPr>
            </w:pPr>
          </w:p>
          <w:p w14:paraId="7218648B" w14:textId="77777777" w:rsidR="00BA4CFB" w:rsidRDefault="00BA4CFB" w:rsidP="00BA4CFB">
            <w:pPr>
              <w:ind w:left="144" w:right="286"/>
              <w:jc w:val="both"/>
              <w:rPr>
                <w:rFonts w:ascii="Arial" w:hAnsi="Arial" w:cs="Arial"/>
                <w:sz w:val="20"/>
                <w:szCs w:val="20"/>
                <w:lang w:val="es-MX"/>
              </w:rPr>
            </w:pPr>
            <w:r w:rsidRPr="0080646D">
              <w:rPr>
                <w:rFonts w:ascii="Arial" w:hAnsi="Arial" w:cs="Arial"/>
                <w:sz w:val="20"/>
                <w:szCs w:val="20"/>
                <w:lang w:val="es-MX"/>
              </w:rPr>
              <w:t>Señaló que el modo específico</w:t>
            </w:r>
            <w:r>
              <w:rPr>
                <w:rFonts w:ascii="Arial" w:hAnsi="Arial" w:cs="Arial"/>
                <w:sz w:val="20"/>
                <w:szCs w:val="20"/>
                <w:lang w:val="es-MX"/>
              </w:rPr>
              <w:t xml:space="preserve">, </w:t>
            </w:r>
            <w:r w:rsidRPr="0080646D">
              <w:rPr>
                <w:rFonts w:ascii="Arial" w:hAnsi="Arial" w:cs="Arial"/>
                <w:sz w:val="20"/>
                <w:szCs w:val="20"/>
                <w:lang w:val="es-MX"/>
              </w:rPr>
              <w:t>queda a su discrecionalidad dentro del ámbito de su libertad de configuración legal y que ni la autonomía técnica ni la autonomía de gestión para ese Órgano Técnico se encuentran directamente garantizadas en los artículos constitucionales mencionados</w:t>
            </w:r>
            <w:r>
              <w:rPr>
                <w:rFonts w:ascii="Arial" w:hAnsi="Arial" w:cs="Arial"/>
                <w:sz w:val="20"/>
                <w:szCs w:val="20"/>
                <w:lang w:val="es-MX"/>
              </w:rPr>
              <w:t>, por lo que, s</w:t>
            </w:r>
            <w:r w:rsidRPr="0080646D">
              <w:rPr>
                <w:rFonts w:ascii="Arial" w:hAnsi="Arial" w:cs="Arial"/>
                <w:sz w:val="20"/>
                <w:szCs w:val="20"/>
                <w:lang w:val="es-MX"/>
              </w:rPr>
              <w:t xml:space="preserve">i el dictamen de sanciones es elaborado directamente por el Secretario del Consejo y aprobado por el Consejo con base en los datos e informes proporcionados por el Órgano Técnico auxiliar, es la manera </w:t>
            </w:r>
            <w:r>
              <w:rPr>
                <w:rFonts w:ascii="Arial" w:hAnsi="Arial" w:cs="Arial"/>
                <w:sz w:val="20"/>
                <w:szCs w:val="20"/>
                <w:lang w:val="es-MX"/>
              </w:rPr>
              <w:t xml:space="preserve">en </w:t>
            </w:r>
            <w:r w:rsidRPr="0080646D">
              <w:rPr>
                <w:rFonts w:ascii="Arial" w:hAnsi="Arial" w:cs="Arial"/>
                <w:sz w:val="20"/>
                <w:szCs w:val="20"/>
                <w:lang w:val="es-MX"/>
              </w:rPr>
              <w:t xml:space="preserve">que debe cubrirse la obligación de fiscalizar los recursos con que cuentan los partidos, </w:t>
            </w:r>
            <w:r>
              <w:rPr>
                <w:rFonts w:ascii="Arial" w:hAnsi="Arial" w:cs="Arial"/>
                <w:sz w:val="20"/>
                <w:szCs w:val="20"/>
                <w:lang w:val="es-MX"/>
              </w:rPr>
              <w:t xml:space="preserve">por ende, no </w:t>
            </w:r>
            <w:r w:rsidRPr="0080646D">
              <w:rPr>
                <w:rFonts w:ascii="Arial" w:hAnsi="Arial" w:cs="Arial"/>
                <w:sz w:val="20"/>
                <w:szCs w:val="20"/>
                <w:lang w:val="es-MX"/>
              </w:rPr>
              <w:t>vulner</w:t>
            </w:r>
            <w:r>
              <w:rPr>
                <w:rFonts w:ascii="Arial" w:hAnsi="Arial" w:cs="Arial"/>
                <w:sz w:val="20"/>
                <w:szCs w:val="20"/>
                <w:lang w:val="es-MX"/>
              </w:rPr>
              <w:t>ó</w:t>
            </w:r>
            <w:r w:rsidRPr="0080646D">
              <w:rPr>
                <w:rFonts w:ascii="Arial" w:hAnsi="Arial" w:cs="Arial"/>
                <w:sz w:val="20"/>
                <w:szCs w:val="20"/>
                <w:lang w:val="es-MX"/>
              </w:rPr>
              <w:t xml:space="preserve"> las bases establecidas en el artículo 116.</w:t>
            </w:r>
          </w:p>
          <w:p w14:paraId="2CD62F12" w14:textId="77777777" w:rsidR="00BA4CFB" w:rsidRDefault="00BA4CFB" w:rsidP="00BA4CFB">
            <w:pPr>
              <w:ind w:left="144" w:right="286"/>
              <w:jc w:val="both"/>
              <w:rPr>
                <w:rFonts w:ascii="Arial" w:hAnsi="Arial" w:cs="Arial"/>
                <w:sz w:val="20"/>
                <w:szCs w:val="20"/>
                <w:lang w:val="es-MX"/>
              </w:rPr>
            </w:pPr>
          </w:p>
          <w:p w14:paraId="2FD898C9" w14:textId="77777777" w:rsidR="00BA4CFB" w:rsidRPr="000302DA" w:rsidRDefault="00BA4CFB" w:rsidP="00BA4CFB">
            <w:pPr>
              <w:ind w:left="144" w:right="286"/>
              <w:jc w:val="both"/>
              <w:rPr>
                <w:rFonts w:ascii="Arial" w:hAnsi="Arial" w:cs="Arial"/>
                <w:b/>
                <w:sz w:val="20"/>
                <w:szCs w:val="20"/>
                <w:lang w:val="es-MX"/>
              </w:rPr>
            </w:pPr>
            <w:r w:rsidRPr="000302DA">
              <w:rPr>
                <w:rFonts w:ascii="Arial" w:hAnsi="Arial" w:cs="Arial"/>
                <w:b/>
                <w:sz w:val="20"/>
                <w:szCs w:val="20"/>
                <w:lang w:val="es-MX"/>
              </w:rPr>
              <w:t>Resolutivos:</w:t>
            </w:r>
          </w:p>
          <w:p w14:paraId="59E83F6D" w14:textId="77777777" w:rsidR="00BA4CFB" w:rsidRDefault="00BA4CFB" w:rsidP="00BA4CFB">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3DD611D6" w14:textId="77777777" w:rsidR="00BA4CFB" w:rsidRDefault="00BA4CFB" w:rsidP="00BA4CFB">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58772565" w14:textId="77777777" w:rsidR="00BA4CFB" w:rsidRDefault="00BA4CFB" w:rsidP="00BA4CFB">
            <w:pPr>
              <w:pStyle w:val="Prrafodelista"/>
              <w:ind w:left="144" w:right="144"/>
              <w:jc w:val="both"/>
              <w:rPr>
                <w:rFonts w:ascii="Arial" w:hAnsi="Arial" w:cs="Arial"/>
                <w:b/>
                <w:sz w:val="20"/>
                <w:szCs w:val="20"/>
                <w:lang w:val="es-MX"/>
              </w:rPr>
            </w:pPr>
            <w:r>
              <w:rPr>
                <w:rFonts w:ascii="Arial" w:hAnsi="Arial" w:cs="Arial"/>
                <w:b/>
                <w:sz w:val="20"/>
                <w:szCs w:val="20"/>
                <w:lang w:val="es-MX"/>
              </w:rPr>
              <w:t xml:space="preserve">. </w:t>
            </w:r>
          </w:p>
          <w:p w14:paraId="6DE267AF" w14:textId="77777777" w:rsidR="00BA4CFB" w:rsidRDefault="00BA4CFB" w:rsidP="00BA4CFB">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3ABEE6A8" w14:textId="77777777" w:rsidR="00BA4CFB" w:rsidRDefault="00BA4CFB" w:rsidP="00BA4CFB">
            <w:pPr>
              <w:ind w:left="144" w:right="286"/>
              <w:jc w:val="both"/>
              <w:rPr>
                <w:rFonts w:ascii="Arial" w:hAnsi="Arial" w:cs="Arial"/>
                <w:sz w:val="20"/>
                <w:szCs w:val="20"/>
                <w:lang w:val="es-MX"/>
              </w:rPr>
            </w:pPr>
          </w:p>
          <w:p w14:paraId="48A38EA7" w14:textId="77777777" w:rsidR="00BA4CFB" w:rsidRDefault="00BA4CFB" w:rsidP="00BA4CFB">
            <w:pPr>
              <w:ind w:left="144" w:right="286"/>
              <w:jc w:val="both"/>
              <w:rPr>
                <w:rFonts w:ascii="Arial" w:hAnsi="Arial" w:cs="Arial"/>
                <w:sz w:val="20"/>
                <w:szCs w:val="20"/>
                <w:lang w:val="es-MX"/>
              </w:rPr>
            </w:pPr>
            <w:r w:rsidRPr="000302DA">
              <w:rPr>
                <w:rFonts w:ascii="Arial" w:hAnsi="Arial" w:cs="Arial"/>
                <w:b/>
                <w:sz w:val="20"/>
                <w:szCs w:val="20"/>
                <w:lang w:val="es-MX"/>
              </w:rPr>
              <w:t>CUARTO.</w:t>
            </w:r>
            <w:r w:rsidRPr="000302DA">
              <w:rPr>
                <w:rFonts w:ascii="Arial" w:hAnsi="Arial" w:cs="Arial"/>
                <w:sz w:val="20"/>
                <w:szCs w:val="20"/>
                <w:lang w:val="es-MX"/>
              </w:rPr>
              <w:t xml:space="preserve"> Se reconoc</w:t>
            </w:r>
            <w:r>
              <w:rPr>
                <w:rFonts w:ascii="Arial" w:hAnsi="Arial" w:cs="Arial"/>
                <w:sz w:val="20"/>
                <w:szCs w:val="20"/>
                <w:lang w:val="es-MX"/>
              </w:rPr>
              <w:t>ió</w:t>
            </w:r>
            <w:r w:rsidRPr="000302DA">
              <w:rPr>
                <w:rFonts w:ascii="Arial" w:hAnsi="Arial" w:cs="Arial"/>
                <w:sz w:val="20"/>
                <w:szCs w:val="20"/>
                <w:lang w:val="es-MX"/>
              </w:rPr>
              <w:t xml:space="preserve"> la validez de los decretos números “171,</w:t>
            </w:r>
            <w:r>
              <w:rPr>
                <w:rFonts w:ascii="Arial" w:hAnsi="Arial" w:cs="Arial"/>
                <w:sz w:val="20"/>
                <w:szCs w:val="20"/>
                <w:lang w:val="es-MX"/>
              </w:rPr>
              <w:t xml:space="preserve"> </w:t>
            </w:r>
            <w:r w:rsidRPr="000302DA">
              <w:rPr>
                <w:rFonts w:ascii="Arial" w:hAnsi="Arial" w:cs="Arial"/>
                <w:sz w:val="20"/>
                <w:szCs w:val="20"/>
                <w:lang w:val="es-MX"/>
              </w:rPr>
              <w:t>172, 173, 174, 175 y 176” mediante los que se reformó el Código</w:t>
            </w:r>
            <w:r>
              <w:rPr>
                <w:rFonts w:ascii="Arial" w:hAnsi="Arial" w:cs="Arial"/>
                <w:sz w:val="20"/>
                <w:szCs w:val="20"/>
                <w:lang w:val="es-MX"/>
              </w:rPr>
              <w:t xml:space="preserve"> </w:t>
            </w:r>
            <w:r w:rsidRPr="000302DA">
              <w:rPr>
                <w:rFonts w:ascii="Arial" w:hAnsi="Arial" w:cs="Arial"/>
                <w:sz w:val="20"/>
                <w:szCs w:val="20"/>
                <w:lang w:val="es-MX"/>
              </w:rPr>
              <w:t>Electoral del Estado de México, publicados en el Periódico Oficial de la</w:t>
            </w:r>
            <w:r>
              <w:rPr>
                <w:rFonts w:ascii="Arial" w:hAnsi="Arial" w:cs="Arial"/>
                <w:sz w:val="20"/>
                <w:szCs w:val="20"/>
                <w:lang w:val="es-MX"/>
              </w:rPr>
              <w:t xml:space="preserve"> </w:t>
            </w:r>
            <w:r w:rsidRPr="000302DA">
              <w:rPr>
                <w:rFonts w:ascii="Arial" w:hAnsi="Arial" w:cs="Arial"/>
                <w:sz w:val="20"/>
                <w:szCs w:val="20"/>
                <w:lang w:val="es-MX"/>
              </w:rPr>
              <w:t>Entidad de veinticinco de septiembre de dos mil diez.</w:t>
            </w:r>
          </w:p>
          <w:p w14:paraId="21B0962B" w14:textId="77777777" w:rsidR="00BA4CFB" w:rsidRDefault="00BA4CFB" w:rsidP="00BA4CFB">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0E7DB130" w14:textId="77777777" w:rsidR="00BA4CFB" w:rsidRDefault="00BA4CFB" w:rsidP="00BA4CFB">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07032F72" w14:textId="77777777" w:rsidR="00BA4CFB" w:rsidRDefault="00BA4CFB" w:rsidP="00BA4CFB">
            <w:pPr>
              <w:pStyle w:val="Prrafodelista"/>
              <w:ind w:left="144" w:right="144"/>
              <w:jc w:val="both"/>
              <w:rPr>
                <w:rFonts w:ascii="Arial" w:hAnsi="Arial" w:cs="Arial"/>
                <w:b/>
                <w:sz w:val="20"/>
                <w:szCs w:val="20"/>
                <w:lang w:val="es-MX"/>
              </w:rPr>
            </w:pPr>
            <w:r>
              <w:rPr>
                <w:rFonts w:ascii="Arial" w:hAnsi="Arial" w:cs="Arial"/>
                <w:b/>
                <w:sz w:val="20"/>
                <w:szCs w:val="20"/>
                <w:lang w:val="es-MX"/>
              </w:rPr>
              <w:t xml:space="preserve">. </w:t>
            </w:r>
          </w:p>
          <w:p w14:paraId="203FD3F3" w14:textId="77777777" w:rsidR="00BA4CFB" w:rsidRDefault="00BA4CFB" w:rsidP="00BA4CFB">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45A46B6B" w14:textId="77777777" w:rsidR="00BA4CFB" w:rsidRDefault="00BA4CFB" w:rsidP="00BA4CFB">
            <w:pPr>
              <w:ind w:left="144" w:right="286"/>
              <w:jc w:val="both"/>
              <w:rPr>
                <w:rFonts w:ascii="Arial" w:hAnsi="Arial" w:cs="Arial"/>
                <w:sz w:val="20"/>
                <w:szCs w:val="20"/>
                <w:lang w:val="es-MX"/>
              </w:rPr>
            </w:pPr>
          </w:p>
          <w:p w14:paraId="4FB9BE0A" w14:textId="77777777" w:rsidR="00BA4CFB" w:rsidRPr="000302DA" w:rsidRDefault="00BA4CFB" w:rsidP="00BA4CFB">
            <w:pPr>
              <w:ind w:left="144" w:right="286"/>
              <w:jc w:val="both"/>
              <w:rPr>
                <w:rFonts w:ascii="Arial" w:hAnsi="Arial" w:cs="Arial"/>
                <w:b/>
                <w:sz w:val="20"/>
                <w:szCs w:val="20"/>
                <w:lang w:val="es-MX"/>
              </w:rPr>
            </w:pPr>
            <w:proofErr w:type="gramStart"/>
            <w:r w:rsidRPr="000302DA">
              <w:rPr>
                <w:rFonts w:ascii="Arial" w:hAnsi="Arial" w:cs="Arial"/>
                <w:b/>
                <w:sz w:val="20"/>
                <w:szCs w:val="20"/>
                <w:lang w:val="es-MX"/>
              </w:rPr>
              <w:t>En relación a</w:t>
            </w:r>
            <w:proofErr w:type="gramEnd"/>
            <w:r w:rsidRPr="000302DA">
              <w:rPr>
                <w:rFonts w:ascii="Arial" w:hAnsi="Arial" w:cs="Arial"/>
                <w:b/>
                <w:sz w:val="20"/>
                <w:szCs w:val="20"/>
                <w:lang w:val="es-MX"/>
              </w:rPr>
              <w:t xml:space="preserve"> los puntos resolutivos:</w:t>
            </w:r>
          </w:p>
          <w:p w14:paraId="23BC5B21" w14:textId="77777777" w:rsidR="00BA4CFB" w:rsidRDefault="00BA4CFB" w:rsidP="00BA4CFB">
            <w:pPr>
              <w:ind w:left="144" w:right="286"/>
              <w:jc w:val="both"/>
              <w:rPr>
                <w:rFonts w:ascii="Arial" w:hAnsi="Arial" w:cs="Arial"/>
                <w:sz w:val="20"/>
                <w:szCs w:val="20"/>
                <w:lang w:val="es-MX"/>
              </w:rPr>
            </w:pPr>
          </w:p>
          <w:p w14:paraId="0C00BE22" w14:textId="77777777" w:rsidR="00BA4CFB" w:rsidRPr="000302DA" w:rsidRDefault="00BA4CFB" w:rsidP="00BA4CFB">
            <w:pPr>
              <w:ind w:left="144" w:right="286"/>
              <w:jc w:val="both"/>
              <w:rPr>
                <w:rFonts w:ascii="Arial" w:hAnsi="Arial" w:cs="Arial"/>
                <w:sz w:val="20"/>
                <w:szCs w:val="20"/>
                <w:lang w:val="es-MX"/>
              </w:rPr>
            </w:pPr>
            <w:r w:rsidRPr="000302DA">
              <w:rPr>
                <w:rFonts w:ascii="Arial" w:hAnsi="Arial" w:cs="Arial"/>
                <w:sz w:val="20"/>
                <w:szCs w:val="20"/>
                <w:lang w:val="es-MX"/>
              </w:rPr>
              <w:t>Así lo resolvió el Pleno de la Suprema Corte de Justicia de la</w:t>
            </w:r>
            <w:r>
              <w:rPr>
                <w:rFonts w:ascii="Arial" w:hAnsi="Arial" w:cs="Arial"/>
                <w:sz w:val="20"/>
                <w:szCs w:val="20"/>
                <w:lang w:val="es-MX"/>
              </w:rPr>
              <w:t xml:space="preserve"> </w:t>
            </w:r>
            <w:r w:rsidRPr="000302DA">
              <w:rPr>
                <w:rFonts w:ascii="Arial" w:hAnsi="Arial" w:cs="Arial"/>
                <w:sz w:val="20"/>
                <w:szCs w:val="20"/>
                <w:lang w:val="es-MX"/>
              </w:rPr>
              <w:t xml:space="preserve">Nación por unanimidad de </w:t>
            </w:r>
            <w:r>
              <w:rPr>
                <w:rFonts w:ascii="Arial" w:hAnsi="Arial" w:cs="Arial"/>
                <w:sz w:val="20"/>
                <w:szCs w:val="20"/>
                <w:lang w:val="es-MX"/>
              </w:rPr>
              <w:t>10</w:t>
            </w:r>
            <w:r w:rsidRPr="000302DA">
              <w:rPr>
                <w:rFonts w:ascii="Arial" w:hAnsi="Arial" w:cs="Arial"/>
                <w:sz w:val="20"/>
                <w:szCs w:val="20"/>
                <w:lang w:val="es-MX"/>
              </w:rPr>
              <w:t xml:space="preserve"> votos de los </w:t>
            </w:r>
            <w:proofErr w:type="gramStart"/>
            <w:r w:rsidRPr="000302DA">
              <w:rPr>
                <w:rFonts w:ascii="Arial" w:hAnsi="Arial" w:cs="Arial"/>
                <w:sz w:val="20"/>
                <w:szCs w:val="20"/>
                <w:lang w:val="es-MX"/>
              </w:rPr>
              <w:t>Ministros</w:t>
            </w:r>
            <w:proofErr w:type="gramEnd"/>
            <w:r w:rsidRPr="000302DA">
              <w:rPr>
                <w:rFonts w:ascii="Arial" w:hAnsi="Arial" w:cs="Arial"/>
                <w:sz w:val="20"/>
                <w:szCs w:val="20"/>
                <w:lang w:val="es-MX"/>
              </w:rPr>
              <w:t xml:space="preserve"> Aguirre</w:t>
            </w:r>
            <w:r>
              <w:rPr>
                <w:rFonts w:ascii="Arial" w:hAnsi="Arial" w:cs="Arial"/>
                <w:sz w:val="20"/>
                <w:szCs w:val="20"/>
                <w:lang w:val="es-MX"/>
              </w:rPr>
              <w:t xml:space="preserve"> </w:t>
            </w:r>
            <w:r w:rsidRPr="000302DA">
              <w:rPr>
                <w:rFonts w:ascii="Arial" w:hAnsi="Arial" w:cs="Arial"/>
                <w:sz w:val="20"/>
                <w:szCs w:val="20"/>
                <w:lang w:val="es-MX"/>
              </w:rPr>
              <w:t>Anguiano, Cossío Díaz, Luna Ramos, Franco González Salas, Zaldívar</w:t>
            </w:r>
            <w:r>
              <w:rPr>
                <w:rFonts w:ascii="Arial" w:hAnsi="Arial" w:cs="Arial"/>
                <w:sz w:val="20"/>
                <w:szCs w:val="20"/>
                <w:lang w:val="es-MX"/>
              </w:rPr>
              <w:t xml:space="preserve"> </w:t>
            </w:r>
            <w:r w:rsidRPr="000302DA">
              <w:rPr>
                <w:rFonts w:ascii="Arial" w:hAnsi="Arial" w:cs="Arial"/>
                <w:sz w:val="20"/>
                <w:szCs w:val="20"/>
                <w:lang w:val="es-MX"/>
              </w:rPr>
              <w:t>Lelo de Larrea, Aguilar Morales, Valls Hernández, Sánchez Cordero</w:t>
            </w:r>
            <w:r>
              <w:rPr>
                <w:rFonts w:ascii="Arial" w:hAnsi="Arial" w:cs="Arial"/>
                <w:sz w:val="20"/>
                <w:szCs w:val="20"/>
                <w:lang w:val="es-MX"/>
              </w:rPr>
              <w:t xml:space="preserve"> </w:t>
            </w:r>
            <w:r w:rsidRPr="000302DA">
              <w:rPr>
                <w:rFonts w:ascii="Arial" w:hAnsi="Arial" w:cs="Arial"/>
                <w:sz w:val="20"/>
                <w:szCs w:val="20"/>
                <w:lang w:val="es-MX"/>
              </w:rPr>
              <w:t xml:space="preserve">de García Villegas, Silva Meza y Presidente Ortiz </w:t>
            </w:r>
            <w:proofErr w:type="spellStart"/>
            <w:r w:rsidRPr="000302DA">
              <w:rPr>
                <w:rFonts w:ascii="Arial" w:hAnsi="Arial" w:cs="Arial"/>
                <w:sz w:val="20"/>
                <w:szCs w:val="20"/>
                <w:lang w:val="es-MX"/>
              </w:rPr>
              <w:t>Mayagoitia</w:t>
            </w:r>
            <w:proofErr w:type="spellEnd"/>
            <w:r w:rsidRPr="000302DA">
              <w:rPr>
                <w:rFonts w:ascii="Arial" w:hAnsi="Arial" w:cs="Arial"/>
                <w:sz w:val="20"/>
                <w:szCs w:val="20"/>
                <w:lang w:val="es-MX"/>
              </w:rPr>
              <w:t>.</w:t>
            </w:r>
            <w:r>
              <w:rPr>
                <w:rFonts w:ascii="Arial" w:hAnsi="Arial" w:cs="Arial"/>
                <w:sz w:val="20"/>
                <w:szCs w:val="20"/>
                <w:lang w:val="es-MX"/>
              </w:rPr>
              <w:t xml:space="preserve"> </w:t>
            </w:r>
            <w:r w:rsidRPr="000302DA">
              <w:rPr>
                <w:rFonts w:ascii="Arial" w:hAnsi="Arial" w:cs="Arial"/>
                <w:sz w:val="20"/>
                <w:szCs w:val="20"/>
                <w:lang w:val="es-MX"/>
              </w:rPr>
              <w:t xml:space="preserve">La </w:t>
            </w:r>
            <w:proofErr w:type="gramStart"/>
            <w:r w:rsidRPr="000302DA">
              <w:rPr>
                <w:rFonts w:ascii="Arial" w:hAnsi="Arial" w:cs="Arial"/>
                <w:sz w:val="20"/>
                <w:szCs w:val="20"/>
                <w:lang w:val="es-MX"/>
              </w:rPr>
              <w:t>Ministra</w:t>
            </w:r>
            <w:proofErr w:type="gramEnd"/>
            <w:r w:rsidRPr="000302DA">
              <w:rPr>
                <w:rFonts w:ascii="Arial" w:hAnsi="Arial" w:cs="Arial"/>
                <w:sz w:val="20"/>
                <w:szCs w:val="20"/>
                <w:lang w:val="es-MX"/>
              </w:rPr>
              <w:t xml:space="preserve"> Sánchez Cordero de García Villegas reservó</w:t>
            </w:r>
            <w:r>
              <w:rPr>
                <w:rFonts w:ascii="Arial" w:hAnsi="Arial" w:cs="Arial"/>
                <w:sz w:val="20"/>
                <w:szCs w:val="20"/>
                <w:lang w:val="es-MX"/>
              </w:rPr>
              <w:t xml:space="preserve"> </w:t>
            </w:r>
            <w:r w:rsidRPr="000302DA">
              <w:rPr>
                <w:rFonts w:ascii="Arial" w:hAnsi="Arial" w:cs="Arial"/>
                <w:sz w:val="20"/>
                <w:szCs w:val="20"/>
                <w:lang w:val="es-MX"/>
              </w:rPr>
              <w:t>su derecho para formular voto concurrente en relación con el tema de</w:t>
            </w:r>
          </w:p>
          <w:p w14:paraId="2743AE7B" w14:textId="77777777" w:rsidR="00BA4CFB" w:rsidRDefault="00BA4CFB" w:rsidP="00BA4CFB">
            <w:pPr>
              <w:ind w:left="144" w:right="286"/>
              <w:jc w:val="both"/>
              <w:rPr>
                <w:rFonts w:ascii="Arial" w:hAnsi="Arial" w:cs="Arial"/>
                <w:sz w:val="20"/>
                <w:szCs w:val="20"/>
                <w:lang w:val="es-MX"/>
              </w:rPr>
            </w:pPr>
            <w:r w:rsidRPr="000302DA">
              <w:rPr>
                <w:rFonts w:ascii="Arial" w:hAnsi="Arial" w:cs="Arial"/>
                <w:sz w:val="20"/>
                <w:szCs w:val="20"/>
                <w:lang w:val="es-MX"/>
              </w:rPr>
              <w:t>financiamiento público.</w:t>
            </w:r>
          </w:p>
          <w:p w14:paraId="6A89718F" w14:textId="77777777" w:rsidR="00BA4CFB" w:rsidRDefault="00BA4CFB" w:rsidP="00BA4CFB">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35D662BA" w14:textId="77777777" w:rsidR="00BA4CFB" w:rsidRDefault="00BA4CFB" w:rsidP="00BA4CFB">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7C9642FF" w14:textId="77777777" w:rsidR="00BA4CFB" w:rsidRDefault="00BA4CFB" w:rsidP="00BA4CFB">
            <w:pPr>
              <w:pStyle w:val="Prrafodelista"/>
              <w:ind w:left="144" w:right="144"/>
              <w:jc w:val="both"/>
              <w:rPr>
                <w:rFonts w:ascii="Arial" w:hAnsi="Arial" w:cs="Arial"/>
                <w:b/>
                <w:sz w:val="20"/>
                <w:szCs w:val="20"/>
                <w:lang w:val="es-MX"/>
              </w:rPr>
            </w:pPr>
            <w:r>
              <w:rPr>
                <w:rFonts w:ascii="Arial" w:hAnsi="Arial" w:cs="Arial"/>
                <w:b/>
                <w:sz w:val="20"/>
                <w:szCs w:val="20"/>
                <w:lang w:val="es-MX"/>
              </w:rPr>
              <w:t xml:space="preserve">. </w:t>
            </w:r>
          </w:p>
          <w:p w14:paraId="2B953124" w14:textId="77777777" w:rsidR="00BA4CFB" w:rsidRDefault="00BA4CFB" w:rsidP="00BA4CFB">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3B4BDE2E" w14:textId="4BB2D935" w:rsidR="00BA4CFB" w:rsidRPr="00ED7DDA" w:rsidRDefault="00BA4CFB" w:rsidP="00BA4CFB">
            <w:pPr>
              <w:ind w:left="144" w:right="286"/>
              <w:jc w:val="both"/>
              <w:rPr>
                <w:rFonts w:ascii="Arial" w:hAnsi="Arial" w:cs="Arial"/>
                <w:sz w:val="20"/>
                <w:szCs w:val="20"/>
                <w:lang w:val="es-MX"/>
              </w:rPr>
            </w:pPr>
          </w:p>
        </w:tc>
      </w:tr>
      <w:tr w:rsidR="00353CFC" w:rsidRPr="00ED2D84" w14:paraId="2608900C" w14:textId="77777777" w:rsidTr="00710CBB">
        <w:trPr>
          <w:trHeight w:val="167"/>
        </w:trPr>
        <w:tc>
          <w:tcPr>
            <w:tcW w:w="1877" w:type="dxa"/>
          </w:tcPr>
          <w:p w14:paraId="2CC82999" w14:textId="77777777" w:rsidR="00353CFC" w:rsidRPr="008D4FEB" w:rsidRDefault="00AF100A" w:rsidP="00353CFC">
            <w:pPr>
              <w:ind w:left="170" w:right="198"/>
              <w:jc w:val="center"/>
              <w:rPr>
                <w:rFonts w:ascii="Arial" w:hAnsi="Arial" w:cs="Arial"/>
                <w:sz w:val="20"/>
                <w:szCs w:val="20"/>
              </w:rPr>
            </w:pPr>
            <w:hyperlink r:id="rId27" w:history="1">
              <w:r w:rsidR="00353CFC" w:rsidRPr="008D4FEB">
                <w:rPr>
                  <w:rStyle w:val="Hipervnculo"/>
                  <w:rFonts w:ascii="Arial" w:hAnsi="Arial" w:cs="Arial"/>
                  <w:sz w:val="20"/>
                  <w:szCs w:val="20"/>
                </w:rPr>
                <w:t xml:space="preserve">27/2009 Y SUS ACUMULADAS 29/2009, </w:t>
              </w:r>
              <w:r w:rsidR="00353CFC" w:rsidRPr="008D4FEB">
                <w:rPr>
                  <w:rStyle w:val="Hipervnculo"/>
                  <w:rFonts w:ascii="Arial" w:hAnsi="Arial" w:cs="Arial"/>
                  <w:sz w:val="20"/>
                  <w:szCs w:val="20"/>
                </w:rPr>
                <w:lastRenderedPageBreak/>
                <w:t>30/2009 Y 31/2009</w:t>
              </w:r>
            </w:hyperlink>
          </w:p>
          <w:p w14:paraId="15F0A7A1" w14:textId="77777777" w:rsidR="00353CFC" w:rsidRPr="008D4FEB" w:rsidRDefault="00353CFC" w:rsidP="00353CFC">
            <w:pPr>
              <w:ind w:left="170" w:right="198"/>
              <w:jc w:val="center"/>
              <w:rPr>
                <w:rFonts w:ascii="Arial" w:hAnsi="Arial" w:cs="Arial"/>
                <w:sz w:val="20"/>
                <w:szCs w:val="20"/>
              </w:rPr>
            </w:pPr>
          </w:p>
          <w:p w14:paraId="3CCF9E28" w14:textId="4C5B852F" w:rsidR="00353CFC" w:rsidRPr="008D4FEB" w:rsidRDefault="00353CFC" w:rsidP="00353CFC">
            <w:pPr>
              <w:ind w:left="170" w:right="198"/>
              <w:jc w:val="center"/>
              <w:rPr>
                <w:rFonts w:ascii="Arial" w:hAnsi="Arial" w:cs="Arial"/>
                <w:sz w:val="20"/>
                <w:szCs w:val="20"/>
              </w:rPr>
            </w:pPr>
            <w:r w:rsidRPr="008D4FEB">
              <w:rPr>
                <w:rFonts w:ascii="Arial" w:hAnsi="Arial" w:cs="Arial"/>
                <w:sz w:val="20"/>
                <w:szCs w:val="20"/>
              </w:rPr>
              <w:t>Aguascalientes</w:t>
            </w:r>
          </w:p>
        </w:tc>
        <w:tc>
          <w:tcPr>
            <w:tcW w:w="12294" w:type="dxa"/>
          </w:tcPr>
          <w:p w14:paraId="6E1130AA" w14:textId="77777777" w:rsidR="00353CFC" w:rsidRPr="008D4FEB" w:rsidRDefault="00353CFC" w:rsidP="00353CFC">
            <w:pPr>
              <w:ind w:left="170" w:right="198"/>
              <w:jc w:val="both"/>
              <w:rPr>
                <w:rFonts w:ascii="Arial" w:hAnsi="Arial" w:cs="Arial"/>
                <w:color w:val="000000"/>
                <w:sz w:val="20"/>
                <w:szCs w:val="20"/>
                <w:lang w:val="es-MX"/>
              </w:rPr>
            </w:pPr>
          </w:p>
          <w:p w14:paraId="2484ECBC" w14:textId="77777777" w:rsidR="00353CFC" w:rsidRPr="00353CFC" w:rsidRDefault="00353CFC" w:rsidP="00353CFC">
            <w:pPr>
              <w:pStyle w:val="Prrafodelista"/>
              <w:numPr>
                <w:ilvl w:val="0"/>
                <w:numId w:val="9"/>
              </w:numPr>
              <w:tabs>
                <w:tab w:val="left" w:pos="1417"/>
              </w:tabs>
              <w:ind w:left="252" w:right="198" w:hanging="142"/>
              <w:rPr>
                <w:rFonts w:ascii="Arial" w:hAnsi="Arial" w:cs="Arial"/>
                <w:b/>
                <w:sz w:val="20"/>
                <w:szCs w:val="20"/>
                <w:lang w:val="es-MX"/>
              </w:rPr>
            </w:pPr>
            <w:r w:rsidRPr="00353CFC">
              <w:rPr>
                <w:rFonts w:ascii="Arial" w:hAnsi="Arial" w:cs="Arial"/>
                <w:b/>
                <w:sz w:val="20"/>
                <w:szCs w:val="20"/>
                <w:lang w:val="es-MX"/>
              </w:rPr>
              <w:t>OCTAVO. - Análisis del tema 5. Designación y remoción del Titular de la Contraloría General del Instituto Estatal Electoral.</w:t>
            </w:r>
          </w:p>
          <w:p w14:paraId="1A7AAF42" w14:textId="77777777" w:rsidR="00353CFC" w:rsidRPr="008D4FEB" w:rsidRDefault="00353CFC" w:rsidP="00353CFC">
            <w:pPr>
              <w:tabs>
                <w:tab w:val="left" w:pos="1417"/>
              </w:tabs>
              <w:ind w:left="170" w:right="198"/>
              <w:rPr>
                <w:rFonts w:ascii="Arial" w:hAnsi="Arial" w:cs="Arial"/>
                <w:b/>
                <w:sz w:val="20"/>
                <w:szCs w:val="20"/>
                <w:lang w:val="es-MX"/>
              </w:rPr>
            </w:pPr>
          </w:p>
          <w:p w14:paraId="6FA22AF9" w14:textId="77777777" w:rsidR="00353CFC" w:rsidRPr="008D4FEB" w:rsidRDefault="00353CFC" w:rsidP="00353CFC">
            <w:pPr>
              <w:tabs>
                <w:tab w:val="left" w:pos="1417"/>
              </w:tabs>
              <w:ind w:left="170" w:right="198"/>
              <w:jc w:val="both"/>
              <w:rPr>
                <w:rFonts w:ascii="Arial" w:hAnsi="Arial" w:cs="Arial"/>
                <w:sz w:val="20"/>
                <w:szCs w:val="20"/>
                <w:lang w:val="es-MX"/>
              </w:rPr>
            </w:pPr>
            <w:r w:rsidRPr="008D4FEB">
              <w:rPr>
                <w:rFonts w:ascii="Arial" w:hAnsi="Arial" w:cs="Arial"/>
                <w:sz w:val="20"/>
                <w:szCs w:val="20"/>
                <w:lang w:val="es-MX"/>
              </w:rPr>
              <w:lastRenderedPageBreak/>
              <w:t xml:space="preserve">Los partidos Políticos PT, SOCIAL DEMÓCRATA, PRD y CONVERGENCIA, controvirtieron el artículo 349, tercer párrafo del Código Electoral del Estado de Aguascalientes, ya que a su consideración la Contraloría General es un órgano de control interno del Instituto Electoral Local que en el desempeño de sus funciones goza de autonomía técnica y de gestión y, que tiene a su cargo esencialmente una función fiscalizadora de los ingresos y egresos del propio Instituto y con la creación de un órgano especial nombrado por los partidos políticos con representación en el Congreso del Estado de Aguascalientes, para fiscalizar las finanzas del órgano electoral, constituye una forma de presión y control sobre dicho órgano, se transgrede lo dispuesto en el artículo 116, fracción IV, incisos b) y c) de la CPEUM. </w:t>
            </w:r>
          </w:p>
          <w:p w14:paraId="3B5794E8" w14:textId="77777777" w:rsidR="00353CFC" w:rsidRPr="008D4FEB" w:rsidRDefault="00353CFC" w:rsidP="00353CFC">
            <w:pPr>
              <w:tabs>
                <w:tab w:val="left" w:pos="1417"/>
              </w:tabs>
              <w:ind w:left="170" w:right="198"/>
              <w:rPr>
                <w:rFonts w:ascii="Arial" w:hAnsi="Arial" w:cs="Arial"/>
                <w:sz w:val="20"/>
                <w:szCs w:val="20"/>
                <w:lang w:val="es-MX"/>
              </w:rPr>
            </w:pPr>
          </w:p>
          <w:p w14:paraId="29F86B43" w14:textId="77777777" w:rsidR="00353CFC" w:rsidRPr="008D4FEB" w:rsidRDefault="00353CFC" w:rsidP="00353CFC">
            <w:pPr>
              <w:tabs>
                <w:tab w:val="left" w:pos="1417"/>
              </w:tabs>
              <w:ind w:left="170" w:right="198"/>
              <w:rPr>
                <w:rFonts w:ascii="Arial" w:hAnsi="Arial" w:cs="Arial"/>
                <w:b/>
                <w:sz w:val="20"/>
                <w:szCs w:val="20"/>
                <w:lang w:val="es-MX"/>
              </w:rPr>
            </w:pPr>
            <w:r w:rsidRPr="008D4FEB">
              <w:rPr>
                <w:rFonts w:ascii="Arial" w:hAnsi="Arial" w:cs="Arial"/>
                <w:b/>
                <w:sz w:val="20"/>
                <w:szCs w:val="20"/>
                <w:lang w:val="es-MX"/>
              </w:rPr>
              <w:t>Consideraciones.</w:t>
            </w:r>
          </w:p>
          <w:p w14:paraId="3A37C128" w14:textId="77777777" w:rsidR="00353CFC" w:rsidRPr="008D4FEB" w:rsidRDefault="00353CFC" w:rsidP="00353CFC">
            <w:pPr>
              <w:tabs>
                <w:tab w:val="left" w:pos="1417"/>
              </w:tabs>
              <w:ind w:left="170" w:right="198"/>
              <w:rPr>
                <w:rFonts w:ascii="Arial" w:hAnsi="Arial" w:cs="Arial"/>
                <w:sz w:val="20"/>
                <w:szCs w:val="20"/>
                <w:lang w:val="es-MX"/>
              </w:rPr>
            </w:pPr>
          </w:p>
          <w:p w14:paraId="07F9F0E1" w14:textId="77777777" w:rsidR="00353CFC" w:rsidRPr="008D4FEB" w:rsidRDefault="00353CFC" w:rsidP="00353CFC">
            <w:pPr>
              <w:tabs>
                <w:tab w:val="left" w:pos="1417"/>
              </w:tabs>
              <w:ind w:left="170" w:right="198"/>
              <w:jc w:val="both"/>
              <w:rPr>
                <w:rFonts w:ascii="Arial" w:hAnsi="Arial" w:cs="Arial"/>
                <w:sz w:val="20"/>
                <w:szCs w:val="20"/>
                <w:lang w:val="es-MX"/>
              </w:rPr>
            </w:pPr>
            <w:r w:rsidRPr="008D4FEB">
              <w:rPr>
                <w:rFonts w:ascii="Arial" w:hAnsi="Arial" w:cs="Arial"/>
                <w:sz w:val="20"/>
                <w:szCs w:val="20"/>
                <w:lang w:val="es-MX"/>
              </w:rPr>
              <w:t xml:space="preserve">El Pleno de la SCJN reconoció la validez del párrafo tercero del artículo 349 del Código Electoral del Estado de Aguascalientes, pues no transgrede lo previsto por el artículo 116, fracción IV de la CPEUM. Ya que es obligación de las Legislaturas Locales garantizar que la integración y actuación de las autoridades que tengan a su cargo la organización de las elecciones y de las jurisdiccionales que resuelvan las controversias en la materia, se rijan por los principios de legalidad, imparcialidad, objetividad, autonomía, certeza e independencia. Sin embargo, al no existir disposición constitucional que imponga a las indicadas Legislaturas algún lineamiento específico en cuanto a la forma en que deberán organizarse las autoridades administrativas y jurisdiccionales electorales locales, esta materia es responsabilidad directa de dichas Legislaturas. </w:t>
            </w:r>
          </w:p>
          <w:p w14:paraId="1A9A96F2" w14:textId="77777777" w:rsidR="00353CFC" w:rsidRPr="008D4FEB" w:rsidRDefault="00353CFC" w:rsidP="00353CFC">
            <w:pPr>
              <w:tabs>
                <w:tab w:val="left" w:pos="1417"/>
              </w:tabs>
              <w:ind w:left="170" w:right="198"/>
              <w:jc w:val="both"/>
              <w:rPr>
                <w:rFonts w:ascii="Arial" w:hAnsi="Arial" w:cs="Arial"/>
                <w:sz w:val="20"/>
                <w:szCs w:val="20"/>
                <w:lang w:val="es-MX"/>
              </w:rPr>
            </w:pPr>
          </w:p>
          <w:p w14:paraId="379D8606" w14:textId="77777777" w:rsidR="00353CFC" w:rsidRPr="008D4FEB" w:rsidRDefault="00353CFC" w:rsidP="00353CFC">
            <w:pPr>
              <w:tabs>
                <w:tab w:val="left" w:pos="1417"/>
              </w:tabs>
              <w:ind w:left="170" w:right="198"/>
              <w:jc w:val="both"/>
              <w:rPr>
                <w:rFonts w:ascii="Arial" w:hAnsi="Arial" w:cs="Arial"/>
                <w:sz w:val="20"/>
                <w:szCs w:val="20"/>
                <w:lang w:val="es-MX"/>
              </w:rPr>
            </w:pPr>
            <w:r w:rsidRPr="008D4FEB">
              <w:rPr>
                <w:rFonts w:ascii="Arial" w:hAnsi="Arial" w:cs="Arial"/>
                <w:sz w:val="20"/>
                <w:szCs w:val="20"/>
                <w:lang w:val="es-MX"/>
              </w:rPr>
              <w:t>Por otro lado, en el artículo 41, párrafos segundo y quinto, base V, prevé para el IFE, la existencia de un contralor interno nombrado por las dos terceras partes de los miembros presentes de la Cámara de Diputados a propuesta de instituciones públicas de educación superior, en la forma y términos que determine la ley y que al interior de la autoridad administrativa electoral federal existiría un organismo revisor y fiscalizador del ejercicio y manejo de los recursos públicos adscritos a la función de organización de las elecciones federales y que su titular fuera nombrado por la Cámara de Diputados, entonces podemos concluir que esta adaptación de la Constitución Local al sistema federal, lejos de ser contraria a la Constitución Federal, más bien tiene exacto correlato con lo previsto por ella.</w:t>
            </w:r>
          </w:p>
          <w:p w14:paraId="312B724A" w14:textId="77777777" w:rsidR="00353CFC" w:rsidRPr="008D4FEB" w:rsidRDefault="00353CFC" w:rsidP="00353CFC">
            <w:pPr>
              <w:tabs>
                <w:tab w:val="left" w:pos="1417"/>
              </w:tabs>
              <w:ind w:left="170" w:right="198"/>
              <w:rPr>
                <w:rFonts w:ascii="Arial" w:hAnsi="Arial" w:cs="Arial"/>
                <w:sz w:val="20"/>
                <w:szCs w:val="20"/>
                <w:lang w:val="es-MX"/>
              </w:rPr>
            </w:pPr>
          </w:p>
          <w:p w14:paraId="6ACC601D" w14:textId="77777777" w:rsidR="00353CFC" w:rsidRPr="008D4FEB" w:rsidRDefault="00353CFC" w:rsidP="00353CFC">
            <w:pPr>
              <w:tabs>
                <w:tab w:val="left" w:pos="1417"/>
              </w:tabs>
              <w:ind w:left="170" w:right="198"/>
              <w:rPr>
                <w:rFonts w:ascii="Arial" w:hAnsi="Arial" w:cs="Arial"/>
                <w:b/>
                <w:sz w:val="20"/>
                <w:szCs w:val="20"/>
                <w:lang w:val="es-MX"/>
              </w:rPr>
            </w:pPr>
            <w:r w:rsidRPr="008D4FEB">
              <w:rPr>
                <w:rFonts w:ascii="Arial" w:hAnsi="Arial" w:cs="Arial"/>
                <w:b/>
                <w:sz w:val="20"/>
                <w:szCs w:val="20"/>
                <w:lang w:val="es-MX"/>
              </w:rPr>
              <w:t>Resolutivo.</w:t>
            </w:r>
          </w:p>
          <w:p w14:paraId="3D903391" w14:textId="77777777" w:rsidR="00353CFC" w:rsidRPr="008D4FEB" w:rsidRDefault="00353CFC" w:rsidP="00353CFC">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60172567" w14:textId="77777777" w:rsidR="00353CFC" w:rsidRPr="008D4FEB" w:rsidRDefault="00353CFC" w:rsidP="00353CFC">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7302D78D" w14:textId="77777777" w:rsidR="00353CFC" w:rsidRPr="008D4FEB" w:rsidRDefault="00353CFC" w:rsidP="00353CFC">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4F143515" w14:textId="77777777" w:rsidR="00353CFC" w:rsidRPr="008D4FEB" w:rsidRDefault="00353CFC" w:rsidP="00353CFC">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 xml:space="preserve">(…) </w:t>
            </w:r>
          </w:p>
          <w:p w14:paraId="55454004" w14:textId="77777777" w:rsidR="00353CFC" w:rsidRPr="008D4FEB" w:rsidRDefault="00353CFC" w:rsidP="00353CFC">
            <w:pPr>
              <w:tabs>
                <w:tab w:val="left" w:pos="1417"/>
              </w:tabs>
              <w:ind w:left="170" w:right="198"/>
              <w:rPr>
                <w:rFonts w:ascii="Arial" w:hAnsi="Arial" w:cs="Arial"/>
                <w:sz w:val="20"/>
                <w:szCs w:val="20"/>
                <w:lang w:val="es-MX"/>
              </w:rPr>
            </w:pPr>
            <w:r w:rsidRPr="008D4FEB">
              <w:rPr>
                <w:rFonts w:ascii="Arial" w:hAnsi="Arial" w:cs="Arial"/>
                <w:b/>
                <w:sz w:val="20"/>
                <w:szCs w:val="20"/>
                <w:lang w:val="es-MX"/>
              </w:rPr>
              <w:t>QUINTO.</w:t>
            </w:r>
            <w:r w:rsidRPr="008D4FEB">
              <w:rPr>
                <w:rFonts w:ascii="Arial" w:hAnsi="Arial" w:cs="Arial"/>
                <w:sz w:val="20"/>
                <w:szCs w:val="20"/>
                <w:lang w:val="es-MX"/>
              </w:rPr>
              <w:t xml:space="preserve"> Se reconoce la validez de los artículos 20; 35, fracción IV; 41; 42; 45, párrafo cuarto; 49, párrafo tercero; 51, fracción IV, inciso b); 57, fracciones I y III; 59; 60; 79, fracciones VII y VIII; 81; 193; 278; 280; 281; 309 y 349, párrafo tercero, del Código Electoral </w:t>
            </w:r>
            <w:r w:rsidRPr="008D4FEB">
              <w:rPr>
                <w:rFonts w:ascii="Arial" w:hAnsi="Arial" w:cs="Arial"/>
                <w:sz w:val="20"/>
                <w:szCs w:val="20"/>
                <w:lang w:val="es-MX"/>
              </w:rPr>
              <w:lastRenderedPageBreak/>
              <w:t xml:space="preserve">del Estado de Aguascalientes.  </w:t>
            </w:r>
          </w:p>
          <w:p w14:paraId="5CB5CE0A" w14:textId="77777777" w:rsidR="00353CFC" w:rsidRPr="008D4FEB" w:rsidRDefault="00353CFC" w:rsidP="00353CFC">
            <w:pPr>
              <w:tabs>
                <w:tab w:val="left" w:pos="1417"/>
              </w:tabs>
              <w:ind w:left="170" w:right="198"/>
              <w:rPr>
                <w:rFonts w:ascii="Arial" w:hAnsi="Arial" w:cs="Arial"/>
                <w:sz w:val="20"/>
                <w:szCs w:val="20"/>
                <w:lang w:val="es-MX"/>
              </w:rPr>
            </w:pPr>
          </w:p>
          <w:p w14:paraId="45AE47C0" w14:textId="77777777" w:rsidR="00353CFC" w:rsidRPr="008D4FEB" w:rsidRDefault="00353CFC" w:rsidP="00353CFC">
            <w:pPr>
              <w:tabs>
                <w:tab w:val="left" w:pos="1417"/>
              </w:tabs>
              <w:ind w:left="170" w:right="198"/>
              <w:rPr>
                <w:rFonts w:ascii="Arial" w:hAnsi="Arial" w:cs="Arial"/>
                <w:b/>
                <w:sz w:val="20"/>
                <w:szCs w:val="20"/>
                <w:lang w:val="es-MX"/>
              </w:rPr>
            </w:pPr>
            <w:r w:rsidRPr="008D4FEB">
              <w:rPr>
                <w:rFonts w:ascii="Arial" w:hAnsi="Arial" w:cs="Arial"/>
                <w:b/>
                <w:sz w:val="20"/>
                <w:szCs w:val="20"/>
                <w:lang w:val="es-MX"/>
              </w:rPr>
              <w:t xml:space="preserve">Votación. </w:t>
            </w:r>
          </w:p>
          <w:p w14:paraId="4A035CBA" w14:textId="77777777" w:rsidR="00353CFC" w:rsidRPr="008D4FEB" w:rsidRDefault="00353CFC" w:rsidP="00353CFC">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7E092C73" w14:textId="77777777" w:rsidR="00353CFC" w:rsidRPr="008D4FEB" w:rsidRDefault="00353CFC" w:rsidP="00353CFC">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40FB32A9" w14:textId="77777777" w:rsidR="00353CFC" w:rsidRPr="008D4FEB" w:rsidRDefault="00353CFC" w:rsidP="00353CFC">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7FD35309" w14:textId="77777777" w:rsidR="00353CFC" w:rsidRPr="008D4FEB" w:rsidRDefault="00353CFC" w:rsidP="00353CFC">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 xml:space="preserve">(…) </w:t>
            </w:r>
          </w:p>
          <w:p w14:paraId="692571B5" w14:textId="77777777" w:rsidR="00353CFC" w:rsidRPr="008D4FEB" w:rsidRDefault="00353CFC" w:rsidP="00353CFC">
            <w:pPr>
              <w:tabs>
                <w:tab w:val="left" w:pos="1417"/>
              </w:tabs>
              <w:ind w:left="170" w:right="198"/>
              <w:rPr>
                <w:rFonts w:ascii="Arial" w:hAnsi="Arial" w:cs="Arial"/>
                <w:sz w:val="20"/>
                <w:szCs w:val="20"/>
                <w:lang w:val="es-MX"/>
              </w:rPr>
            </w:pPr>
            <w:r w:rsidRPr="008D4FEB">
              <w:rPr>
                <w:rFonts w:ascii="Arial" w:hAnsi="Arial" w:cs="Arial"/>
                <w:sz w:val="20"/>
                <w:szCs w:val="20"/>
                <w:lang w:val="es-MX"/>
              </w:rPr>
              <w:t xml:space="preserve">En relación con el punto resolutivo Quinto se resolvió Por unanimidad de diez votos de los </w:t>
            </w:r>
            <w:proofErr w:type="gramStart"/>
            <w:r w:rsidRPr="008D4FEB">
              <w:rPr>
                <w:rFonts w:ascii="Arial" w:hAnsi="Arial" w:cs="Arial"/>
                <w:sz w:val="20"/>
                <w:szCs w:val="20"/>
                <w:lang w:val="es-MX"/>
              </w:rPr>
              <w:t>Ministros</w:t>
            </w:r>
            <w:proofErr w:type="gramEnd"/>
            <w:r w:rsidRPr="008D4FEB">
              <w:rPr>
                <w:rFonts w:ascii="Arial" w:hAnsi="Arial" w:cs="Arial"/>
                <w:sz w:val="20"/>
                <w:szCs w:val="20"/>
                <w:lang w:val="es-MX"/>
              </w:rPr>
              <w:t xml:space="preserve"> Aguirre Anguiano, Cossío Díaz, Luna Ramos, Franco González Salas, Góngora Pimentel, Azuela Güitrón, Valls Hernández, Sánchez Cordero de García Villegas, Silva Meza y Presidente Ortiz </w:t>
            </w:r>
            <w:proofErr w:type="spellStart"/>
            <w:r w:rsidRPr="008D4FEB">
              <w:rPr>
                <w:rFonts w:ascii="Arial" w:hAnsi="Arial" w:cs="Arial"/>
                <w:sz w:val="20"/>
                <w:szCs w:val="20"/>
                <w:lang w:val="es-MX"/>
              </w:rPr>
              <w:t>Mayagoitia</w:t>
            </w:r>
            <w:proofErr w:type="spellEnd"/>
            <w:r w:rsidRPr="008D4FEB">
              <w:rPr>
                <w:rFonts w:ascii="Arial" w:hAnsi="Arial" w:cs="Arial"/>
                <w:sz w:val="20"/>
                <w:szCs w:val="20"/>
                <w:lang w:val="es-MX"/>
              </w:rPr>
              <w:t xml:space="preserve"> en cuanto al reconocimiento de validez de los artículos 20, 42, 51, fracción IV, inciso b), y 349, párrafo tercero, del Código Electoral del Estado de Aguascalientes.</w:t>
            </w:r>
          </w:p>
          <w:p w14:paraId="5C882D41" w14:textId="77777777" w:rsidR="00353CFC" w:rsidRPr="008D4FEB" w:rsidRDefault="00353CFC" w:rsidP="00353CFC">
            <w:pPr>
              <w:tabs>
                <w:tab w:val="left" w:pos="1417"/>
              </w:tabs>
              <w:ind w:left="170" w:right="198"/>
              <w:rPr>
                <w:rFonts w:ascii="Arial" w:hAnsi="Arial" w:cs="Arial"/>
                <w:b/>
                <w:sz w:val="20"/>
                <w:szCs w:val="20"/>
                <w:lang w:val="es-MX"/>
              </w:rPr>
            </w:pPr>
            <w:r w:rsidRPr="008D4FEB">
              <w:rPr>
                <w:rFonts w:ascii="Arial" w:hAnsi="Arial" w:cs="Arial"/>
                <w:sz w:val="20"/>
                <w:szCs w:val="20"/>
                <w:lang w:val="es-MX"/>
              </w:rPr>
              <w:t>.</w:t>
            </w:r>
          </w:p>
          <w:p w14:paraId="6F3D0428" w14:textId="77777777" w:rsidR="00353CFC" w:rsidRPr="008D4FEB" w:rsidRDefault="00353CFC" w:rsidP="00353CFC">
            <w:pPr>
              <w:tabs>
                <w:tab w:val="left" w:pos="1417"/>
              </w:tabs>
              <w:ind w:left="170" w:right="198"/>
              <w:rPr>
                <w:rFonts w:ascii="Arial" w:hAnsi="Arial" w:cs="Arial"/>
                <w:b/>
                <w:sz w:val="20"/>
                <w:szCs w:val="20"/>
                <w:lang w:val="es-MX"/>
              </w:rPr>
            </w:pPr>
            <w:r w:rsidRPr="008D4FEB">
              <w:rPr>
                <w:rFonts w:ascii="Arial" w:hAnsi="Arial" w:cs="Arial"/>
                <w:b/>
                <w:sz w:val="20"/>
                <w:szCs w:val="20"/>
                <w:lang w:val="es-MX"/>
              </w:rPr>
              <w:t>.</w:t>
            </w:r>
          </w:p>
          <w:p w14:paraId="12D561CE" w14:textId="77777777" w:rsidR="00353CFC" w:rsidRPr="008D4FEB" w:rsidRDefault="00353CFC" w:rsidP="00353CFC">
            <w:pPr>
              <w:tabs>
                <w:tab w:val="left" w:pos="1417"/>
              </w:tabs>
              <w:ind w:left="170" w:right="198"/>
              <w:rPr>
                <w:rFonts w:ascii="Arial" w:hAnsi="Arial" w:cs="Arial"/>
                <w:b/>
                <w:sz w:val="20"/>
                <w:szCs w:val="20"/>
                <w:lang w:val="es-MX"/>
              </w:rPr>
            </w:pPr>
            <w:r w:rsidRPr="008D4FEB">
              <w:rPr>
                <w:rFonts w:ascii="Arial" w:hAnsi="Arial" w:cs="Arial"/>
                <w:b/>
                <w:sz w:val="20"/>
                <w:szCs w:val="20"/>
                <w:lang w:val="es-MX"/>
              </w:rPr>
              <w:t>.</w:t>
            </w:r>
          </w:p>
          <w:p w14:paraId="1F15C546" w14:textId="77777777" w:rsidR="00353CFC" w:rsidRPr="008D4FEB" w:rsidRDefault="00353CFC" w:rsidP="00353CFC">
            <w:pPr>
              <w:tabs>
                <w:tab w:val="left" w:pos="1417"/>
              </w:tabs>
              <w:ind w:left="170" w:right="198"/>
              <w:rPr>
                <w:rFonts w:ascii="Arial" w:hAnsi="Arial" w:cs="Arial"/>
                <w:b/>
                <w:sz w:val="20"/>
                <w:szCs w:val="20"/>
                <w:lang w:val="es-MX"/>
              </w:rPr>
            </w:pPr>
            <w:r w:rsidRPr="008D4FEB">
              <w:rPr>
                <w:rFonts w:ascii="Arial" w:hAnsi="Arial" w:cs="Arial"/>
                <w:b/>
                <w:sz w:val="20"/>
                <w:szCs w:val="20"/>
                <w:lang w:val="es-MX"/>
              </w:rPr>
              <w:t>(…)</w:t>
            </w:r>
          </w:p>
          <w:p w14:paraId="213DD311" w14:textId="1D996744" w:rsidR="00353CFC" w:rsidRDefault="00353CFC" w:rsidP="00353CFC">
            <w:pPr>
              <w:tabs>
                <w:tab w:val="left" w:pos="1417"/>
              </w:tabs>
              <w:ind w:left="170" w:right="198"/>
              <w:rPr>
                <w:rFonts w:ascii="Arial" w:hAnsi="Arial" w:cs="Arial"/>
                <w:sz w:val="20"/>
                <w:szCs w:val="20"/>
                <w:lang w:val="es-MX"/>
              </w:rPr>
            </w:pPr>
          </w:p>
          <w:p w14:paraId="31F56FA6" w14:textId="77777777" w:rsidR="00C164FA" w:rsidRPr="008D4FEB" w:rsidRDefault="00C164FA" w:rsidP="00C164FA">
            <w:pPr>
              <w:ind w:left="170" w:right="198"/>
              <w:jc w:val="both"/>
              <w:rPr>
                <w:rFonts w:ascii="Arial" w:hAnsi="Arial" w:cs="Arial"/>
                <w:b/>
                <w:color w:val="000000"/>
                <w:sz w:val="20"/>
                <w:szCs w:val="20"/>
                <w:lang w:val="es-MX"/>
              </w:rPr>
            </w:pPr>
            <w:r w:rsidRPr="008D4FEB">
              <w:rPr>
                <w:rFonts w:ascii="Arial" w:hAnsi="Arial" w:cs="Arial"/>
                <w:b/>
                <w:color w:val="000000"/>
                <w:sz w:val="20"/>
                <w:szCs w:val="20"/>
                <w:lang w:val="es-MX"/>
              </w:rPr>
              <w:t xml:space="preserve">DÉCIMO </w:t>
            </w:r>
            <w:proofErr w:type="gramStart"/>
            <w:r w:rsidRPr="008D4FEB">
              <w:rPr>
                <w:rFonts w:ascii="Arial" w:hAnsi="Arial" w:cs="Arial"/>
                <w:b/>
                <w:color w:val="000000"/>
                <w:sz w:val="20"/>
                <w:szCs w:val="20"/>
                <w:lang w:val="es-MX"/>
              </w:rPr>
              <w:t>TERCERO.-</w:t>
            </w:r>
            <w:proofErr w:type="gramEnd"/>
            <w:r w:rsidRPr="008D4FEB">
              <w:rPr>
                <w:rFonts w:ascii="Arial" w:hAnsi="Arial" w:cs="Arial"/>
                <w:b/>
                <w:color w:val="000000"/>
                <w:sz w:val="20"/>
                <w:szCs w:val="20"/>
                <w:lang w:val="es-MX"/>
              </w:rPr>
              <w:t xml:space="preserve"> Análisis del tema 12. Situaciones procedimentales relativas al </w:t>
            </w:r>
            <w:proofErr w:type="spellStart"/>
            <w:r w:rsidRPr="008D4FEB">
              <w:rPr>
                <w:rFonts w:ascii="Arial" w:hAnsi="Arial" w:cs="Arial"/>
                <w:b/>
                <w:color w:val="000000"/>
                <w:sz w:val="20"/>
                <w:szCs w:val="20"/>
                <w:lang w:val="es-MX"/>
              </w:rPr>
              <w:t>desechamiento</w:t>
            </w:r>
            <w:proofErr w:type="spellEnd"/>
            <w:r w:rsidRPr="008D4FEB">
              <w:rPr>
                <w:rFonts w:ascii="Arial" w:hAnsi="Arial" w:cs="Arial"/>
                <w:b/>
                <w:color w:val="000000"/>
                <w:sz w:val="20"/>
                <w:szCs w:val="20"/>
                <w:lang w:val="es-MX"/>
              </w:rPr>
              <w:t xml:space="preserve"> del escrito de queja y a la forma de notificación cuando se admite una prueba superveniente.</w:t>
            </w:r>
          </w:p>
          <w:p w14:paraId="2FC8FE3C" w14:textId="77777777" w:rsidR="00C164FA" w:rsidRPr="008D4FEB" w:rsidRDefault="00C164FA" w:rsidP="00C164FA">
            <w:pPr>
              <w:ind w:left="170" w:right="198"/>
              <w:jc w:val="both"/>
              <w:rPr>
                <w:rFonts w:ascii="Arial" w:hAnsi="Arial" w:cs="Arial"/>
                <w:color w:val="000000"/>
                <w:sz w:val="20"/>
                <w:szCs w:val="20"/>
                <w:lang w:val="es-MX"/>
              </w:rPr>
            </w:pPr>
          </w:p>
          <w:p w14:paraId="4CCE0FD9" w14:textId="77777777" w:rsidR="00C164FA" w:rsidRPr="008D4FEB" w:rsidRDefault="00C164FA" w:rsidP="00C164FA">
            <w:pPr>
              <w:ind w:left="170" w:right="198"/>
              <w:jc w:val="both"/>
              <w:rPr>
                <w:rFonts w:ascii="Arial" w:hAnsi="Arial" w:cs="Arial"/>
                <w:color w:val="000000"/>
                <w:sz w:val="20"/>
                <w:szCs w:val="20"/>
                <w:lang w:val="es-MX"/>
              </w:rPr>
            </w:pPr>
            <w:r w:rsidRPr="008D4FEB">
              <w:rPr>
                <w:rFonts w:ascii="Arial" w:hAnsi="Arial" w:cs="Arial"/>
                <w:color w:val="000000"/>
                <w:sz w:val="20"/>
                <w:szCs w:val="20"/>
                <w:lang w:val="es-MX"/>
              </w:rPr>
              <w:t xml:space="preserve">El Partido de la Revolución Democrática impugnó </w:t>
            </w:r>
            <w:r w:rsidRPr="008D4FEB">
              <w:rPr>
                <w:rFonts w:ascii="Arial" w:hAnsi="Arial" w:cs="Arial"/>
                <w:sz w:val="20"/>
                <w:szCs w:val="20"/>
              </w:rPr>
              <w:t xml:space="preserve">la </w:t>
            </w:r>
            <w:r w:rsidRPr="008D4FEB">
              <w:rPr>
                <w:rFonts w:ascii="Arial" w:hAnsi="Arial" w:cs="Arial"/>
                <w:color w:val="000000"/>
                <w:sz w:val="20"/>
                <w:szCs w:val="20"/>
                <w:lang w:val="es-MX"/>
              </w:rPr>
              <w:t>fracción I del artículo 334 del Código Electoral del Estado de Aguascalientes, el cual contempla lo siguiente; “Una vez que el titular del Organismo de Fiscalización reciba el escrito de queja, procederá a registrarlo.</w:t>
            </w:r>
          </w:p>
          <w:p w14:paraId="1842DFAF" w14:textId="77777777" w:rsidR="00C164FA" w:rsidRPr="008D4FEB" w:rsidRDefault="00C164FA" w:rsidP="00C164FA">
            <w:pPr>
              <w:ind w:left="170" w:right="198"/>
              <w:jc w:val="both"/>
              <w:rPr>
                <w:rFonts w:ascii="Arial" w:hAnsi="Arial" w:cs="Arial"/>
                <w:color w:val="000000"/>
                <w:sz w:val="20"/>
                <w:szCs w:val="20"/>
                <w:lang w:val="es-MX"/>
              </w:rPr>
            </w:pPr>
            <w:r w:rsidRPr="008D4FEB">
              <w:rPr>
                <w:rFonts w:ascii="Arial" w:hAnsi="Arial" w:cs="Arial"/>
                <w:color w:val="000000"/>
                <w:sz w:val="20"/>
                <w:szCs w:val="20"/>
                <w:lang w:val="es-MX"/>
              </w:rPr>
              <w:t>El titular del Organismo podrá desechar la queja, de plano, en los siguientes casos: I. Si los hechos narrados resultan notoriamente frívolos o inverosímiles, o si siendo ciertos, carecen de sanción legal; pues a su consideración generaba una violación al principio de legalidad previsto en el artículo 116, fracción IV, inciso b) de la CPEUM.</w:t>
            </w:r>
          </w:p>
          <w:p w14:paraId="588C0CF9" w14:textId="77777777" w:rsidR="00C164FA" w:rsidRPr="008D4FEB" w:rsidRDefault="00C164FA" w:rsidP="00C164FA">
            <w:pPr>
              <w:ind w:left="170" w:right="198"/>
              <w:jc w:val="both"/>
              <w:rPr>
                <w:rFonts w:ascii="Arial" w:hAnsi="Arial" w:cs="Arial"/>
                <w:color w:val="000000"/>
                <w:sz w:val="20"/>
                <w:szCs w:val="20"/>
                <w:lang w:val="es-MX"/>
              </w:rPr>
            </w:pPr>
          </w:p>
          <w:p w14:paraId="0FDA827A" w14:textId="77777777" w:rsidR="00C164FA" w:rsidRPr="008D4FEB" w:rsidRDefault="00C164FA" w:rsidP="00C164FA">
            <w:pPr>
              <w:ind w:left="170" w:right="198"/>
              <w:jc w:val="both"/>
              <w:rPr>
                <w:rFonts w:ascii="Arial" w:hAnsi="Arial" w:cs="Arial"/>
                <w:b/>
                <w:color w:val="000000"/>
                <w:sz w:val="20"/>
                <w:szCs w:val="20"/>
                <w:lang w:val="es-MX"/>
              </w:rPr>
            </w:pPr>
            <w:r w:rsidRPr="008D4FEB">
              <w:rPr>
                <w:rFonts w:ascii="Arial" w:hAnsi="Arial" w:cs="Arial"/>
                <w:b/>
                <w:color w:val="000000"/>
                <w:sz w:val="20"/>
                <w:szCs w:val="20"/>
                <w:lang w:val="es-MX"/>
              </w:rPr>
              <w:t>Consideraciones.</w:t>
            </w:r>
          </w:p>
          <w:p w14:paraId="4CCC49E0" w14:textId="77777777" w:rsidR="00C164FA" w:rsidRPr="008D4FEB" w:rsidRDefault="00C164FA" w:rsidP="00C164FA">
            <w:pPr>
              <w:ind w:left="170" w:right="198"/>
              <w:jc w:val="both"/>
              <w:rPr>
                <w:rFonts w:ascii="Arial" w:hAnsi="Arial" w:cs="Arial"/>
                <w:color w:val="000000"/>
                <w:sz w:val="20"/>
                <w:szCs w:val="20"/>
                <w:lang w:val="es-MX"/>
              </w:rPr>
            </w:pPr>
          </w:p>
          <w:p w14:paraId="543B021F" w14:textId="77777777" w:rsidR="00C164FA" w:rsidRPr="008D4FEB" w:rsidRDefault="00C164FA" w:rsidP="00C164FA">
            <w:pPr>
              <w:ind w:left="170" w:right="198"/>
              <w:jc w:val="both"/>
              <w:rPr>
                <w:rFonts w:ascii="Arial" w:hAnsi="Arial" w:cs="Arial"/>
                <w:color w:val="000000"/>
                <w:sz w:val="20"/>
                <w:szCs w:val="20"/>
                <w:lang w:val="es-MX"/>
              </w:rPr>
            </w:pPr>
            <w:r w:rsidRPr="008D4FEB">
              <w:rPr>
                <w:rFonts w:ascii="Arial" w:hAnsi="Arial" w:cs="Arial"/>
                <w:color w:val="000000"/>
                <w:sz w:val="20"/>
                <w:szCs w:val="20"/>
                <w:lang w:val="es-MX"/>
              </w:rPr>
              <w:t>El Pleno de la SCJN, desestimó en la presente acción de inconstitucionalidad respecto de la</w:t>
            </w:r>
            <w:r w:rsidRPr="008D4FEB">
              <w:rPr>
                <w:rFonts w:ascii="Arial" w:hAnsi="Arial" w:cs="Arial"/>
                <w:sz w:val="20"/>
                <w:szCs w:val="20"/>
              </w:rPr>
              <w:t xml:space="preserve"> </w:t>
            </w:r>
            <w:r w:rsidRPr="008D4FEB">
              <w:rPr>
                <w:rFonts w:ascii="Arial" w:hAnsi="Arial" w:cs="Arial"/>
                <w:color w:val="000000"/>
                <w:sz w:val="20"/>
                <w:szCs w:val="20"/>
                <w:lang w:val="es-MX"/>
              </w:rPr>
              <w:t>fracción I del artículo 334 del Código Electoral del Estado de Aguascalientes, al no haberse obtenido una mayoría calificada</w:t>
            </w:r>
            <w:r w:rsidRPr="008D4FEB">
              <w:rPr>
                <w:rFonts w:ascii="Arial" w:hAnsi="Arial" w:cs="Arial"/>
                <w:sz w:val="20"/>
                <w:szCs w:val="20"/>
              </w:rPr>
              <w:t xml:space="preserve"> </w:t>
            </w:r>
            <w:r w:rsidRPr="008D4FEB">
              <w:rPr>
                <w:rFonts w:ascii="Arial" w:hAnsi="Arial" w:cs="Arial"/>
                <w:color w:val="000000"/>
                <w:sz w:val="20"/>
                <w:szCs w:val="20"/>
                <w:lang w:val="es-MX"/>
              </w:rPr>
              <w:t>de conformidad con lo dispuesto en el artículo 105, fracción II, último párrafo de la Constitución Política de los Estados Unidos Mexicanos y, 72 de la Ley Reglamentaria de las Fracciones I y II del Artículo 105 CPEUM.</w:t>
            </w:r>
          </w:p>
          <w:p w14:paraId="76CD40BE" w14:textId="77777777" w:rsidR="00C164FA" w:rsidRPr="008D4FEB" w:rsidRDefault="00C164FA" w:rsidP="00C164FA">
            <w:pPr>
              <w:ind w:left="170" w:right="198"/>
              <w:jc w:val="both"/>
              <w:rPr>
                <w:rFonts w:ascii="Arial" w:hAnsi="Arial" w:cs="Arial"/>
                <w:color w:val="000000"/>
                <w:sz w:val="20"/>
                <w:szCs w:val="20"/>
                <w:lang w:val="es-MX"/>
              </w:rPr>
            </w:pPr>
          </w:p>
          <w:p w14:paraId="3B399EED" w14:textId="77777777" w:rsidR="00C164FA" w:rsidRPr="008D4FEB" w:rsidRDefault="00C164FA" w:rsidP="00C164FA">
            <w:pPr>
              <w:ind w:left="170" w:right="198"/>
              <w:jc w:val="both"/>
              <w:rPr>
                <w:rFonts w:ascii="Arial" w:hAnsi="Arial" w:cs="Arial"/>
                <w:b/>
                <w:color w:val="000000"/>
                <w:sz w:val="20"/>
                <w:szCs w:val="20"/>
                <w:lang w:val="es-MX"/>
              </w:rPr>
            </w:pPr>
            <w:r w:rsidRPr="008D4FEB">
              <w:rPr>
                <w:rFonts w:ascii="Arial" w:hAnsi="Arial" w:cs="Arial"/>
                <w:b/>
                <w:color w:val="000000"/>
                <w:sz w:val="20"/>
                <w:szCs w:val="20"/>
                <w:lang w:val="es-MX"/>
              </w:rPr>
              <w:t>Resolutivo.</w:t>
            </w:r>
          </w:p>
          <w:p w14:paraId="2C92C523" w14:textId="77777777" w:rsidR="00C164FA" w:rsidRPr="008D4FEB" w:rsidRDefault="00C164FA" w:rsidP="00C164FA">
            <w:pPr>
              <w:ind w:left="170" w:right="198"/>
              <w:jc w:val="both"/>
              <w:rPr>
                <w:rFonts w:ascii="Arial" w:hAnsi="Arial" w:cs="Arial"/>
                <w:b/>
                <w:color w:val="000000"/>
                <w:sz w:val="20"/>
                <w:szCs w:val="20"/>
                <w:lang w:val="es-MX"/>
              </w:rPr>
            </w:pPr>
            <w:r w:rsidRPr="008D4FEB">
              <w:rPr>
                <w:rFonts w:ascii="Arial" w:hAnsi="Arial" w:cs="Arial"/>
                <w:b/>
                <w:color w:val="000000"/>
                <w:sz w:val="20"/>
                <w:szCs w:val="20"/>
                <w:lang w:val="es-MX"/>
              </w:rPr>
              <w:lastRenderedPageBreak/>
              <w:t>.</w:t>
            </w:r>
          </w:p>
          <w:p w14:paraId="15A19DCB" w14:textId="77777777" w:rsidR="00C164FA" w:rsidRPr="008D4FEB" w:rsidRDefault="00C164FA" w:rsidP="00C164FA">
            <w:pPr>
              <w:ind w:left="170" w:right="198"/>
              <w:jc w:val="both"/>
              <w:rPr>
                <w:rFonts w:ascii="Arial" w:hAnsi="Arial" w:cs="Arial"/>
                <w:b/>
                <w:color w:val="000000"/>
                <w:sz w:val="20"/>
                <w:szCs w:val="20"/>
                <w:lang w:val="es-MX"/>
              </w:rPr>
            </w:pPr>
            <w:r w:rsidRPr="008D4FEB">
              <w:rPr>
                <w:rFonts w:ascii="Arial" w:hAnsi="Arial" w:cs="Arial"/>
                <w:b/>
                <w:color w:val="000000"/>
                <w:sz w:val="20"/>
                <w:szCs w:val="20"/>
                <w:lang w:val="es-MX"/>
              </w:rPr>
              <w:t>.</w:t>
            </w:r>
          </w:p>
          <w:p w14:paraId="742F328F" w14:textId="77777777" w:rsidR="00C164FA" w:rsidRPr="008D4FEB" w:rsidRDefault="00C164FA" w:rsidP="00C164FA">
            <w:pPr>
              <w:ind w:left="170" w:right="198"/>
              <w:jc w:val="both"/>
              <w:rPr>
                <w:rFonts w:ascii="Arial" w:hAnsi="Arial" w:cs="Arial"/>
                <w:b/>
                <w:color w:val="000000"/>
                <w:sz w:val="20"/>
                <w:szCs w:val="20"/>
                <w:lang w:val="es-MX"/>
              </w:rPr>
            </w:pPr>
            <w:r w:rsidRPr="008D4FEB">
              <w:rPr>
                <w:rFonts w:ascii="Arial" w:hAnsi="Arial" w:cs="Arial"/>
                <w:b/>
                <w:color w:val="000000"/>
                <w:sz w:val="20"/>
                <w:szCs w:val="20"/>
                <w:lang w:val="es-MX"/>
              </w:rPr>
              <w:t>.</w:t>
            </w:r>
          </w:p>
          <w:p w14:paraId="51B39288" w14:textId="77777777" w:rsidR="00C164FA" w:rsidRPr="008D4FEB" w:rsidRDefault="00C164FA" w:rsidP="00C164FA">
            <w:pPr>
              <w:ind w:left="170" w:right="198"/>
              <w:jc w:val="both"/>
              <w:rPr>
                <w:rFonts w:ascii="Arial" w:hAnsi="Arial" w:cs="Arial"/>
                <w:b/>
                <w:color w:val="000000"/>
                <w:sz w:val="20"/>
                <w:szCs w:val="20"/>
                <w:lang w:val="es-MX"/>
              </w:rPr>
            </w:pPr>
            <w:r w:rsidRPr="008D4FEB">
              <w:rPr>
                <w:rFonts w:ascii="Arial" w:hAnsi="Arial" w:cs="Arial"/>
                <w:b/>
                <w:color w:val="000000"/>
                <w:sz w:val="20"/>
                <w:szCs w:val="20"/>
                <w:lang w:val="es-MX"/>
              </w:rPr>
              <w:t>(…)</w:t>
            </w:r>
          </w:p>
          <w:p w14:paraId="71094B89" w14:textId="77777777" w:rsidR="00C164FA" w:rsidRPr="008D4FEB" w:rsidRDefault="00C164FA" w:rsidP="00C164FA">
            <w:pPr>
              <w:ind w:left="170" w:right="198"/>
              <w:jc w:val="both"/>
              <w:rPr>
                <w:rFonts w:ascii="Arial" w:hAnsi="Arial" w:cs="Arial"/>
                <w:b/>
                <w:color w:val="000000"/>
                <w:sz w:val="20"/>
                <w:szCs w:val="20"/>
                <w:lang w:val="es-MX"/>
              </w:rPr>
            </w:pPr>
          </w:p>
          <w:p w14:paraId="0CA3C8B3" w14:textId="77777777" w:rsidR="00C164FA" w:rsidRPr="008D4FEB" w:rsidRDefault="00C164FA" w:rsidP="00C164FA">
            <w:pPr>
              <w:ind w:left="170" w:right="198"/>
              <w:rPr>
                <w:rFonts w:ascii="Arial" w:hAnsi="Arial" w:cs="Arial"/>
                <w:color w:val="000000"/>
                <w:sz w:val="20"/>
                <w:szCs w:val="20"/>
                <w:lang w:val="es-MX"/>
              </w:rPr>
            </w:pPr>
            <w:r w:rsidRPr="008D4FEB">
              <w:rPr>
                <w:rFonts w:ascii="Arial" w:hAnsi="Arial" w:cs="Arial"/>
                <w:b/>
                <w:color w:val="000000"/>
                <w:sz w:val="20"/>
                <w:szCs w:val="20"/>
                <w:lang w:val="es-MX"/>
              </w:rPr>
              <w:t>CUARTO.</w:t>
            </w:r>
            <w:r w:rsidRPr="008D4FEB">
              <w:rPr>
                <w:rFonts w:ascii="Arial" w:hAnsi="Arial" w:cs="Arial"/>
                <w:color w:val="000000"/>
                <w:sz w:val="20"/>
                <w:szCs w:val="20"/>
                <w:lang w:val="es-MX"/>
              </w:rPr>
              <w:t xml:space="preserve"> Se desestiman las presentes acciones de inconstitucionalidad respecto de los artículos 118 y 334, fracción I, del Código Electoral del Estado de Aguascalientes, en términos de los considerandos séptimo y décimo tercero de esta resolución.</w:t>
            </w:r>
          </w:p>
          <w:p w14:paraId="02572D4F" w14:textId="77777777" w:rsidR="00C164FA" w:rsidRPr="008D4FEB" w:rsidRDefault="00C164FA" w:rsidP="00C164FA">
            <w:pPr>
              <w:ind w:left="170" w:right="198"/>
              <w:jc w:val="both"/>
              <w:rPr>
                <w:rFonts w:ascii="Arial" w:hAnsi="Arial" w:cs="Arial"/>
                <w:color w:val="000000"/>
                <w:sz w:val="20"/>
                <w:szCs w:val="20"/>
                <w:lang w:val="es-MX"/>
              </w:rPr>
            </w:pPr>
          </w:p>
          <w:p w14:paraId="6571DE9A" w14:textId="77777777" w:rsidR="00C164FA" w:rsidRPr="008D4FEB" w:rsidRDefault="00C164FA" w:rsidP="00C164FA">
            <w:pPr>
              <w:ind w:left="170" w:right="198"/>
              <w:jc w:val="both"/>
              <w:rPr>
                <w:rFonts w:ascii="Arial" w:hAnsi="Arial" w:cs="Arial"/>
                <w:b/>
                <w:color w:val="000000"/>
                <w:sz w:val="20"/>
                <w:szCs w:val="20"/>
                <w:lang w:val="es-MX"/>
              </w:rPr>
            </w:pPr>
            <w:r w:rsidRPr="008D4FEB">
              <w:rPr>
                <w:rFonts w:ascii="Arial" w:hAnsi="Arial" w:cs="Arial"/>
                <w:b/>
                <w:color w:val="000000"/>
                <w:sz w:val="20"/>
                <w:szCs w:val="20"/>
                <w:lang w:val="es-MX"/>
              </w:rPr>
              <w:t>Votación.</w:t>
            </w:r>
          </w:p>
          <w:p w14:paraId="5C75AEE9" w14:textId="77777777" w:rsidR="00C164FA" w:rsidRPr="008D4FEB" w:rsidRDefault="00C164FA" w:rsidP="00C164FA">
            <w:pPr>
              <w:ind w:left="170" w:right="198"/>
              <w:jc w:val="both"/>
              <w:rPr>
                <w:rFonts w:ascii="Arial" w:hAnsi="Arial" w:cs="Arial"/>
                <w:b/>
                <w:color w:val="000000"/>
                <w:sz w:val="20"/>
                <w:szCs w:val="20"/>
                <w:lang w:val="es-MX"/>
              </w:rPr>
            </w:pPr>
            <w:r w:rsidRPr="008D4FEB">
              <w:rPr>
                <w:rFonts w:ascii="Arial" w:hAnsi="Arial" w:cs="Arial"/>
                <w:b/>
                <w:color w:val="000000"/>
                <w:sz w:val="20"/>
                <w:szCs w:val="20"/>
                <w:lang w:val="es-MX"/>
              </w:rPr>
              <w:t>.</w:t>
            </w:r>
          </w:p>
          <w:p w14:paraId="29C3FFE1" w14:textId="77777777" w:rsidR="00C164FA" w:rsidRPr="008D4FEB" w:rsidRDefault="00C164FA" w:rsidP="00C164FA">
            <w:pPr>
              <w:ind w:left="170" w:right="198"/>
              <w:jc w:val="both"/>
              <w:rPr>
                <w:rFonts w:ascii="Arial" w:hAnsi="Arial" w:cs="Arial"/>
                <w:b/>
                <w:color w:val="000000"/>
                <w:sz w:val="20"/>
                <w:szCs w:val="20"/>
                <w:lang w:val="es-MX"/>
              </w:rPr>
            </w:pPr>
            <w:r w:rsidRPr="008D4FEB">
              <w:rPr>
                <w:rFonts w:ascii="Arial" w:hAnsi="Arial" w:cs="Arial"/>
                <w:b/>
                <w:color w:val="000000"/>
                <w:sz w:val="20"/>
                <w:szCs w:val="20"/>
                <w:lang w:val="es-MX"/>
              </w:rPr>
              <w:t>.</w:t>
            </w:r>
          </w:p>
          <w:p w14:paraId="5F3C2F68" w14:textId="77777777" w:rsidR="00C164FA" w:rsidRPr="008D4FEB" w:rsidRDefault="00C164FA" w:rsidP="00C164FA">
            <w:pPr>
              <w:ind w:left="170" w:right="198"/>
              <w:jc w:val="both"/>
              <w:rPr>
                <w:rFonts w:ascii="Arial" w:hAnsi="Arial" w:cs="Arial"/>
                <w:b/>
                <w:color w:val="000000"/>
                <w:sz w:val="20"/>
                <w:szCs w:val="20"/>
                <w:lang w:val="es-MX"/>
              </w:rPr>
            </w:pPr>
            <w:r w:rsidRPr="008D4FEB">
              <w:rPr>
                <w:rFonts w:ascii="Arial" w:hAnsi="Arial" w:cs="Arial"/>
                <w:b/>
                <w:color w:val="000000"/>
                <w:sz w:val="20"/>
                <w:szCs w:val="20"/>
                <w:lang w:val="es-MX"/>
              </w:rPr>
              <w:t>.</w:t>
            </w:r>
          </w:p>
          <w:p w14:paraId="22F38C5D" w14:textId="77777777" w:rsidR="00C164FA" w:rsidRPr="008D4FEB" w:rsidRDefault="00C164FA" w:rsidP="00C164FA">
            <w:pPr>
              <w:ind w:left="170" w:right="198"/>
              <w:jc w:val="both"/>
              <w:rPr>
                <w:rFonts w:ascii="Arial" w:hAnsi="Arial" w:cs="Arial"/>
                <w:b/>
                <w:color w:val="000000"/>
                <w:sz w:val="20"/>
                <w:szCs w:val="20"/>
                <w:lang w:val="es-MX"/>
              </w:rPr>
            </w:pPr>
            <w:r w:rsidRPr="008D4FEB">
              <w:rPr>
                <w:rFonts w:ascii="Arial" w:hAnsi="Arial" w:cs="Arial"/>
                <w:b/>
                <w:color w:val="000000"/>
                <w:sz w:val="20"/>
                <w:szCs w:val="20"/>
                <w:lang w:val="es-MX"/>
              </w:rPr>
              <w:t>(…)</w:t>
            </w:r>
          </w:p>
          <w:p w14:paraId="745C8E9E" w14:textId="77777777" w:rsidR="00C164FA" w:rsidRPr="008D4FEB" w:rsidRDefault="00C164FA" w:rsidP="00C164FA">
            <w:pPr>
              <w:ind w:left="170" w:right="198"/>
              <w:jc w:val="both"/>
              <w:rPr>
                <w:rFonts w:ascii="Arial" w:hAnsi="Arial" w:cs="Arial"/>
                <w:color w:val="000000"/>
                <w:sz w:val="20"/>
                <w:szCs w:val="20"/>
                <w:lang w:val="es-MX"/>
              </w:rPr>
            </w:pPr>
          </w:p>
          <w:p w14:paraId="69C54F85" w14:textId="77777777" w:rsidR="00353CFC" w:rsidRDefault="00C164FA" w:rsidP="00C164FA">
            <w:pPr>
              <w:ind w:left="170" w:right="198"/>
              <w:jc w:val="both"/>
              <w:rPr>
                <w:rFonts w:ascii="Arial" w:hAnsi="Arial" w:cs="Arial"/>
                <w:color w:val="000000"/>
                <w:sz w:val="20"/>
                <w:szCs w:val="20"/>
                <w:lang w:val="es-MX"/>
              </w:rPr>
            </w:pPr>
            <w:r w:rsidRPr="008D4FEB">
              <w:rPr>
                <w:rFonts w:ascii="Arial" w:hAnsi="Arial" w:cs="Arial"/>
                <w:color w:val="000000"/>
                <w:sz w:val="20"/>
                <w:szCs w:val="20"/>
                <w:lang w:val="es-MX"/>
              </w:rPr>
              <w:t xml:space="preserve">En relación con el punto resolutivo Cuarto se resolvió por mayoría de seis votos de los Ministros Cossío Díaz, Góngora Pimentel, Valls Hernández, Sánchez Cordero de García Villegas, Silva Meza y Presidente Ortiz </w:t>
            </w:r>
            <w:proofErr w:type="spellStart"/>
            <w:r w:rsidRPr="008D4FEB">
              <w:rPr>
                <w:rFonts w:ascii="Arial" w:hAnsi="Arial" w:cs="Arial"/>
                <w:color w:val="000000"/>
                <w:sz w:val="20"/>
                <w:szCs w:val="20"/>
                <w:lang w:val="es-MX"/>
              </w:rPr>
              <w:t>Mayagoitia</w:t>
            </w:r>
            <w:proofErr w:type="spellEnd"/>
            <w:r w:rsidRPr="008D4FEB">
              <w:rPr>
                <w:rFonts w:ascii="Arial" w:hAnsi="Arial" w:cs="Arial"/>
                <w:color w:val="000000"/>
                <w:sz w:val="20"/>
                <w:szCs w:val="20"/>
                <w:lang w:val="es-MX"/>
              </w:rPr>
              <w:t xml:space="preserve"> con salvedades, en cuanto a declarar la invalidez del artículo 118 del Código Electoral del Estado de Aguascalientes; los Ministros Aguirre Anguiano, Luna Ramos, Franco González Salas y Azuela Güitrón votaron en contra y por reconocer la validez de dicho precepto; y por mayoría de seis votos de los Ministros Cossío Díaz, Góngora Pimentel, Gudiño Pelayo, Valls Hernández, Sánchez Cordero de García Villegas y Silva Meza se aprobó la propuesta del proyecto en cuanto a declarar la invalidez del artículo 334, fracción I, del Código Electoral del Estado de Aguascalientes; los Ministros Aguirre Anguiano, Luna Ramos, Franco González Salas y Presidente Ortiz </w:t>
            </w:r>
            <w:proofErr w:type="spellStart"/>
            <w:r w:rsidRPr="008D4FEB">
              <w:rPr>
                <w:rFonts w:ascii="Arial" w:hAnsi="Arial" w:cs="Arial"/>
                <w:color w:val="000000"/>
                <w:sz w:val="20"/>
                <w:szCs w:val="20"/>
                <w:lang w:val="es-MX"/>
              </w:rPr>
              <w:t>Mayagoitia</w:t>
            </w:r>
            <w:proofErr w:type="spellEnd"/>
            <w:r w:rsidRPr="008D4FEB">
              <w:rPr>
                <w:rFonts w:ascii="Arial" w:hAnsi="Arial" w:cs="Arial"/>
                <w:color w:val="000000"/>
                <w:sz w:val="20"/>
                <w:szCs w:val="20"/>
                <w:lang w:val="es-MX"/>
              </w:rPr>
              <w:t xml:space="preserve"> votaron en contra. En consecuencia, por unanimidad de votos se desestimaron las acciones de inconstitucionalidad respecto de dichos preceptos.</w:t>
            </w:r>
          </w:p>
          <w:p w14:paraId="7F36992E" w14:textId="77777777" w:rsidR="00C164FA" w:rsidRDefault="00C164FA" w:rsidP="00C164FA">
            <w:pPr>
              <w:ind w:left="170" w:right="198"/>
              <w:jc w:val="both"/>
              <w:rPr>
                <w:rFonts w:ascii="Arial" w:hAnsi="Arial" w:cs="Arial"/>
                <w:color w:val="000000"/>
                <w:sz w:val="20"/>
                <w:szCs w:val="20"/>
                <w:lang w:val="es-MX"/>
              </w:rPr>
            </w:pPr>
          </w:p>
          <w:p w14:paraId="03F340C6" w14:textId="5188912F" w:rsidR="00C164FA" w:rsidRPr="00C164FA" w:rsidRDefault="00C164FA" w:rsidP="00C164FA">
            <w:pPr>
              <w:ind w:left="170" w:right="198"/>
              <w:jc w:val="both"/>
              <w:rPr>
                <w:rFonts w:ascii="Arial" w:hAnsi="Arial" w:cs="Arial"/>
                <w:color w:val="000000"/>
                <w:sz w:val="20"/>
                <w:szCs w:val="20"/>
                <w:lang w:val="es-MX"/>
              </w:rPr>
            </w:pPr>
          </w:p>
        </w:tc>
      </w:tr>
      <w:tr w:rsidR="00353CFC" w:rsidRPr="00ED2D84" w14:paraId="7D7939B3" w14:textId="77777777" w:rsidTr="00710CBB">
        <w:trPr>
          <w:trHeight w:val="167"/>
        </w:trPr>
        <w:tc>
          <w:tcPr>
            <w:tcW w:w="1877" w:type="dxa"/>
          </w:tcPr>
          <w:p w14:paraId="1FD8FDCD" w14:textId="77777777" w:rsidR="00353CFC" w:rsidRPr="008D4FEB" w:rsidRDefault="00AF100A" w:rsidP="00353CFC">
            <w:pPr>
              <w:ind w:left="170" w:right="198"/>
              <w:jc w:val="center"/>
              <w:rPr>
                <w:rFonts w:ascii="Arial" w:hAnsi="Arial" w:cs="Arial"/>
                <w:color w:val="000000"/>
                <w:sz w:val="20"/>
                <w:szCs w:val="20"/>
                <w:lang w:val="es-MX"/>
              </w:rPr>
            </w:pPr>
            <w:hyperlink r:id="rId28" w:history="1">
              <w:r w:rsidR="00353CFC" w:rsidRPr="008D4FEB">
                <w:rPr>
                  <w:rStyle w:val="Hipervnculo"/>
                  <w:rFonts w:ascii="Arial" w:hAnsi="Arial" w:cs="Arial"/>
                  <w:sz w:val="20"/>
                  <w:szCs w:val="20"/>
                  <w:lang w:val="es-MX"/>
                </w:rPr>
                <w:t>63/2009 Y SUS ACUMULADAS 64/2009 Y 65/2009</w:t>
              </w:r>
            </w:hyperlink>
          </w:p>
          <w:p w14:paraId="628D5E9D" w14:textId="77777777" w:rsidR="00353CFC" w:rsidRPr="008D4FEB" w:rsidRDefault="00353CFC" w:rsidP="00353CFC">
            <w:pPr>
              <w:ind w:left="170" w:right="198"/>
              <w:jc w:val="center"/>
              <w:rPr>
                <w:rFonts w:ascii="Arial" w:hAnsi="Arial" w:cs="Arial"/>
                <w:color w:val="000000"/>
                <w:sz w:val="20"/>
                <w:szCs w:val="20"/>
                <w:lang w:val="es-MX"/>
              </w:rPr>
            </w:pPr>
          </w:p>
          <w:p w14:paraId="1CB11285" w14:textId="64738F44" w:rsidR="00353CFC" w:rsidRDefault="00353CFC" w:rsidP="00353CFC">
            <w:pPr>
              <w:pStyle w:val="TableParagraph"/>
              <w:spacing w:before="240" w:after="240" w:line="240" w:lineRule="exact"/>
              <w:ind w:left="57" w:right="57"/>
              <w:contextualSpacing/>
              <w:jc w:val="center"/>
            </w:pPr>
            <w:r w:rsidRPr="008D4FEB">
              <w:rPr>
                <w:rFonts w:ascii="Arial" w:hAnsi="Arial" w:cs="Arial"/>
                <w:color w:val="000000"/>
                <w:sz w:val="20"/>
                <w:szCs w:val="20"/>
                <w:lang w:val="es-MX"/>
              </w:rPr>
              <w:t>Chihuahua</w:t>
            </w:r>
          </w:p>
        </w:tc>
        <w:tc>
          <w:tcPr>
            <w:tcW w:w="12294" w:type="dxa"/>
          </w:tcPr>
          <w:p w14:paraId="404C0290" w14:textId="77777777" w:rsidR="00353CFC" w:rsidRPr="009B33DD" w:rsidRDefault="00353CFC" w:rsidP="00353CFC">
            <w:pPr>
              <w:pStyle w:val="Prrafodelista"/>
              <w:numPr>
                <w:ilvl w:val="0"/>
                <w:numId w:val="9"/>
              </w:numPr>
              <w:ind w:left="252" w:right="198" w:hanging="142"/>
              <w:jc w:val="both"/>
              <w:rPr>
                <w:rFonts w:ascii="Arial" w:hAnsi="Arial" w:cs="Arial"/>
                <w:b/>
                <w:color w:val="000000"/>
                <w:sz w:val="20"/>
                <w:szCs w:val="20"/>
                <w:lang w:val="es-MX"/>
              </w:rPr>
            </w:pPr>
            <w:r w:rsidRPr="009B33DD">
              <w:rPr>
                <w:rFonts w:ascii="Arial" w:hAnsi="Arial" w:cs="Arial"/>
                <w:b/>
                <w:color w:val="000000"/>
                <w:sz w:val="20"/>
                <w:szCs w:val="20"/>
                <w:lang w:val="es-MX"/>
              </w:rPr>
              <w:t>OCTAVO. Procesos de fiscalización extraordinarios.</w:t>
            </w:r>
          </w:p>
          <w:p w14:paraId="3F0B2681" w14:textId="77777777" w:rsidR="00353CFC" w:rsidRPr="008D4FEB" w:rsidRDefault="00353CFC" w:rsidP="00353CFC">
            <w:pPr>
              <w:ind w:left="170" w:right="198"/>
              <w:jc w:val="both"/>
              <w:rPr>
                <w:rFonts w:ascii="Arial" w:hAnsi="Arial" w:cs="Arial"/>
                <w:b/>
                <w:color w:val="000000"/>
                <w:sz w:val="20"/>
                <w:szCs w:val="20"/>
                <w:lang w:val="es-MX"/>
              </w:rPr>
            </w:pPr>
          </w:p>
          <w:p w14:paraId="29D0F4B0" w14:textId="77777777" w:rsidR="00353CFC" w:rsidRPr="008D4FEB" w:rsidRDefault="00353CFC" w:rsidP="00353CFC">
            <w:pPr>
              <w:ind w:left="170" w:right="198"/>
              <w:jc w:val="both"/>
              <w:rPr>
                <w:rFonts w:ascii="Arial" w:hAnsi="Arial" w:cs="Arial"/>
                <w:color w:val="000000"/>
                <w:sz w:val="20"/>
                <w:szCs w:val="20"/>
                <w:lang w:val="es-MX"/>
              </w:rPr>
            </w:pPr>
            <w:r w:rsidRPr="008D4FEB">
              <w:rPr>
                <w:rFonts w:ascii="Arial" w:hAnsi="Arial" w:cs="Arial"/>
                <w:color w:val="000000"/>
                <w:sz w:val="20"/>
                <w:szCs w:val="20"/>
                <w:lang w:val="es-MX"/>
              </w:rPr>
              <w:t xml:space="preserve">El partido del Trabajo impugnó el artículo 64, de la Ley Electoral del Estado de Chihuahua consideró que es inconstitucional </w:t>
            </w:r>
            <w:r w:rsidRPr="008D4FEB">
              <w:rPr>
                <w:rFonts w:ascii="Arial" w:hAnsi="Arial" w:cs="Arial"/>
                <w:sz w:val="20"/>
                <w:szCs w:val="20"/>
              </w:rPr>
              <w:t xml:space="preserve">en </w:t>
            </w:r>
            <w:r w:rsidRPr="008D4FEB">
              <w:rPr>
                <w:rFonts w:ascii="Arial" w:hAnsi="Arial" w:cs="Arial"/>
                <w:color w:val="000000"/>
                <w:sz w:val="20"/>
                <w:szCs w:val="20"/>
                <w:lang w:val="es-MX"/>
              </w:rPr>
              <w:t>establecer que previo acuerdo del Consejo General del Instituto Electoral del Estado de Chihuahua, la Comisión de Fiscalización de los Recursos de los Partidos y Agrupaciones Políticas, podrá abrir procesos extraordinarios de fiscalización con plazos diferentes a los establecidos en el artículo 63 de la misma Ley. lo cual transgrede las garantías de audiencia y debido proceso legal, así como el artículo 116 fracción IV, incisos b) y l) de la Constitución Federal.</w:t>
            </w:r>
          </w:p>
          <w:p w14:paraId="5047C4E6" w14:textId="77777777" w:rsidR="00353CFC" w:rsidRPr="008D4FEB" w:rsidRDefault="00353CFC" w:rsidP="00353CFC">
            <w:pPr>
              <w:ind w:left="170" w:right="198"/>
              <w:jc w:val="both"/>
              <w:rPr>
                <w:rFonts w:ascii="Arial" w:hAnsi="Arial" w:cs="Arial"/>
                <w:color w:val="000000"/>
                <w:sz w:val="20"/>
                <w:szCs w:val="20"/>
                <w:lang w:val="es-MX"/>
              </w:rPr>
            </w:pPr>
          </w:p>
          <w:p w14:paraId="6C5997E6" w14:textId="77777777" w:rsidR="00353CFC" w:rsidRPr="008D4FEB" w:rsidRDefault="00353CFC" w:rsidP="00353CFC">
            <w:pPr>
              <w:ind w:left="170" w:right="198"/>
              <w:jc w:val="both"/>
              <w:rPr>
                <w:rFonts w:ascii="Arial" w:hAnsi="Arial" w:cs="Arial"/>
                <w:b/>
                <w:color w:val="000000"/>
                <w:sz w:val="20"/>
                <w:szCs w:val="20"/>
                <w:lang w:val="es-MX"/>
              </w:rPr>
            </w:pPr>
            <w:r w:rsidRPr="008D4FEB">
              <w:rPr>
                <w:rFonts w:ascii="Arial" w:hAnsi="Arial" w:cs="Arial"/>
                <w:b/>
                <w:color w:val="000000"/>
                <w:sz w:val="20"/>
                <w:szCs w:val="20"/>
                <w:lang w:val="es-MX"/>
              </w:rPr>
              <w:t>Consideraciones.</w:t>
            </w:r>
          </w:p>
          <w:p w14:paraId="4425456B" w14:textId="77777777" w:rsidR="00353CFC" w:rsidRPr="008D4FEB" w:rsidRDefault="00353CFC" w:rsidP="00353CFC">
            <w:pPr>
              <w:ind w:left="170" w:right="198"/>
              <w:jc w:val="both"/>
              <w:rPr>
                <w:rFonts w:ascii="Arial" w:hAnsi="Arial" w:cs="Arial"/>
                <w:color w:val="000000"/>
                <w:sz w:val="20"/>
                <w:szCs w:val="20"/>
                <w:lang w:val="es-MX"/>
              </w:rPr>
            </w:pPr>
          </w:p>
          <w:p w14:paraId="64E5053E" w14:textId="77777777" w:rsidR="00353CFC" w:rsidRPr="008D4FEB" w:rsidRDefault="00353CFC" w:rsidP="00353CFC">
            <w:pPr>
              <w:ind w:left="170" w:right="198"/>
              <w:jc w:val="both"/>
              <w:rPr>
                <w:rFonts w:ascii="Arial" w:hAnsi="Arial" w:cs="Arial"/>
                <w:color w:val="000000"/>
                <w:sz w:val="20"/>
                <w:szCs w:val="20"/>
                <w:lang w:val="es-MX"/>
              </w:rPr>
            </w:pPr>
            <w:r w:rsidRPr="008D4FEB">
              <w:rPr>
                <w:rFonts w:ascii="Arial" w:hAnsi="Arial" w:cs="Arial"/>
                <w:color w:val="000000"/>
                <w:sz w:val="20"/>
                <w:szCs w:val="20"/>
                <w:lang w:val="es-MX"/>
              </w:rPr>
              <w:t xml:space="preserve">El Alto Tribunal reconoció la validez del articulo controvertido, ya que no resulta violatoria de la CPEUM, pues su artículo 116, fracción IV, inciso h) es claro en ordenar que las leyes electorales de los Estados deberán establecer los procedimientos para el control y </w:t>
            </w:r>
            <w:r w:rsidRPr="008D4FEB">
              <w:rPr>
                <w:rFonts w:ascii="Arial" w:hAnsi="Arial" w:cs="Arial"/>
                <w:color w:val="000000"/>
                <w:sz w:val="20"/>
                <w:szCs w:val="20"/>
                <w:lang w:val="es-MX"/>
              </w:rPr>
              <w:lastRenderedPageBreak/>
              <w:t>vigilancia del origen y uso de todos los recursos con que cuenten los partidos políticos, lo que significa que éstos se encuentran sujetos a procesos de control de los medios económicos que reciben para la realización de sus fines, pero fundamentalmente explica en primer término, la constitucionalidad de la norma combatida, toda vez que el legislador ordinario debe fijar procedimientos de esa naturaleza, sin que se advierta limitación alguna constitucional respecto de los tipos de procedimiento que cada Entidad Federativa estime pertinente establecer, para vigilar el correcto origen y destino de los recursos que manejan los partidos políticos. Luego, si la Constitución Federal ordena la existencia de procedimientos de fiscalización y no prohíbe aquellos que tengan el carácter de extraordinarios, por ende, los contemplados en la Ley reclamada no atentan contra lo dispuesto en el artículo 116 constitucional, pues finalmente se trata de un tipo de control de los recursos de los partidos políticos.</w:t>
            </w:r>
          </w:p>
          <w:p w14:paraId="41070087" w14:textId="77777777" w:rsidR="00353CFC" w:rsidRPr="008D4FEB" w:rsidRDefault="00353CFC" w:rsidP="00353CFC">
            <w:pPr>
              <w:ind w:left="170" w:right="198"/>
              <w:jc w:val="both"/>
              <w:rPr>
                <w:rFonts w:ascii="Arial" w:hAnsi="Arial" w:cs="Arial"/>
                <w:b/>
                <w:color w:val="000000"/>
                <w:sz w:val="20"/>
                <w:szCs w:val="20"/>
                <w:lang w:val="es-MX"/>
              </w:rPr>
            </w:pPr>
          </w:p>
          <w:p w14:paraId="44AC0F30" w14:textId="77777777" w:rsidR="00353CFC" w:rsidRPr="008D4FEB" w:rsidRDefault="00353CFC" w:rsidP="00353CFC">
            <w:pPr>
              <w:ind w:left="170" w:right="198"/>
              <w:jc w:val="both"/>
              <w:rPr>
                <w:rFonts w:ascii="Arial" w:hAnsi="Arial" w:cs="Arial"/>
                <w:b/>
                <w:color w:val="000000"/>
                <w:sz w:val="20"/>
                <w:szCs w:val="20"/>
                <w:lang w:val="es-MX"/>
              </w:rPr>
            </w:pPr>
            <w:r w:rsidRPr="008D4FEB">
              <w:rPr>
                <w:rFonts w:ascii="Arial" w:hAnsi="Arial" w:cs="Arial"/>
                <w:b/>
                <w:color w:val="000000"/>
                <w:sz w:val="20"/>
                <w:szCs w:val="20"/>
                <w:lang w:val="es-MX"/>
              </w:rPr>
              <w:t>Resolutivo.</w:t>
            </w:r>
          </w:p>
          <w:p w14:paraId="17CF7D9B" w14:textId="77777777" w:rsidR="00353CFC" w:rsidRPr="008D4FEB" w:rsidRDefault="00353CFC" w:rsidP="00353CFC">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0E125CA2" w14:textId="77777777" w:rsidR="00353CFC" w:rsidRPr="008D4FEB" w:rsidRDefault="00353CFC" w:rsidP="00353CFC">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7178649A" w14:textId="77777777" w:rsidR="00353CFC" w:rsidRPr="008D4FEB" w:rsidRDefault="00353CFC" w:rsidP="00353CFC">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w:t>
            </w:r>
          </w:p>
          <w:p w14:paraId="32B8592A" w14:textId="77777777" w:rsidR="00353CFC" w:rsidRPr="008D4FEB" w:rsidRDefault="00353CFC" w:rsidP="00353CFC">
            <w:pPr>
              <w:pStyle w:val="TableParagraph"/>
              <w:spacing w:before="240" w:after="240" w:line="240" w:lineRule="exact"/>
              <w:ind w:left="170" w:right="198"/>
              <w:contextualSpacing/>
              <w:jc w:val="both"/>
              <w:rPr>
                <w:rFonts w:ascii="Arial" w:hAnsi="Arial" w:cs="Arial"/>
                <w:b/>
                <w:color w:val="000000" w:themeColor="text1"/>
                <w:w w:val="105"/>
                <w:sz w:val="20"/>
                <w:szCs w:val="20"/>
                <w:lang w:val="es-MX"/>
              </w:rPr>
            </w:pPr>
            <w:r w:rsidRPr="008D4FEB">
              <w:rPr>
                <w:rFonts w:ascii="Arial" w:hAnsi="Arial" w:cs="Arial"/>
                <w:b/>
                <w:color w:val="000000" w:themeColor="text1"/>
                <w:w w:val="105"/>
                <w:sz w:val="20"/>
                <w:szCs w:val="20"/>
                <w:lang w:val="es-MX"/>
              </w:rPr>
              <w:t xml:space="preserve">(…) </w:t>
            </w:r>
          </w:p>
          <w:p w14:paraId="6541656A" w14:textId="77777777" w:rsidR="00353CFC" w:rsidRPr="008D4FEB" w:rsidRDefault="00353CFC" w:rsidP="00353CFC">
            <w:pPr>
              <w:ind w:left="170" w:right="198"/>
              <w:jc w:val="both"/>
              <w:rPr>
                <w:rFonts w:ascii="Arial" w:hAnsi="Arial" w:cs="Arial"/>
                <w:b/>
                <w:color w:val="000000"/>
                <w:sz w:val="20"/>
                <w:szCs w:val="20"/>
                <w:lang w:val="es-MX"/>
              </w:rPr>
            </w:pPr>
            <w:r w:rsidRPr="008D4FEB">
              <w:rPr>
                <w:rFonts w:ascii="Arial" w:hAnsi="Arial" w:cs="Arial"/>
                <w:b/>
                <w:color w:val="000000"/>
                <w:sz w:val="20"/>
                <w:szCs w:val="20"/>
                <w:lang w:val="es-MX"/>
              </w:rPr>
              <w:t xml:space="preserve">SEGUNDO. </w:t>
            </w:r>
            <w:r w:rsidRPr="008D4FEB">
              <w:rPr>
                <w:rFonts w:ascii="Arial" w:hAnsi="Arial" w:cs="Arial"/>
                <w:color w:val="000000"/>
                <w:sz w:val="20"/>
                <w:szCs w:val="20"/>
                <w:lang w:val="es-MX"/>
              </w:rPr>
              <w:t>Se reconoce la validez de los artículos 4, 16, 17, 58, 64, 81, 85, 131, 216, 373, 374 y 375 de la Ley Electoral del Estado de Chihuahua, publicada en el Periódico Oficial de dicho Estado el doce de septiembre de dos mil nueve, en las porciones normativas precisadas y en los términos señalados en los considerandos séptimo, octavo, noveno y décimo de esta ejecutoria.</w:t>
            </w:r>
          </w:p>
          <w:p w14:paraId="18DC8673" w14:textId="77777777" w:rsidR="00353CFC" w:rsidRPr="008D4FEB" w:rsidRDefault="00353CFC" w:rsidP="00353CFC">
            <w:pPr>
              <w:ind w:left="170" w:right="198"/>
              <w:jc w:val="both"/>
              <w:rPr>
                <w:rFonts w:ascii="Arial" w:hAnsi="Arial" w:cs="Arial"/>
                <w:b/>
                <w:color w:val="000000"/>
                <w:sz w:val="20"/>
                <w:szCs w:val="20"/>
                <w:lang w:val="es-MX"/>
              </w:rPr>
            </w:pPr>
          </w:p>
          <w:p w14:paraId="5F1EB5AE" w14:textId="77777777" w:rsidR="00353CFC" w:rsidRPr="008D4FEB" w:rsidRDefault="00353CFC" w:rsidP="00353CFC">
            <w:pPr>
              <w:ind w:left="170" w:right="198"/>
              <w:jc w:val="both"/>
              <w:rPr>
                <w:rFonts w:ascii="Arial" w:hAnsi="Arial" w:cs="Arial"/>
                <w:b/>
                <w:color w:val="000000"/>
                <w:sz w:val="20"/>
                <w:szCs w:val="20"/>
                <w:lang w:val="es-MX"/>
              </w:rPr>
            </w:pPr>
            <w:r w:rsidRPr="008D4FEB">
              <w:rPr>
                <w:rFonts w:ascii="Arial" w:hAnsi="Arial" w:cs="Arial"/>
                <w:b/>
                <w:color w:val="000000"/>
                <w:sz w:val="20"/>
                <w:szCs w:val="20"/>
                <w:lang w:val="es-MX"/>
              </w:rPr>
              <w:t>Votación.</w:t>
            </w:r>
          </w:p>
          <w:p w14:paraId="382CAE20" w14:textId="77777777" w:rsidR="00353CFC" w:rsidRPr="008D4FEB" w:rsidRDefault="00353CFC" w:rsidP="00353CFC">
            <w:pPr>
              <w:ind w:left="170" w:right="198"/>
              <w:jc w:val="both"/>
              <w:rPr>
                <w:rFonts w:ascii="Arial" w:hAnsi="Arial" w:cs="Arial"/>
                <w:b/>
                <w:color w:val="000000"/>
                <w:sz w:val="20"/>
                <w:szCs w:val="20"/>
                <w:lang w:val="es-MX"/>
              </w:rPr>
            </w:pPr>
            <w:r w:rsidRPr="008D4FEB">
              <w:rPr>
                <w:rFonts w:ascii="Arial" w:hAnsi="Arial" w:cs="Arial"/>
                <w:b/>
                <w:color w:val="000000"/>
                <w:sz w:val="20"/>
                <w:szCs w:val="20"/>
                <w:lang w:val="es-MX"/>
              </w:rPr>
              <w:t>.</w:t>
            </w:r>
          </w:p>
          <w:p w14:paraId="2520DA44" w14:textId="77777777" w:rsidR="00353CFC" w:rsidRPr="008D4FEB" w:rsidRDefault="00353CFC" w:rsidP="00353CFC">
            <w:pPr>
              <w:ind w:left="170" w:right="198"/>
              <w:jc w:val="both"/>
              <w:rPr>
                <w:rFonts w:ascii="Arial" w:hAnsi="Arial" w:cs="Arial"/>
                <w:b/>
                <w:color w:val="000000"/>
                <w:sz w:val="20"/>
                <w:szCs w:val="20"/>
                <w:lang w:val="es-MX"/>
              </w:rPr>
            </w:pPr>
            <w:r w:rsidRPr="008D4FEB">
              <w:rPr>
                <w:rFonts w:ascii="Arial" w:hAnsi="Arial" w:cs="Arial"/>
                <w:b/>
                <w:color w:val="000000"/>
                <w:sz w:val="20"/>
                <w:szCs w:val="20"/>
                <w:lang w:val="es-MX"/>
              </w:rPr>
              <w:t>.</w:t>
            </w:r>
          </w:p>
          <w:p w14:paraId="786237F8" w14:textId="77777777" w:rsidR="00353CFC" w:rsidRPr="008D4FEB" w:rsidRDefault="00353CFC" w:rsidP="00353CFC">
            <w:pPr>
              <w:ind w:left="170" w:right="198"/>
              <w:jc w:val="both"/>
              <w:rPr>
                <w:rFonts w:ascii="Arial" w:hAnsi="Arial" w:cs="Arial"/>
                <w:b/>
                <w:color w:val="000000"/>
                <w:sz w:val="20"/>
                <w:szCs w:val="20"/>
                <w:lang w:val="es-MX"/>
              </w:rPr>
            </w:pPr>
            <w:r w:rsidRPr="008D4FEB">
              <w:rPr>
                <w:rFonts w:ascii="Arial" w:hAnsi="Arial" w:cs="Arial"/>
                <w:b/>
                <w:color w:val="000000"/>
                <w:sz w:val="20"/>
                <w:szCs w:val="20"/>
                <w:lang w:val="es-MX"/>
              </w:rPr>
              <w:t>.</w:t>
            </w:r>
          </w:p>
          <w:p w14:paraId="6B0A1A0E" w14:textId="77777777" w:rsidR="00353CFC" w:rsidRPr="008D4FEB" w:rsidRDefault="00353CFC" w:rsidP="00353CFC">
            <w:pPr>
              <w:ind w:left="170" w:right="198"/>
              <w:jc w:val="both"/>
              <w:rPr>
                <w:rFonts w:ascii="Arial" w:hAnsi="Arial" w:cs="Arial"/>
                <w:b/>
                <w:color w:val="000000"/>
                <w:sz w:val="20"/>
                <w:szCs w:val="20"/>
                <w:lang w:val="es-MX"/>
              </w:rPr>
            </w:pPr>
            <w:r w:rsidRPr="008D4FEB">
              <w:rPr>
                <w:rFonts w:ascii="Arial" w:hAnsi="Arial" w:cs="Arial"/>
                <w:b/>
                <w:color w:val="000000"/>
                <w:sz w:val="20"/>
                <w:szCs w:val="20"/>
                <w:lang w:val="es-MX"/>
              </w:rPr>
              <w:t>(…)</w:t>
            </w:r>
          </w:p>
          <w:p w14:paraId="7D9679C0" w14:textId="77777777" w:rsidR="00353CFC" w:rsidRPr="008D4FEB" w:rsidRDefault="00353CFC" w:rsidP="00353CFC">
            <w:pPr>
              <w:ind w:left="170" w:right="198"/>
              <w:jc w:val="both"/>
              <w:rPr>
                <w:rFonts w:ascii="Arial" w:hAnsi="Arial" w:cs="Arial"/>
                <w:b/>
                <w:color w:val="000000"/>
                <w:sz w:val="20"/>
                <w:szCs w:val="20"/>
                <w:lang w:val="es-MX"/>
              </w:rPr>
            </w:pPr>
          </w:p>
          <w:p w14:paraId="10C9C5E5" w14:textId="77777777" w:rsidR="00353CFC" w:rsidRPr="008D4FEB" w:rsidRDefault="00353CFC" w:rsidP="00353CFC">
            <w:pPr>
              <w:ind w:left="170" w:right="198"/>
              <w:jc w:val="both"/>
              <w:rPr>
                <w:rFonts w:ascii="Arial" w:hAnsi="Arial" w:cs="Arial"/>
                <w:b/>
                <w:color w:val="000000"/>
                <w:sz w:val="20"/>
                <w:szCs w:val="20"/>
                <w:lang w:val="es-MX"/>
              </w:rPr>
            </w:pPr>
            <w:r w:rsidRPr="008D4FEB">
              <w:rPr>
                <w:rFonts w:ascii="Arial" w:hAnsi="Arial" w:cs="Arial"/>
                <w:b/>
                <w:color w:val="000000"/>
                <w:sz w:val="20"/>
                <w:szCs w:val="20"/>
                <w:lang w:val="es-MX"/>
              </w:rPr>
              <w:t xml:space="preserve">En relación con el punto resolutivo Segundo: </w:t>
            </w:r>
          </w:p>
          <w:p w14:paraId="27B9A182" w14:textId="77777777" w:rsidR="00353CFC" w:rsidRPr="008D4FEB" w:rsidRDefault="00353CFC" w:rsidP="00353CFC">
            <w:pPr>
              <w:ind w:left="170" w:right="198"/>
              <w:jc w:val="both"/>
              <w:rPr>
                <w:rFonts w:ascii="Arial" w:hAnsi="Arial" w:cs="Arial"/>
                <w:b/>
                <w:color w:val="000000"/>
                <w:sz w:val="20"/>
                <w:szCs w:val="20"/>
                <w:lang w:val="es-MX"/>
              </w:rPr>
            </w:pPr>
          </w:p>
          <w:p w14:paraId="1775BE5D" w14:textId="77777777" w:rsidR="00353CFC" w:rsidRPr="008D4FEB" w:rsidRDefault="00353CFC" w:rsidP="00353CFC">
            <w:pPr>
              <w:ind w:left="170" w:right="198"/>
              <w:jc w:val="both"/>
              <w:rPr>
                <w:rFonts w:ascii="Arial" w:hAnsi="Arial" w:cs="Arial"/>
                <w:color w:val="000000"/>
                <w:sz w:val="20"/>
                <w:szCs w:val="20"/>
                <w:lang w:val="es-MX"/>
              </w:rPr>
            </w:pPr>
            <w:r w:rsidRPr="008D4FEB">
              <w:rPr>
                <w:rFonts w:ascii="Arial" w:hAnsi="Arial" w:cs="Arial"/>
                <w:color w:val="000000"/>
                <w:sz w:val="20"/>
                <w:szCs w:val="20"/>
                <w:lang w:val="es-MX"/>
              </w:rPr>
              <w:t xml:space="preserve">Se aprobó por unanimidad de 9 votos de los </w:t>
            </w:r>
            <w:proofErr w:type="gramStart"/>
            <w:r w:rsidRPr="008D4FEB">
              <w:rPr>
                <w:rFonts w:ascii="Arial" w:hAnsi="Arial" w:cs="Arial"/>
                <w:color w:val="000000"/>
                <w:sz w:val="20"/>
                <w:szCs w:val="20"/>
                <w:lang w:val="es-MX"/>
              </w:rPr>
              <w:t>Ministros</w:t>
            </w:r>
            <w:proofErr w:type="gramEnd"/>
            <w:r w:rsidRPr="008D4FEB">
              <w:rPr>
                <w:rFonts w:ascii="Arial" w:hAnsi="Arial" w:cs="Arial"/>
                <w:color w:val="000000"/>
                <w:sz w:val="20"/>
                <w:szCs w:val="20"/>
                <w:lang w:val="es-MX"/>
              </w:rPr>
              <w:t xml:space="preserve"> Aguirre Anguiano, Cossío Díaz, Luna Ramos, Franco González Salas, Gudiño Pelayo, Valls Hernández, Sánchez Cordero de García Villegas, Silva Meza y Presidente Ortiz </w:t>
            </w:r>
            <w:proofErr w:type="spellStart"/>
            <w:r w:rsidRPr="008D4FEB">
              <w:rPr>
                <w:rFonts w:ascii="Arial" w:hAnsi="Arial" w:cs="Arial"/>
                <w:color w:val="000000"/>
                <w:sz w:val="20"/>
                <w:szCs w:val="20"/>
                <w:lang w:val="es-MX"/>
              </w:rPr>
              <w:t>Mayagoitia</w:t>
            </w:r>
            <w:proofErr w:type="spellEnd"/>
            <w:r w:rsidRPr="008D4FEB">
              <w:rPr>
                <w:rFonts w:ascii="Arial" w:hAnsi="Arial" w:cs="Arial"/>
                <w:color w:val="000000"/>
                <w:sz w:val="20"/>
                <w:szCs w:val="20"/>
                <w:lang w:val="es-MX"/>
              </w:rPr>
              <w:t>, en cuanto al reconocimiento de validez de los artículos 4, 58, 64, 81, 85, 216, 373, 374 y 375 de la Ley Electoral del Estado de Chihuahua, publicada en el Periódico Oficial de dicho Estado el doce de septiembre de dos mil nueve.</w:t>
            </w:r>
          </w:p>
          <w:p w14:paraId="50202D5D" w14:textId="1B14A9DD" w:rsidR="00353CFC" w:rsidRDefault="00353CFC" w:rsidP="00353CFC">
            <w:pPr>
              <w:ind w:left="144" w:right="286"/>
              <w:jc w:val="both"/>
              <w:rPr>
                <w:rFonts w:ascii="Arial" w:hAnsi="Arial" w:cs="Arial"/>
                <w:sz w:val="20"/>
                <w:szCs w:val="20"/>
                <w:lang w:val="es-MX"/>
              </w:rPr>
            </w:pPr>
            <w:r w:rsidRPr="008D4FEB">
              <w:rPr>
                <w:rFonts w:ascii="Arial" w:hAnsi="Arial" w:cs="Arial"/>
                <w:b/>
                <w:color w:val="000000"/>
                <w:sz w:val="20"/>
                <w:szCs w:val="20"/>
                <w:lang w:val="es-MX"/>
              </w:rPr>
              <w:t xml:space="preserve">      </w:t>
            </w:r>
          </w:p>
        </w:tc>
      </w:tr>
      <w:tr w:rsidR="00353CFC" w:rsidRPr="00ED2D84" w14:paraId="65782EAB" w14:textId="77777777" w:rsidTr="00C75296">
        <w:trPr>
          <w:trHeight w:val="167"/>
        </w:trPr>
        <w:tc>
          <w:tcPr>
            <w:tcW w:w="1877" w:type="dxa"/>
            <w:vAlign w:val="center"/>
          </w:tcPr>
          <w:p w14:paraId="2881D2FD" w14:textId="77777777" w:rsidR="00353CFC" w:rsidRPr="00D316AF" w:rsidRDefault="00AF100A" w:rsidP="00353CFC">
            <w:pPr>
              <w:pStyle w:val="TableParagraph"/>
              <w:spacing w:before="240" w:after="240" w:line="240" w:lineRule="exact"/>
              <w:ind w:left="57" w:right="57"/>
              <w:contextualSpacing/>
              <w:jc w:val="center"/>
              <w:rPr>
                <w:rFonts w:ascii="Arial" w:hAnsi="Arial" w:cs="Arial"/>
                <w:sz w:val="20"/>
                <w:szCs w:val="20"/>
              </w:rPr>
            </w:pPr>
            <w:hyperlink r:id="rId29" w:history="1">
              <w:r w:rsidR="00353CFC" w:rsidRPr="00F479CD">
                <w:rPr>
                  <w:rStyle w:val="Hipervnculo"/>
                  <w:rFonts w:ascii="Arial" w:hAnsi="Arial" w:cs="Arial"/>
                  <w:sz w:val="20"/>
                  <w:szCs w:val="20"/>
                </w:rPr>
                <w:t xml:space="preserve">126/2008 Y SUS </w:t>
              </w:r>
              <w:r w:rsidR="00353CFC" w:rsidRPr="00F479CD">
                <w:rPr>
                  <w:rStyle w:val="Hipervnculo"/>
                  <w:rFonts w:ascii="Arial" w:hAnsi="Arial" w:cs="Arial"/>
                  <w:sz w:val="20"/>
                  <w:szCs w:val="20"/>
                </w:rPr>
                <w:lastRenderedPageBreak/>
                <w:t>ACUMULADAS 127/2008 Y 128/2008</w:t>
              </w:r>
            </w:hyperlink>
          </w:p>
          <w:p w14:paraId="1787F493" w14:textId="77777777" w:rsidR="00353CFC" w:rsidRPr="00D316AF" w:rsidRDefault="00353CFC" w:rsidP="00353CFC">
            <w:pPr>
              <w:pStyle w:val="TableParagraph"/>
              <w:spacing w:before="240" w:after="240" w:line="240" w:lineRule="exact"/>
              <w:ind w:left="57" w:right="57"/>
              <w:contextualSpacing/>
              <w:jc w:val="center"/>
              <w:rPr>
                <w:rFonts w:ascii="Arial" w:hAnsi="Arial" w:cs="Arial"/>
                <w:sz w:val="20"/>
                <w:szCs w:val="20"/>
              </w:rPr>
            </w:pPr>
          </w:p>
          <w:p w14:paraId="518D39FF" w14:textId="746E7D9B" w:rsidR="00353CFC" w:rsidRDefault="00353CFC" w:rsidP="00353CFC">
            <w:pPr>
              <w:pStyle w:val="TableParagraph"/>
              <w:spacing w:before="240" w:after="240" w:line="240" w:lineRule="exact"/>
              <w:ind w:left="57" w:right="57"/>
              <w:contextualSpacing/>
              <w:jc w:val="center"/>
            </w:pPr>
            <w:r w:rsidRPr="00D316AF">
              <w:rPr>
                <w:rFonts w:ascii="Arial" w:hAnsi="Arial" w:cs="Arial"/>
                <w:b/>
                <w:sz w:val="20"/>
                <w:szCs w:val="20"/>
              </w:rPr>
              <w:t>Durango</w:t>
            </w:r>
          </w:p>
        </w:tc>
        <w:tc>
          <w:tcPr>
            <w:tcW w:w="12294" w:type="dxa"/>
          </w:tcPr>
          <w:p w14:paraId="07A31D5D" w14:textId="77777777" w:rsidR="00353CFC" w:rsidRPr="00D316AF" w:rsidRDefault="00353CFC" w:rsidP="00353CFC">
            <w:pPr>
              <w:pStyle w:val="Prrafodelista"/>
              <w:ind w:left="144" w:right="286"/>
              <w:jc w:val="both"/>
              <w:rPr>
                <w:rFonts w:ascii="Arial" w:hAnsi="Arial" w:cs="Arial"/>
                <w:sz w:val="20"/>
                <w:szCs w:val="20"/>
                <w:lang w:val="es-MX"/>
              </w:rPr>
            </w:pPr>
          </w:p>
          <w:p w14:paraId="17AA3C39" w14:textId="77777777" w:rsidR="00353CFC" w:rsidRPr="00D316AF" w:rsidRDefault="00353CFC" w:rsidP="00353CFC">
            <w:pPr>
              <w:pStyle w:val="Prrafodelista"/>
              <w:numPr>
                <w:ilvl w:val="0"/>
                <w:numId w:val="12"/>
              </w:numPr>
              <w:ind w:left="252" w:right="286" w:hanging="142"/>
              <w:jc w:val="both"/>
              <w:rPr>
                <w:rFonts w:ascii="Arial" w:hAnsi="Arial" w:cs="Arial"/>
                <w:b/>
                <w:sz w:val="20"/>
                <w:szCs w:val="20"/>
                <w:lang w:val="es-MX"/>
              </w:rPr>
            </w:pPr>
            <w:r w:rsidRPr="00D316AF">
              <w:rPr>
                <w:rFonts w:ascii="Arial" w:hAnsi="Arial" w:cs="Arial"/>
                <w:b/>
                <w:sz w:val="20"/>
                <w:szCs w:val="20"/>
                <w:lang w:val="es-MX"/>
              </w:rPr>
              <w:t>Integración del Órgano Técnico Fiscalizador del financiamiento a los partidos políticos.</w:t>
            </w:r>
          </w:p>
          <w:p w14:paraId="78D51C76" w14:textId="77777777" w:rsidR="00353CFC" w:rsidRPr="00D316AF" w:rsidRDefault="00353CFC" w:rsidP="00353CFC">
            <w:pPr>
              <w:pStyle w:val="Prrafodelista"/>
              <w:ind w:left="144" w:right="286"/>
              <w:jc w:val="both"/>
              <w:rPr>
                <w:rFonts w:ascii="Arial" w:hAnsi="Arial" w:cs="Arial"/>
                <w:sz w:val="20"/>
                <w:szCs w:val="20"/>
                <w:lang w:val="es-MX"/>
              </w:rPr>
            </w:pPr>
          </w:p>
          <w:p w14:paraId="22B1DF31" w14:textId="77777777" w:rsidR="00353CFC" w:rsidRPr="00D316AF" w:rsidRDefault="00353CFC" w:rsidP="00353CFC">
            <w:pPr>
              <w:pStyle w:val="Prrafodelista"/>
              <w:ind w:left="144" w:right="286"/>
              <w:jc w:val="both"/>
              <w:rPr>
                <w:rFonts w:ascii="Arial" w:hAnsi="Arial" w:cs="Arial"/>
                <w:sz w:val="20"/>
                <w:szCs w:val="20"/>
                <w:lang w:val="es-MX"/>
              </w:rPr>
            </w:pPr>
            <w:r w:rsidRPr="00D316AF">
              <w:rPr>
                <w:rFonts w:ascii="Arial" w:hAnsi="Arial" w:cs="Arial"/>
                <w:sz w:val="20"/>
                <w:szCs w:val="20"/>
                <w:lang w:val="es-MX"/>
              </w:rPr>
              <w:t>El P</w:t>
            </w:r>
            <w:r>
              <w:rPr>
                <w:rFonts w:ascii="Arial" w:hAnsi="Arial" w:cs="Arial"/>
                <w:sz w:val="20"/>
                <w:szCs w:val="20"/>
                <w:lang w:val="es-MX"/>
              </w:rPr>
              <w:t>RD</w:t>
            </w:r>
            <w:r w:rsidRPr="00D316AF">
              <w:rPr>
                <w:rFonts w:ascii="Arial" w:hAnsi="Arial" w:cs="Arial"/>
                <w:sz w:val="20"/>
                <w:szCs w:val="20"/>
                <w:lang w:val="es-MX"/>
              </w:rPr>
              <w:t xml:space="preserve"> impugn</w:t>
            </w:r>
            <w:r>
              <w:rPr>
                <w:rFonts w:ascii="Arial" w:hAnsi="Arial" w:cs="Arial"/>
                <w:sz w:val="20"/>
                <w:szCs w:val="20"/>
                <w:lang w:val="es-MX"/>
              </w:rPr>
              <w:t xml:space="preserve">ó </w:t>
            </w:r>
            <w:r w:rsidRPr="00D316AF">
              <w:rPr>
                <w:rFonts w:ascii="Arial" w:hAnsi="Arial" w:cs="Arial"/>
                <w:sz w:val="20"/>
                <w:szCs w:val="20"/>
                <w:lang w:val="es-MX"/>
              </w:rPr>
              <w:t>el artículo 25 de la Constitución Política del Estado, al considerar que se vulneran</w:t>
            </w:r>
            <w:r w:rsidRPr="00D316AF">
              <w:rPr>
                <w:rFonts w:ascii="Arial" w:hAnsi="Arial" w:cs="Arial"/>
                <w:sz w:val="20"/>
                <w:szCs w:val="20"/>
              </w:rPr>
              <w:t xml:space="preserve"> </w:t>
            </w:r>
            <w:r w:rsidRPr="00D316AF">
              <w:rPr>
                <w:rFonts w:ascii="Arial" w:hAnsi="Arial" w:cs="Arial"/>
                <w:sz w:val="20"/>
                <w:szCs w:val="20"/>
                <w:lang w:val="es-MX"/>
              </w:rPr>
              <w:t>los artículos 41 y 116 de la CPEUM, ante la regulación deficiente y la falta de adecuación de la reforma constitucional local a la federal en materia electoral, en particular, respecto de la integración del órgano técnico fiscalizador del financiamiento a los partidos políticos.</w:t>
            </w:r>
          </w:p>
          <w:p w14:paraId="1CCC2C40" w14:textId="77777777" w:rsidR="00353CFC" w:rsidRDefault="00353CFC" w:rsidP="00353CFC">
            <w:pPr>
              <w:pStyle w:val="Prrafodelista"/>
              <w:ind w:left="144" w:right="-140"/>
              <w:jc w:val="both"/>
              <w:rPr>
                <w:rFonts w:ascii="Arial" w:hAnsi="Arial" w:cs="Arial"/>
                <w:b/>
                <w:sz w:val="20"/>
                <w:szCs w:val="20"/>
                <w:lang w:val="es-MX"/>
              </w:rPr>
            </w:pPr>
          </w:p>
          <w:p w14:paraId="5FCA57BC" w14:textId="77777777" w:rsidR="00353CFC" w:rsidRDefault="00353CFC" w:rsidP="00353CFC">
            <w:pPr>
              <w:pStyle w:val="Prrafodelista"/>
              <w:ind w:left="144" w:right="-140"/>
              <w:jc w:val="both"/>
              <w:rPr>
                <w:rFonts w:ascii="Arial" w:hAnsi="Arial" w:cs="Arial"/>
                <w:b/>
                <w:sz w:val="20"/>
                <w:szCs w:val="20"/>
                <w:lang w:val="es-MX"/>
              </w:rPr>
            </w:pPr>
            <w:r>
              <w:rPr>
                <w:rFonts w:ascii="Arial" w:hAnsi="Arial" w:cs="Arial"/>
                <w:b/>
                <w:sz w:val="20"/>
                <w:szCs w:val="20"/>
                <w:lang w:val="es-MX"/>
              </w:rPr>
              <w:t>Consideraciones</w:t>
            </w:r>
          </w:p>
          <w:p w14:paraId="7094A1E2" w14:textId="77777777" w:rsidR="00353CFC" w:rsidRPr="00D316AF" w:rsidRDefault="00353CFC" w:rsidP="00353CFC">
            <w:pPr>
              <w:pStyle w:val="Prrafodelista"/>
              <w:ind w:left="144" w:right="-140"/>
              <w:jc w:val="both"/>
              <w:rPr>
                <w:rFonts w:ascii="Arial" w:hAnsi="Arial" w:cs="Arial"/>
                <w:b/>
                <w:sz w:val="20"/>
                <w:szCs w:val="20"/>
                <w:lang w:val="es-MX"/>
              </w:rPr>
            </w:pPr>
          </w:p>
          <w:p w14:paraId="11134C19" w14:textId="77777777" w:rsidR="00353CFC" w:rsidRPr="00D316AF" w:rsidRDefault="00353CFC" w:rsidP="00353CFC">
            <w:pPr>
              <w:pStyle w:val="Prrafodelista"/>
              <w:ind w:left="144" w:right="286"/>
              <w:jc w:val="both"/>
              <w:rPr>
                <w:rFonts w:ascii="Arial" w:hAnsi="Arial" w:cs="Arial"/>
                <w:sz w:val="20"/>
                <w:szCs w:val="20"/>
                <w:lang w:val="es-MX"/>
              </w:rPr>
            </w:pPr>
            <w:r w:rsidRPr="00D316AF">
              <w:rPr>
                <w:rFonts w:ascii="Arial" w:hAnsi="Arial" w:cs="Arial"/>
                <w:sz w:val="20"/>
                <w:szCs w:val="20"/>
                <w:lang w:val="es-MX"/>
              </w:rPr>
              <w:t xml:space="preserve">El Tribunal Pleno </w:t>
            </w:r>
            <w:r w:rsidRPr="00D316AF">
              <w:rPr>
                <w:rFonts w:ascii="Arial" w:hAnsi="Arial" w:cs="Arial"/>
                <w:b/>
                <w:sz w:val="20"/>
                <w:szCs w:val="20"/>
                <w:lang w:val="es-MX"/>
              </w:rPr>
              <w:t>reconoció la validez</w:t>
            </w:r>
            <w:r w:rsidRPr="00D316AF">
              <w:rPr>
                <w:rFonts w:ascii="Arial" w:hAnsi="Arial" w:cs="Arial"/>
                <w:sz w:val="20"/>
                <w:szCs w:val="20"/>
                <w:lang w:val="es-MX"/>
              </w:rPr>
              <w:t xml:space="preserve"> del artículo 25 de la Constitución Política del Estado de Durango, determinó que no asiste la razón a los accionantes cuando apuntan que, en el caso, se está en presencia de una deficiente regulación, al no haber cumplido adecuadamente el Constituyente Permanente Local con</w:t>
            </w:r>
            <w:r w:rsidRPr="00D316AF">
              <w:rPr>
                <w:rFonts w:ascii="Arial" w:hAnsi="Arial" w:cs="Arial"/>
                <w:sz w:val="20"/>
                <w:szCs w:val="20"/>
              </w:rPr>
              <w:t xml:space="preserve"> </w:t>
            </w:r>
            <w:r w:rsidRPr="00D316AF">
              <w:rPr>
                <w:rFonts w:ascii="Arial" w:hAnsi="Arial" w:cs="Arial"/>
                <w:sz w:val="20"/>
                <w:szCs w:val="20"/>
                <w:lang w:val="es-MX"/>
              </w:rPr>
              <w:t>los lineamientos establecidos en la reforma a la Constitución Federal, específicamente, por lo que respecta al órgano técnico al que se encomienda la fiscalización de los recursos de los partidos políticos. Además, señaló que no se actualiza la omisión</w:t>
            </w:r>
            <w:r w:rsidRPr="00D316AF">
              <w:rPr>
                <w:rFonts w:ascii="Arial" w:hAnsi="Arial" w:cs="Arial"/>
                <w:sz w:val="20"/>
                <w:szCs w:val="20"/>
              </w:rPr>
              <w:t xml:space="preserve"> </w:t>
            </w:r>
            <w:r w:rsidRPr="00D316AF">
              <w:rPr>
                <w:rFonts w:ascii="Arial" w:hAnsi="Arial" w:cs="Arial"/>
                <w:sz w:val="20"/>
                <w:szCs w:val="20"/>
                <w:lang w:val="es-MX"/>
              </w:rPr>
              <w:t>relativa alguna en la configuración y regulación del órgano técnico encargado de la fiscalización de los recursos de los partidos políticos en el Estado de Durango.</w:t>
            </w:r>
          </w:p>
          <w:p w14:paraId="2C5B0B43" w14:textId="77777777" w:rsidR="00353CFC" w:rsidRPr="00D316AF" w:rsidRDefault="00353CFC" w:rsidP="00353CFC">
            <w:pPr>
              <w:pStyle w:val="Prrafodelista"/>
              <w:ind w:left="144" w:right="286"/>
              <w:jc w:val="both"/>
              <w:rPr>
                <w:rFonts w:ascii="Arial" w:hAnsi="Arial" w:cs="Arial"/>
                <w:sz w:val="20"/>
                <w:szCs w:val="20"/>
                <w:lang w:val="es-MX"/>
              </w:rPr>
            </w:pPr>
          </w:p>
          <w:p w14:paraId="3BCBDB50" w14:textId="77777777" w:rsidR="00353CFC" w:rsidRPr="00D316AF" w:rsidRDefault="00353CFC" w:rsidP="00353CFC">
            <w:pPr>
              <w:pStyle w:val="Prrafodelista"/>
              <w:ind w:left="144" w:right="286"/>
              <w:jc w:val="both"/>
              <w:rPr>
                <w:rFonts w:ascii="Arial" w:hAnsi="Arial" w:cs="Arial"/>
                <w:b/>
                <w:sz w:val="20"/>
                <w:szCs w:val="20"/>
                <w:lang w:val="es-MX"/>
              </w:rPr>
            </w:pPr>
            <w:r w:rsidRPr="00D316AF">
              <w:rPr>
                <w:rFonts w:ascii="Arial" w:hAnsi="Arial" w:cs="Arial"/>
                <w:b/>
                <w:sz w:val="20"/>
                <w:szCs w:val="20"/>
                <w:lang w:val="es-MX"/>
              </w:rPr>
              <w:t>Resolutivo:</w:t>
            </w:r>
          </w:p>
          <w:p w14:paraId="4C3FED5B" w14:textId="77777777" w:rsidR="00353CFC" w:rsidRDefault="00353CFC" w:rsidP="00353CFC">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4B819885" w14:textId="77777777" w:rsidR="00353CFC" w:rsidRDefault="00353CFC" w:rsidP="00353CFC">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45C505B3" w14:textId="77777777" w:rsidR="00353CFC" w:rsidRDefault="00353CFC" w:rsidP="00353CFC">
            <w:pPr>
              <w:pStyle w:val="Prrafodelista"/>
              <w:ind w:left="144" w:right="144"/>
              <w:jc w:val="both"/>
              <w:rPr>
                <w:rFonts w:ascii="Arial" w:hAnsi="Arial" w:cs="Arial"/>
                <w:b/>
                <w:sz w:val="20"/>
                <w:szCs w:val="20"/>
                <w:lang w:val="es-MX"/>
              </w:rPr>
            </w:pPr>
            <w:r>
              <w:rPr>
                <w:rFonts w:ascii="Arial" w:hAnsi="Arial" w:cs="Arial"/>
                <w:b/>
                <w:sz w:val="20"/>
                <w:szCs w:val="20"/>
                <w:lang w:val="es-MX"/>
              </w:rPr>
              <w:t xml:space="preserve">. </w:t>
            </w:r>
          </w:p>
          <w:p w14:paraId="327886A2" w14:textId="77777777" w:rsidR="00353CFC" w:rsidRDefault="00353CFC" w:rsidP="00353CFC">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102CAB64" w14:textId="77777777" w:rsidR="00353CFC" w:rsidRDefault="00353CFC" w:rsidP="00353CFC">
            <w:pPr>
              <w:pStyle w:val="Prrafodelista"/>
              <w:ind w:left="144" w:right="286"/>
              <w:jc w:val="both"/>
              <w:rPr>
                <w:rFonts w:ascii="Arial" w:hAnsi="Arial" w:cs="Arial"/>
                <w:b/>
                <w:sz w:val="20"/>
                <w:szCs w:val="20"/>
                <w:lang w:val="es-MX"/>
              </w:rPr>
            </w:pPr>
          </w:p>
          <w:p w14:paraId="59487D49" w14:textId="54D1D030" w:rsidR="00353CFC" w:rsidRPr="00D316AF" w:rsidRDefault="00353CFC" w:rsidP="00353CFC">
            <w:pPr>
              <w:pStyle w:val="Prrafodelista"/>
              <w:ind w:left="144" w:right="286"/>
              <w:jc w:val="both"/>
              <w:rPr>
                <w:rFonts w:ascii="Arial" w:hAnsi="Arial" w:cs="Arial"/>
                <w:sz w:val="20"/>
                <w:szCs w:val="20"/>
                <w:lang w:val="es-MX"/>
              </w:rPr>
            </w:pPr>
            <w:r w:rsidRPr="00D316AF">
              <w:rPr>
                <w:rFonts w:ascii="Arial" w:hAnsi="Arial" w:cs="Arial"/>
                <w:b/>
                <w:sz w:val="20"/>
                <w:szCs w:val="20"/>
                <w:lang w:val="es-MX"/>
              </w:rPr>
              <w:t xml:space="preserve">CUARTO. </w:t>
            </w:r>
            <w:r w:rsidRPr="00D316AF">
              <w:rPr>
                <w:rFonts w:ascii="Arial" w:hAnsi="Arial" w:cs="Arial"/>
                <w:sz w:val="20"/>
                <w:szCs w:val="20"/>
                <w:lang w:val="es-MX"/>
              </w:rPr>
              <w:t>Se reconoció la validez de los párrafos séptimo y noveno de la fracción IV del párrafo segundo del artículo 25 de la Constitución Política del Estado de Durango, objeto de reforma mediante el Decreto Número 187, cuya validez fue reconocida en términos del considerando sexto de esta sentencia.</w:t>
            </w:r>
          </w:p>
          <w:p w14:paraId="77BEF89A" w14:textId="77777777" w:rsidR="00353CFC" w:rsidRDefault="00353CFC" w:rsidP="00353CFC">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74543583" w14:textId="77777777" w:rsidR="00353CFC" w:rsidRDefault="00353CFC" w:rsidP="00353CFC">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5D95CF4F" w14:textId="77777777" w:rsidR="00353CFC" w:rsidRDefault="00353CFC" w:rsidP="00353CFC">
            <w:pPr>
              <w:pStyle w:val="Prrafodelista"/>
              <w:ind w:left="144" w:right="144"/>
              <w:jc w:val="both"/>
              <w:rPr>
                <w:rFonts w:ascii="Arial" w:hAnsi="Arial" w:cs="Arial"/>
                <w:b/>
                <w:sz w:val="20"/>
                <w:szCs w:val="20"/>
                <w:lang w:val="es-MX"/>
              </w:rPr>
            </w:pPr>
            <w:r>
              <w:rPr>
                <w:rFonts w:ascii="Arial" w:hAnsi="Arial" w:cs="Arial"/>
                <w:b/>
                <w:sz w:val="20"/>
                <w:szCs w:val="20"/>
                <w:lang w:val="es-MX"/>
              </w:rPr>
              <w:t xml:space="preserve">. </w:t>
            </w:r>
          </w:p>
          <w:p w14:paraId="573EF91E" w14:textId="77777777" w:rsidR="00353CFC" w:rsidRDefault="00353CFC" w:rsidP="00353CFC">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08A4292F" w14:textId="77777777" w:rsidR="00353CFC" w:rsidRPr="00D316AF" w:rsidRDefault="00353CFC" w:rsidP="00353CFC">
            <w:pPr>
              <w:pStyle w:val="Prrafodelista"/>
              <w:ind w:left="144" w:right="286"/>
              <w:jc w:val="both"/>
              <w:rPr>
                <w:rFonts w:ascii="Arial" w:hAnsi="Arial" w:cs="Arial"/>
                <w:b/>
                <w:sz w:val="20"/>
                <w:szCs w:val="20"/>
                <w:lang w:val="es-MX"/>
              </w:rPr>
            </w:pPr>
          </w:p>
          <w:p w14:paraId="183D6137" w14:textId="77777777" w:rsidR="00353CFC" w:rsidRPr="00D316AF" w:rsidRDefault="00353CFC" w:rsidP="00353CFC">
            <w:pPr>
              <w:pStyle w:val="Prrafodelista"/>
              <w:ind w:left="144" w:right="286"/>
              <w:jc w:val="both"/>
              <w:rPr>
                <w:rFonts w:ascii="Arial" w:hAnsi="Arial" w:cs="Arial"/>
                <w:b/>
                <w:sz w:val="20"/>
                <w:szCs w:val="20"/>
                <w:lang w:val="es-MX"/>
              </w:rPr>
            </w:pPr>
            <w:r w:rsidRPr="00D316AF">
              <w:rPr>
                <w:rFonts w:ascii="Arial" w:hAnsi="Arial" w:cs="Arial"/>
                <w:b/>
                <w:sz w:val="20"/>
                <w:szCs w:val="20"/>
                <w:lang w:val="es-MX"/>
              </w:rPr>
              <w:t>En relación con el punto resolutivo Cuarto:</w:t>
            </w:r>
          </w:p>
          <w:p w14:paraId="05C7459D" w14:textId="77777777" w:rsidR="00353CFC" w:rsidRPr="00D316AF" w:rsidRDefault="00353CFC" w:rsidP="00353CFC">
            <w:pPr>
              <w:pStyle w:val="Prrafodelista"/>
              <w:ind w:left="144" w:right="286"/>
              <w:jc w:val="both"/>
              <w:rPr>
                <w:rFonts w:ascii="Arial" w:hAnsi="Arial" w:cs="Arial"/>
                <w:b/>
                <w:sz w:val="20"/>
                <w:szCs w:val="20"/>
                <w:lang w:val="es-MX"/>
              </w:rPr>
            </w:pPr>
          </w:p>
          <w:p w14:paraId="48C64837" w14:textId="77777777" w:rsidR="00353CFC" w:rsidRPr="00D316AF" w:rsidRDefault="00353CFC" w:rsidP="00353CFC">
            <w:pPr>
              <w:pStyle w:val="Prrafodelista"/>
              <w:ind w:left="144" w:right="286"/>
              <w:jc w:val="both"/>
              <w:rPr>
                <w:rFonts w:ascii="Arial" w:hAnsi="Arial" w:cs="Arial"/>
                <w:sz w:val="20"/>
                <w:szCs w:val="20"/>
                <w:lang w:val="es-MX"/>
              </w:rPr>
            </w:pPr>
            <w:r w:rsidRPr="00D316AF">
              <w:rPr>
                <w:rFonts w:ascii="Arial" w:hAnsi="Arial" w:cs="Arial"/>
                <w:sz w:val="20"/>
                <w:szCs w:val="20"/>
                <w:lang w:val="es-MX"/>
              </w:rPr>
              <w:t xml:space="preserve">Por unanimidad de 10 votos de los </w:t>
            </w:r>
            <w:proofErr w:type="gramStart"/>
            <w:r w:rsidRPr="00D316AF">
              <w:rPr>
                <w:rFonts w:ascii="Arial" w:hAnsi="Arial" w:cs="Arial"/>
                <w:sz w:val="20"/>
                <w:szCs w:val="20"/>
                <w:lang w:val="es-MX"/>
              </w:rPr>
              <w:t>Ministros</w:t>
            </w:r>
            <w:proofErr w:type="gramEnd"/>
            <w:r w:rsidRPr="00D316AF">
              <w:rPr>
                <w:rFonts w:ascii="Arial" w:hAnsi="Arial" w:cs="Arial"/>
                <w:sz w:val="20"/>
                <w:szCs w:val="20"/>
                <w:lang w:val="es-MX"/>
              </w:rPr>
              <w:t xml:space="preserve"> Aguirre Anguiano, Cossío Díaz, Luna Ramos, Franco González Salas, Góngora Pimentel, Azuela Güitrón, Valls Hernández, Sánchez Cordero de García Villegas, Silva Meza y Presidente Ortiz </w:t>
            </w:r>
            <w:proofErr w:type="spellStart"/>
            <w:r w:rsidRPr="00D316AF">
              <w:rPr>
                <w:rFonts w:ascii="Arial" w:hAnsi="Arial" w:cs="Arial"/>
                <w:sz w:val="20"/>
                <w:szCs w:val="20"/>
                <w:lang w:val="es-MX"/>
              </w:rPr>
              <w:t>Mayagoitia</w:t>
            </w:r>
            <w:proofErr w:type="spellEnd"/>
            <w:r w:rsidRPr="00D316AF">
              <w:rPr>
                <w:rFonts w:ascii="Arial" w:hAnsi="Arial" w:cs="Arial"/>
                <w:sz w:val="20"/>
                <w:szCs w:val="20"/>
                <w:lang w:val="es-MX"/>
              </w:rPr>
              <w:t>, se aprobaron los puntos resolutivos primero, cuarto y quinto.</w:t>
            </w:r>
          </w:p>
          <w:p w14:paraId="31F6D5E3" w14:textId="77777777" w:rsidR="00353CFC" w:rsidRPr="00D316AF" w:rsidRDefault="00353CFC" w:rsidP="00353CFC">
            <w:pPr>
              <w:jc w:val="both"/>
              <w:rPr>
                <w:rFonts w:ascii="Arial" w:hAnsi="Arial" w:cs="Arial"/>
                <w:sz w:val="20"/>
                <w:szCs w:val="20"/>
                <w:lang w:val="es-MX"/>
              </w:rPr>
            </w:pPr>
          </w:p>
        </w:tc>
      </w:tr>
      <w:tr w:rsidR="00353CFC" w:rsidRPr="00ED2D84" w14:paraId="6E369EA4" w14:textId="77777777" w:rsidTr="00C75296">
        <w:trPr>
          <w:trHeight w:val="167"/>
        </w:trPr>
        <w:tc>
          <w:tcPr>
            <w:tcW w:w="1877" w:type="dxa"/>
            <w:vAlign w:val="center"/>
          </w:tcPr>
          <w:p w14:paraId="0D229A24" w14:textId="77777777" w:rsidR="00353CFC" w:rsidRDefault="00AF100A" w:rsidP="00353CFC">
            <w:pPr>
              <w:pStyle w:val="TableParagraph"/>
              <w:spacing w:before="240" w:after="240" w:line="240" w:lineRule="exact"/>
              <w:ind w:left="57" w:right="57"/>
              <w:contextualSpacing/>
              <w:jc w:val="center"/>
              <w:rPr>
                <w:rFonts w:ascii="Arial" w:hAnsi="Arial" w:cs="Arial"/>
                <w:sz w:val="20"/>
                <w:szCs w:val="20"/>
              </w:rPr>
            </w:pPr>
            <w:hyperlink r:id="rId30" w:history="1">
              <w:r w:rsidR="00353CFC" w:rsidRPr="00567D45">
                <w:rPr>
                  <w:rStyle w:val="Hipervnculo"/>
                  <w:rFonts w:ascii="Arial" w:hAnsi="Arial" w:cs="Arial"/>
                  <w:sz w:val="20"/>
                  <w:szCs w:val="20"/>
                </w:rPr>
                <w:t xml:space="preserve">129/2008 Y SU </w:t>
              </w:r>
              <w:r w:rsidR="00353CFC" w:rsidRPr="00567D45">
                <w:rPr>
                  <w:rStyle w:val="Hipervnculo"/>
                  <w:rFonts w:ascii="Arial" w:hAnsi="Arial" w:cs="Arial"/>
                  <w:sz w:val="20"/>
                  <w:szCs w:val="20"/>
                </w:rPr>
                <w:lastRenderedPageBreak/>
                <w:t>ACUMULADA 131/2008</w:t>
              </w:r>
            </w:hyperlink>
          </w:p>
          <w:p w14:paraId="03801ABE" w14:textId="77777777" w:rsidR="00353CFC" w:rsidRDefault="00353CFC" w:rsidP="00353CFC">
            <w:pPr>
              <w:pStyle w:val="TableParagraph"/>
              <w:spacing w:before="240" w:after="240" w:line="240" w:lineRule="exact"/>
              <w:ind w:left="57" w:right="57"/>
              <w:contextualSpacing/>
              <w:jc w:val="center"/>
              <w:rPr>
                <w:rFonts w:ascii="Arial" w:hAnsi="Arial" w:cs="Arial"/>
                <w:sz w:val="20"/>
                <w:szCs w:val="20"/>
              </w:rPr>
            </w:pPr>
          </w:p>
          <w:p w14:paraId="648E9F52" w14:textId="517F1A3D" w:rsidR="00353CFC" w:rsidRPr="0073464F" w:rsidRDefault="00353CFC" w:rsidP="00353CFC">
            <w:pPr>
              <w:pStyle w:val="TableParagraph"/>
              <w:spacing w:before="240" w:after="240" w:line="240" w:lineRule="exact"/>
              <w:ind w:left="57" w:right="57"/>
              <w:contextualSpacing/>
              <w:jc w:val="center"/>
              <w:rPr>
                <w:rFonts w:ascii="Arial" w:hAnsi="Arial" w:cs="Arial"/>
                <w:b/>
                <w:sz w:val="20"/>
                <w:szCs w:val="20"/>
              </w:rPr>
            </w:pPr>
            <w:r w:rsidRPr="0073464F">
              <w:rPr>
                <w:rFonts w:ascii="Arial" w:hAnsi="Arial" w:cs="Arial"/>
                <w:b/>
                <w:sz w:val="20"/>
                <w:szCs w:val="20"/>
              </w:rPr>
              <w:t>Durango</w:t>
            </w:r>
          </w:p>
          <w:p w14:paraId="4E8304C0" w14:textId="77777777" w:rsidR="00353CFC" w:rsidRPr="00D316AF" w:rsidRDefault="00353CFC" w:rsidP="00353CFC">
            <w:pPr>
              <w:pStyle w:val="TableParagraph"/>
              <w:spacing w:before="240" w:after="240" w:line="240" w:lineRule="exact"/>
              <w:ind w:left="57" w:right="57"/>
              <w:contextualSpacing/>
              <w:jc w:val="center"/>
              <w:rPr>
                <w:rFonts w:ascii="Arial" w:hAnsi="Arial" w:cs="Arial"/>
                <w:sz w:val="20"/>
                <w:szCs w:val="20"/>
              </w:rPr>
            </w:pPr>
          </w:p>
          <w:p w14:paraId="7F2F6C75" w14:textId="77777777" w:rsidR="00353CFC" w:rsidRDefault="00353CFC" w:rsidP="00353CFC">
            <w:pPr>
              <w:pStyle w:val="TableParagraph"/>
              <w:spacing w:before="240" w:after="240" w:line="240" w:lineRule="exact"/>
              <w:ind w:left="57" w:right="57"/>
              <w:contextualSpacing/>
              <w:jc w:val="center"/>
            </w:pPr>
          </w:p>
        </w:tc>
        <w:tc>
          <w:tcPr>
            <w:tcW w:w="12294" w:type="dxa"/>
          </w:tcPr>
          <w:p w14:paraId="135A0C2D" w14:textId="77777777" w:rsidR="00353CFC" w:rsidRPr="00D316AF" w:rsidRDefault="00353CFC" w:rsidP="00353CFC">
            <w:pPr>
              <w:jc w:val="both"/>
              <w:rPr>
                <w:rFonts w:ascii="Arial" w:hAnsi="Arial" w:cs="Arial"/>
                <w:sz w:val="20"/>
                <w:szCs w:val="20"/>
                <w:lang w:val="es-MX"/>
              </w:rPr>
            </w:pPr>
            <w:bookmarkStart w:id="0" w:name="_Hlk86310746"/>
          </w:p>
          <w:p w14:paraId="0091C656" w14:textId="77777777" w:rsidR="00353CFC" w:rsidRPr="007244E1" w:rsidRDefault="00353CFC" w:rsidP="00353CFC">
            <w:pPr>
              <w:pStyle w:val="Prrafodelista"/>
              <w:numPr>
                <w:ilvl w:val="0"/>
                <w:numId w:val="12"/>
              </w:numPr>
              <w:ind w:left="252" w:right="286" w:hanging="142"/>
              <w:jc w:val="both"/>
              <w:rPr>
                <w:rFonts w:ascii="Arial" w:hAnsi="Arial" w:cs="Arial"/>
                <w:b/>
                <w:sz w:val="20"/>
                <w:szCs w:val="20"/>
                <w:lang w:val="es-MX"/>
              </w:rPr>
            </w:pPr>
            <w:r w:rsidRPr="007244E1">
              <w:rPr>
                <w:rFonts w:ascii="Arial" w:hAnsi="Arial" w:cs="Arial"/>
                <w:b/>
                <w:sz w:val="20"/>
                <w:szCs w:val="20"/>
                <w:lang w:val="es-MX"/>
              </w:rPr>
              <w:t>Órgano técnico a cargo de la fiscalización de las finanzas de los partidos políticos estatales.</w:t>
            </w:r>
          </w:p>
          <w:p w14:paraId="73727641" w14:textId="77777777" w:rsidR="00353CFC" w:rsidRDefault="00353CFC" w:rsidP="00353CFC">
            <w:pPr>
              <w:ind w:left="144" w:right="286"/>
              <w:jc w:val="both"/>
              <w:rPr>
                <w:rFonts w:ascii="Arial" w:hAnsi="Arial" w:cs="Arial"/>
                <w:sz w:val="20"/>
                <w:szCs w:val="20"/>
                <w:lang w:val="es-MX"/>
              </w:rPr>
            </w:pPr>
          </w:p>
          <w:p w14:paraId="092F917B" w14:textId="77777777" w:rsidR="00353CFC" w:rsidRPr="00D316AF" w:rsidRDefault="00353CFC" w:rsidP="00353CFC">
            <w:pPr>
              <w:ind w:left="144" w:right="286"/>
              <w:jc w:val="both"/>
              <w:rPr>
                <w:rFonts w:ascii="Arial" w:hAnsi="Arial" w:cs="Arial"/>
                <w:sz w:val="20"/>
                <w:szCs w:val="20"/>
                <w:lang w:val="es-MX"/>
              </w:rPr>
            </w:pPr>
            <w:r w:rsidRPr="00D316AF">
              <w:rPr>
                <w:rFonts w:ascii="Arial" w:hAnsi="Arial" w:cs="Arial"/>
                <w:sz w:val="20"/>
                <w:szCs w:val="20"/>
                <w:lang w:val="es-MX"/>
              </w:rPr>
              <w:t>Los Diputados integrantes de la Sexagésima Cuarta Legislatura del Estado Libre y Soberano de Durango y el Partido de la Revolución Democrática, impugnaron</w:t>
            </w:r>
            <w:r w:rsidRPr="00D316AF">
              <w:rPr>
                <w:rFonts w:ascii="Arial" w:hAnsi="Arial" w:cs="Arial"/>
                <w:sz w:val="20"/>
                <w:szCs w:val="20"/>
              </w:rPr>
              <w:t xml:space="preserve"> </w:t>
            </w:r>
            <w:r w:rsidRPr="00D316AF">
              <w:rPr>
                <w:rFonts w:ascii="Arial" w:hAnsi="Arial" w:cs="Arial"/>
                <w:sz w:val="20"/>
                <w:szCs w:val="20"/>
                <w:lang w:val="es-MX"/>
              </w:rPr>
              <w:t>la constitucionalidad de los artículos 92 a 97 de la Ley Electoral para el Estado de Durango, ya que las referencias que hacen a la reforma al referido artículo 25 de la Constitución local, tienen el propósito de apoyar su argumentación en la medida en que aducen que el Constituyente local no acató la reforma realizada por el Poder Constituyente Permanente, incumplimiento, simulación, insuficiente regulación u omisión por el legislador local, concerniente al órgano técnico encargado de la fiscalización de los partidos políticos</w:t>
            </w:r>
          </w:p>
          <w:p w14:paraId="00ECD010" w14:textId="77777777" w:rsidR="00353CFC" w:rsidRDefault="00353CFC" w:rsidP="00353CFC">
            <w:pPr>
              <w:ind w:left="144" w:right="286"/>
              <w:jc w:val="both"/>
              <w:rPr>
                <w:rFonts w:ascii="Arial" w:hAnsi="Arial" w:cs="Arial"/>
                <w:sz w:val="20"/>
                <w:szCs w:val="20"/>
                <w:lang w:val="es-MX"/>
              </w:rPr>
            </w:pPr>
          </w:p>
          <w:p w14:paraId="17F6A804" w14:textId="77777777" w:rsidR="00353CFC" w:rsidRPr="006412C0" w:rsidRDefault="00353CFC" w:rsidP="00353CFC">
            <w:pPr>
              <w:ind w:left="144" w:right="286"/>
              <w:jc w:val="both"/>
              <w:rPr>
                <w:rFonts w:ascii="Arial" w:hAnsi="Arial" w:cs="Arial"/>
                <w:b/>
                <w:sz w:val="20"/>
                <w:szCs w:val="20"/>
                <w:lang w:val="es-MX"/>
              </w:rPr>
            </w:pPr>
            <w:r w:rsidRPr="006412C0">
              <w:rPr>
                <w:rFonts w:ascii="Arial" w:hAnsi="Arial" w:cs="Arial"/>
                <w:b/>
                <w:sz w:val="20"/>
                <w:szCs w:val="20"/>
                <w:lang w:val="es-MX"/>
              </w:rPr>
              <w:t>Consideraciones</w:t>
            </w:r>
          </w:p>
          <w:p w14:paraId="6C986FC1" w14:textId="77777777" w:rsidR="00353CFC" w:rsidRPr="00D316AF" w:rsidRDefault="00353CFC" w:rsidP="00353CFC">
            <w:pPr>
              <w:ind w:left="144" w:right="286"/>
              <w:jc w:val="both"/>
              <w:rPr>
                <w:rFonts w:ascii="Arial" w:hAnsi="Arial" w:cs="Arial"/>
                <w:sz w:val="20"/>
                <w:szCs w:val="20"/>
                <w:lang w:val="es-MX"/>
              </w:rPr>
            </w:pPr>
          </w:p>
          <w:p w14:paraId="2F041D56" w14:textId="77777777" w:rsidR="00353CFC" w:rsidRDefault="00353CFC" w:rsidP="00353CFC">
            <w:pPr>
              <w:ind w:left="144" w:right="286"/>
              <w:jc w:val="both"/>
              <w:rPr>
                <w:rFonts w:ascii="Arial" w:hAnsi="Arial" w:cs="Arial"/>
                <w:sz w:val="20"/>
                <w:szCs w:val="20"/>
              </w:rPr>
            </w:pPr>
            <w:r w:rsidRPr="00D316AF">
              <w:rPr>
                <w:rFonts w:ascii="Arial" w:hAnsi="Arial" w:cs="Arial"/>
                <w:sz w:val="20"/>
                <w:szCs w:val="20"/>
                <w:lang w:val="es-MX"/>
              </w:rPr>
              <w:t xml:space="preserve">El Tribunal de Pleno </w:t>
            </w:r>
            <w:r w:rsidRPr="00D316AF">
              <w:rPr>
                <w:rFonts w:ascii="Arial" w:hAnsi="Arial" w:cs="Arial"/>
                <w:b/>
                <w:sz w:val="20"/>
                <w:szCs w:val="20"/>
                <w:lang w:val="es-MX"/>
              </w:rPr>
              <w:t>declaró la validez</w:t>
            </w:r>
            <w:r w:rsidRPr="00D316AF">
              <w:rPr>
                <w:rFonts w:ascii="Arial" w:hAnsi="Arial" w:cs="Arial"/>
                <w:sz w:val="20"/>
                <w:szCs w:val="20"/>
                <w:lang w:val="es-MX"/>
              </w:rPr>
              <w:t xml:space="preserve"> de los artículos 92, 93, 94, 95, 96 y 97 de la Ley Electoral para el Estado de Durango,</w:t>
            </w:r>
            <w:r w:rsidRPr="00D316AF">
              <w:rPr>
                <w:rFonts w:ascii="Arial" w:hAnsi="Arial" w:cs="Arial"/>
                <w:sz w:val="20"/>
                <w:szCs w:val="20"/>
              </w:rPr>
              <w:t xml:space="preserve"> ya que de conformidad con lo dispuesto en el artículo 116, fracción IV, inciso h), de la CPEUM, las entidades federativas pueden regular aspectos relacionados con la fiscalización de las finanzas de los institutos políticos, sin seguir  los mismos patrones establecidos a nivel federal, ya que, cuentan con un amplio margen de libertad de configuración legislative</w:t>
            </w:r>
            <w:bookmarkEnd w:id="0"/>
            <w:r w:rsidRPr="00D316AF">
              <w:rPr>
                <w:rFonts w:ascii="Arial" w:hAnsi="Arial" w:cs="Arial"/>
                <w:sz w:val="20"/>
                <w:szCs w:val="20"/>
              </w:rPr>
              <w:t xml:space="preserve">, es decir, no </w:t>
            </w:r>
            <w:proofErr w:type="spellStart"/>
            <w:r w:rsidRPr="00D316AF">
              <w:rPr>
                <w:rFonts w:ascii="Arial" w:hAnsi="Arial" w:cs="Arial"/>
                <w:sz w:val="20"/>
                <w:szCs w:val="20"/>
              </w:rPr>
              <w:t>estan</w:t>
            </w:r>
            <w:proofErr w:type="spellEnd"/>
            <w:r w:rsidRPr="00D316AF">
              <w:rPr>
                <w:rFonts w:ascii="Arial" w:hAnsi="Arial" w:cs="Arial"/>
                <w:sz w:val="20"/>
                <w:szCs w:val="20"/>
              </w:rPr>
              <w:t xml:space="preserve"> obligadas a diseñar una Unidad de Fiscalización, dotada de autonomía de gestión, cuyo titular fuera nombrado por el voto de las dos terceras partes del órgano superior de dirección de los institutos electorales locales (en este caso del Consejo Electoral) que estuviera a cargo de la fiscalización de las finanzas de los partidos políticos nacionales. </w:t>
            </w:r>
          </w:p>
          <w:p w14:paraId="4BE642C9" w14:textId="77777777" w:rsidR="00353CFC" w:rsidRDefault="00353CFC" w:rsidP="00353CFC">
            <w:pPr>
              <w:ind w:left="144" w:right="286"/>
              <w:jc w:val="both"/>
              <w:rPr>
                <w:rFonts w:ascii="Arial" w:hAnsi="Arial" w:cs="Arial"/>
                <w:sz w:val="20"/>
                <w:szCs w:val="20"/>
              </w:rPr>
            </w:pPr>
          </w:p>
          <w:p w14:paraId="5B9CEAFD" w14:textId="77777777" w:rsidR="00353CFC" w:rsidRPr="006412C0" w:rsidRDefault="00353CFC" w:rsidP="00353CFC">
            <w:pPr>
              <w:ind w:left="144" w:right="286"/>
              <w:jc w:val="both"/>
              <w:rPr>
                <w:rFonts w:ascii="Arial" w:hAnsi="Arial" w:cs="Arial"/>
                <w:b/>
                <w:sz w:val="20"/>
                <w:szCs w:val="20"/>
              </w:rPr>
            </w:pPr>
            <w:r w:rsidRPr="006412C0">
              <w:rPr>
                <w:rFonts w:ascii="Arial" w:hAnsi="Arial" w:cs="Arial"/>
                <w:b/>
                <w:sz w:val="20"/>
                <w:szCs w:val="20"/>
              </w:rPr>
              <w:t>Resolutivo:</w:t>
            </w:r>
          </w:p>
          <w:p w14:paraId="4E31A6EF" w14:textId="77777777" w:rsidR="00353CFC" w:rsidRDefault="00353CFC" w:rsidP="00353CFC">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61DDFEF5" w14:textId="77777777" w:rsidR="00353CFC" w:rsidRDefault="00353CFC" w:rsidP="00353CFC">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1C8AD892" w14:textId="77777777" w:rsidR="00353CFC" w:rsidRDefault="00353CFC" w:rsidP="00353CFC">
            <w:pPr>
              <w:pStyle w:val="Prrafodelista"/>
              <w:ind w:left="144" w:right="144"/>
              <w:jc w:val="both"/>
              <w:rPr>
                <w:rFonts w:ascii="Arial" w:hAnsi="Arial" w:cs="Arial"/>
                <w:b/>
                <w:sz w:val="20"/>
                <w:szCs w:val="20"/>
                <w:lang w:val="es-MX"/>
              </w:rPr>
            </w:pPr>
            <w:r>
              <w:rPr>
                <w:rFonts w:ascii="Arial" w:hAnsi="Arial" w:cs="Arial"/>
                <w:b/>
                <w:sz w:val="20"/>
                <w:szCs w:val="20"/>
                <w:lang w:val="es-MX"/>
              </w:rPr>
              <w:t xml:space="preserve">. </w:t>
            </w:r>
          </w:p>
          <w:p w14:paraId="15A30B2B" w14:textId="77777777" w:rsidR="00353CFC" w:rsidRDefault="00353CFC" w:rsidP="00353CFC">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5C9F627B" w14:textId="77777777" w:rsidR="00353CFC" w:rsidRDefault="00353CFC" w:rsidP="00353CFC">
            <w:pPr>
              <w:ind w:left="144" w:right="286"/>
              <w:jc w:val="both"/>
              <w:rPr>
                <w:rFonts w:ascii="Arial" w:hAnsi="Arial" w:cs="Arial"/>
                <w:b/>
                <w:sz w:val="20"/>
                <w:szCs w:val="20"/>
              </w:rPr>
            </w:pPr>
          </w:p>
          <w:p w14:paraId="2B98E980" w14:textId="2AF037F4" w:rsidR="00353CFC" w:rsidRPr="00606E1F" w:rsidRDefault="00353CFC" w:rsidP="00353CFC">
            <w:pPr>
              <w:ind w:left="144" w:right="286"/>
              <w:jc w:val="both"/>
              <w:rPr>
                <w:rFonts w:ascii="Arial" w:hAnsi="Arial" w:cs="Arial"/>
                <w:sz w:val="20"/>
                <w:szCs w:val="20"/>
              </w:rPr>
            </w:pPr>
            <w:r w:rsidRPr="006412C0">
              <w:rPr>
                <w:rFonts w:ascii="Arial" w:hAnsi="Arial" w:cs="Arial"/>
                <w:b/>
                <w:sz w:val="20"/>
                <w:szCs w:val="20"/>
              </w:rPr>
              <w:t xml:space="preserve">CUARTO. </w:t>
            </w:r>
            <w:r w:rsidRPr="00606E1F">
              <w:rPr>
                <w:rFonts w:ascii="Arial" w:hAnsi="Arial" w:cs="Arial"/>
                <w:sz w:val="20"/>
                <w:szCs w:val="20"/>
              </w:rPr>
              <w:t>Se reconoció la validez de los artículos 24, párrafo 1; 28, párrafo 1, fracción VI; 29, párrafo 1; 39, párrafo quinto, 40, 41, párrafo 1, fracciones VII y XI; 42, 43, párrafo 2; 44, 45, 46, 47, 48, 49 y 67; 76, párrafo 1; 92; 93; 94; 95; 96; 97; 98; 99; 100; 101; 111; 211, párrafo 5; 217, párrafo 1, fracción I; 275, párrafo 1, fracción III; 290, párrafo 1, fracción I, inciso d); 291, párrafo 1, fracciones I, II y III; 295; 299 y 336, párrafo 2, fracción III, de la Ley Electoral para el Estado de Durango, en los términos precisados en el considerando quinto de la presente resolución</w:t>
            </w:r>
          </w:p>
          <w:p w14:paraId="4D64F6B8" w14:textId="77777777" w:rsidR="00353CFC" w:rsidRDefault="00353CFC" w:rsidP="00353CFC">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3559C30B" w14:textId="77777777" w:rsidR="00353CFC" w:rsidRDefault="00353CFC" w:rsidP="00353CFC">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4F9C3A70" w14:textId="77777777" w:rsidR="00353CFC" w:rsidRDefault="00353CFC" w:rsidP="00353CFC">
            <w:pPr>
              <w:pStyle w:val="Prrafodelista"/>
              <w:ind w:left="144" w:right="144"/>
              <w:jc w:val="both"/>
              <w:rPr>
                <w:rFonts w:ascii="Arial" w:hAnsi="Arial" w:cs="Arial"/>
                <w:b/>
                <w:sz w:val="20"/>
                <w:szCs w:val="20"/>
                <w:lang w:val="es-MX"/>
              </w:rPr>
            </w:pPr>
            <w:r>
              <w:rPr>
                <w:rFonts w:ascii="Arial" w:hAnsi="Arial" w:cs="Arial"/>
                <w:b/>
                <w:sz w:val="20"/>
                <w:szCs w:val="20"/>
                <w:lang w:val="es-MX"/>
              </w:rPr>
              <w:t xml:space="preserve">. </w:t>
            </w:r>
          </w:p>
          <w:p w14:paraId="377AB26E" w14:textId="77777777" w:rsidR="00353CFC" w:rsidRDefault="00353CFC" w:rsidP="00353CFC">
            <w:pPr>
              <w:pStyle w:val="Prrafodelista"/>
              <w:ind w:left="144" w:right="144"/>
              <w:jc w:val="both"/>
              <w:rPr>
                <w:rFonts w:ascii="Arial" w:hAnsi="Arial" w:cs="Arial"/>
                <w:b/>
                <w:sz w:val="20"/>
                <w:szCs w:val="20"/>
                <w:lang w:val="es-MX"/>
              </w:rPr>
            </w:pPr>
            <w:r>
              <w:rPr>
                <w:rFonts w:ascii="Arial" w:hAnsi="Arial" w:cs="Arial"/>
                <w:b/>
                <w:sz w:val="20"/>
                <w:szCs w:val="20"/>
                <w:lang w:val="es-MX"/>
              </w:rPr>
              <w:t>(…)</w:t>
            </w:r>
          </w:p>
          <w:p w14:paraId="407960EF" w14:textId="77777777" w:rsidR="00353CFC" w:rsidRDefault="00353CFC" w:rsidP="00353CFC">
            <w:pPr>
              <w:ind w:left="144" w:right="286"/>
              <w:jc w:val="both"/>
              <w:rPr>
                <w:rFonts w:ascii="Arial" w:hAnsi="Arial" w:cs="Arial"/>
                <w:b/>
                <w:sz w:val="20"/>
                <w:szCs w:val="20"/>
                <w:lang w:val="es-MX"/>
              </w:rPr>
            </w:pPr>
          </w:p>
          <w:p w14:paraId="4D1A396D" w14:textId="791BF455" w:rsidR="00353CFC" w:rsidRPr="00606E1F" w:rsidRDefault="00353CFC" w:rsidP="00353CFC">
            <w:pPr>
              <w:ind w:left="144" w:right="286"/>
              <w:jc w:val="both"/>
              <w:rPr>
                <w:rFonts w:ascii="Arial" w:hAnsi="Arial" w:cs="Arial"/>
                <w:b/>
                <w:sz w:val="20"/>
                <w:szCs w:val="20"/>
                <w:lang w:val="es-MX"/>
              </w:rPr>
            </w:pPr>
            <w:r w:rsidRPr="00606E1F">
              <w:rPr>
                <w:rFonts w:ascii="Arial" w:hAnsi="Arial" w:cs="Arial"/>
                <w:b/>
                <w:sz w:val="20"/>
                <w:szCs w:val="20"/>
                <w:lang w:val="es-MX"/>
              </w:rPr>
              <w:t>En relación con el punto resolutivo:</w:t>
            </w:r>
          </w:p>
          <w:p w14:paraId="0219E6D7" w14:textId="77777777" w:rsidR="00353CFC" w:rsidRDefault="00353CFC" w:rsidP="00353CFC">
            <w:pPr>
              <w:ind w:left="144" w:right="286"/>
              <w:jc w:val="both"/>
              <w:rPr>
                <w:rFonts w:ascii="Arial" w:hAnsi="Arial" w:cs="Arial"/>
                <w:sz w:val="20"/>
                <w:szCs w:val="20"/>
                <w:lang w:val="es-MX"/>
              </w:rPr>
            </w:pPr>
          </w:p>
          <w:p w14:paraId="022CD552" w14:textId="5461527F" w:rsidR="00353CFC" w:rsidRPr="003737BE" w:rsidRDefault="00353CFC" w:rsidP="00353CFC">
            <w:pPr>
              <w:ind w:left="144" w:right="286"/>
              <w:jc w:val="both"/>
              <w:rPr>
                <w:rFonts w:ascii="Arial" w:hAnsi="Arial" w:cs="Arial"/>
                <w:sz w:val="20"/>
                <w:szCs w:val="20"/>
                <w:lang w:val="es-MX"/>
              </w:rPr>
            </w:pPr>
            <w:r w:rsidRPr="00606E1F">
              <w:rPr>
                <w:rFonts w:ascii="Arial" w:hAnsi="Arial" w:cs="Arial"/>
                <w:sz w:val="20"/>
                <w:szCs w:val="20"/>
                <w:lang w:val="es-MX"/>
              </w:rPr>
              <w:lastRenderedPageBreak/>
              <w:t>Así, lo resolvió el Tribunal Pleno de la Suprema Corte de Justicia de la Nación, por unanimidad de</w:t>
            </w:r>
            <w:r>
              <w:rPr>
                <w:rFonts w:ascii="Arial" w:hAnsi="Arial" w:cs="Arial"/>
                <w:sz w:val="20"/>
                <w:szCs w:val="20"/>
                <w:lang w:val="es-MX"/>
              </w:rPr>
              <w:t xml:space="preserve"> 10</w:t>
            </w:r>
            <w:r w:rsidRPr="00606E1F">
              <w:rPr>
                <w:rFonts w:ascii="Arial" w:hAnsi="Arial" w:cs="Arial"/>
                <w:sz w:val="20"/>
                <w:szCs w:val="20"/>
                <w:lang w:val="es-MX"/>
              </w:rPr>
              <w:t xml:space="preserve"> votos de los Ministros Aguirre Anguiano, Cossío Díaz, Luna Ramos, Franco González Salas, Góngora Pimentel, Azuela Güitrón, Valls Hernández, Sánchez Cordero de García Villegas, Silva Meza y Presidente Ortiz </w:t>
            </w:r>
            <w:proofErr w:type="spellStart"/>
            <w:r w:rsidRPr="00606E1F">
              <w:rPr>
                <w:rFonts w:ascii="Arial" w:hAnsi="Arial" w:cs="Arial"/>
                <w:sz w:val="20"/>
                <w:szCs w:val="20"/>
                <w:lang w:val="es-MX"/>
              </w:rPr>
              <w:t>Mayagoitia</w:t>
            </w:r>
            <w:proofErr w:type="spellEnd"/>
            <w:r w:rsidRPr="00606E1F">
              <w:rPr>
                <w:rFonts w:ascii="Arial" w:hAnsi="Arial" w:cs="Arial"/>
                <w:sz w:val="20"/>
                <w:szCs w:val="20"/>
                <w:lang w:val="es-MX"/>
              </w:rPr>
              <w:t xml:space="preserve"> se aprobaron los puntos Resolutivos Primero, Segundo, Cuarto, excepto por lo que se refiere al reconocimiento de validez de los artículos 24, párrafo 1, de la Ley Electoral para el Estado de Durango, el que se aprobó por mayoría de</w:t>
            </w:r>
            <w:r>
              <w:rPr>
                <w:rFonts w:ascii="Arial" w:hAnsi="Arial" w:cs="Arial"/>
                <w:sz w:val="20"/>
                <w:szCs w:val="20"/>
                <w:lang w:val="es-MX"/>
              </w:rPr>
              <w:t xml:space="preserve"> 8</w:t>
            </w:r>
            <w:r w:rsidRPr="00606E1F">
              <w:rPr>
                <w:rFonts w:ascii="Arial" w:hAnsi="Arial" w:cs="Arial"/>
                <w:sz w:val="20"/>
                <w:szCs w:val="20"/>
                <w:lang w:val="es-MX"/>
              </w:rPr>
              <w:t xml:space="preserve"> votos de los Ministros Aguirre Anguiano, Cossío Díaz, Luna Ramos, Franco González Salas, Azuela Güitrón, Valls Hernández, Silva Meza y Presidente Ortiz </w:t>
            </w:r>
            <w:proofErr w:type="spellStart"/>
            <w:r w:rsidRPr="00606E1F">
              <w:rPr>
                <w:rFonts w:ascii="Arial" w:hAnsi="Arial" w:cs="Arial"/>
                <w:sz w:val="20"/>
                <w:szCs w:val="20"/>
                <w:lang w:val="es-MX"/>
              </w:rPr>
              <w:t>Mayagoitia</w:t>
            </w:r>
            <w:proofErr w:type="spellEnd"/>
            <w:r w:rsidRPr="00606E1F">
              <w:rPr>
                <w:rFonts w:ascii="Arial" w:hAnsi="Arial" w:cs="Arial"/>
                <w:sz w:val="20"/>
                <w:szCs w:val="20"/>
                <w:lang w:val="es-MX"/>
              </w:rPr>
              <w:t xml:space="preserve">, los Ministros Góngora Pimentel y Sánchez Cordero de García Villegas votaron en contra; 28, párrafo 1, de la propia ley impugnada, el que se aprobó por mayoría de </w:t>
            </w:r>
            <w:r>
              <w:rPr>
                <w:rFonts w:ascii="Arial" w:hAnsi="Arial" w:cs="Arial"/>
                <w:sz w:val="20"/>
                <w:szCs w:val="20"/>
                <w:lang w:val="es-MX"/>
              </w:rPr>
              <w:t>7</w:t>
            </w:r>
            <w:r w:rsidRPr="00606E1F">
              <w:rPr>
                <w:rFonts w:ascii="Arial" w:hAnsi="Arial" w:cs="Arial"/>
                <w:sz w:val="20"/>
                <w:szCs w:val="20"/>
                <w:lang w:val="es-MX"/>
              </w:rPr>
              <w:t xml:space="preserve"> votos de los Ministros Cossío Díaz, Franco González Salas, Góngora Pimentel, Azuela Güitrón, Sánchez Cordero de García Villegas, Silva Meza y Presidente Ortiz </w:t>
            </w:r>
            <w:proofErr w:type="spellStart"/>
            <w:r w:rsidRPr="00606E1F">
              <w:rPr>
                <w:rFonts w:ascii="Arial" w:hAnsi="Arial" w:cs="Arial"/>
                <w:sz w:val="20"/>
                <w:szCs w:val="20"/>
                <w:lang w:val="es-MX"/>
              </w:rPr>
              <w:t>Mayagoitia</w:t>
            </w:r>
            <w:proofErr w:type="spellEnd"/>
            <w:r w:rsidRPr="00606E1F">
              <w:rPr>
                <w:rFonts w:ascii="Arial" w:hAnsi="Arial" w:cs="Arial"/>
                <w:sz w:val="20"/>
                <w:szCs w:val="20"/>
                <w:lang w:val="es-MX"/>
              </w:rPr>
              <w:t>, los Ministros Aguirre Anguiano, Luna Ramos y Valls Hernández votaron en contra; y 92, 93, 94, 95, 96 y 97 de la propia Ley Electoral impugnada, el que se aprobó por mayoría de</w:t>
            </w:r>
            <w:r>
              <w:rPr>
                <w:rFonts w:ascii="Arial" w:hAnsi="Arial" w:cs="Arial"/>
                <w:sz w:val="20"/>
                <w:szCs w:val="20"/>
                <w:lang w:val="es-MX"/>
              </w:rPr>
              <w:t xml:space="preserve"> 8</w:t>
            </w:r>
            <w:r w:rsidRPr="00606E1F">
              <w:rPr>
                <w:rFonts w:ascii="Arial" w:hAnsi="Arial" w:cs="Arial"/>
                <w:sz w:val="20"/>
                <w:szCs w:val="20"/>
                <w:lang w:val="es-MX"/>
              </w:rPr>
              <w:t xml:space="preserve"> votos de los Cossío Díaz, Luna Ramos, Franco González Salas, Azuela Güitrón, Valls Hernández, Sánchez Cordero de García Villegas, Silva Meza y Presidente Ortiz </w:t>
            </w:r>
            <w:proofErr w:type="spellStart"/>
            <w:r w:rsidRPr="00606E1F">
              <w:rPr>
                <w:rFonts w:ascii="Arial" w:hAnsi="Arial" w:cs="Arial"/>
                <w:sz w:val="20"/>
                <w:szCs w:val="20"/>
                <w:lang w:val="es-MX"/>
              </w:rPr>
              <w:t>Mayagoitia</w:t>
            </w:r>
            <w:proofErr w:type="spellEnd"/>
            <w:r w:rsidRPr="00606E1F">
              <w:rPr>
                <w:rFonts w:ascii="Arial" w:hAnsi="Arial" w:cs="Arial"/>
                <w:sz w:val="20"/>
                <w:szCs w:val="20"/>
                <w:lang w:val="es-MX"/>
              </w:rPr>
              <w:t>, los Ministros Aguirre Anguiano y Góngora Pimentel votaron en contra; Quinto y Sexto.</w:t>
            </w:r>
          </w:p>
          <w:p w14:paraId="5960B618" w14:textId="77777777" w:rsidR="00353CFC" w:rsidRDefault="00353CFC" w:rsidP="00353CFC">
            <w:pPr>
              <w:ind w:left="144" w:right="286"/>
              <w:jc w:val="both"/>
              <w:rPr>
                <w:rFonts w:ascii="Arial" w:hAnsi="Arial" w:cs="Arial"/>
                <w:sz w:val="20"/>
                <w:szCs w:val="20"/>
                <w:lang w:val="es-MX"/>
              </w:rPr>
            </w:pPr>
          </w:p>
        </w:tc>
      </w:tr>
      <w:tr w:rsidR="00353CFC" w:rsidRPr="00ED2D84" w14:paraId="1718C3D9" w14:textId="77777777" w:rsidTr="00C75296">
        <w:trPr>
          <w:trHeight w:val="283"/>
        </w:trPr>
        <w:tc>
          <w:tcPr>
            <w:tcW w:w="1877" w:type="dxa"/>
            <w:vAlign w:val="center"/>
          </w:tcPr>
          <w:p w14:paraId="3C379DCA" w14:textId="77777777" w:rsidR="00353CFC" w:rsidRDefault="00AF100A" w:rsidP="00353CFC">
            <w:pPr>
              <w:ind w:left="170" w:right="198"/>
              <w:jc w:val="center"/>
              <w:rPr>
                <w:rStyle w:val="Hipervnculo"/>
                <w:rFonts w:ascii="Arial" w:eastAsia="Times New Roman" w:hAnsi="Arial" w:cs="Arial"/>
                <w:b/>
                <w:sz w:val="20"/>
                <w:szCs w:val="20"/>
                <w:lang w:val="es-MX" w:eastAsia="es-MX"/>
              </w:rPr>
            </w:pPr>
            <w:hyperlink r:id="rId31" w:history="1">
              <w:r w:rsidR="00353CFC" w:rsidRPr="00ED2D84">
                <w:rPr>
                  <w:rStyle w:val="Hipervnculo"/>
                  <w:rFonts w:ascii="Arial" w:eastAsia="Times New Roman" w:hAnsi="Arial" w:cs="Arial"/>
                  <w:b/>
                  <w:sz w:val="20"/>
                  <w:szCs w:val="20"/>
                  <w:lang w:val="es-MX" w:eastAsia="es-MX"/>
                </w:rPr>
                <w:t>19/2005</w:t>
              </w:r>
            </w:hyperlink>
          </w:p>
          <w:p w14:paraId="5AB61B53" w14:textId="77777777" w:rsidR="00353CFC" w:rsidRDefault="00353CFC" w:rsidP="00353CFC">
            <w:pPr>
              <w:ind w:left="170" w:right="198"/>
              <w:jc w:val="center"/>
              <w:rPr>
                <w:rStyle w:val="Hipervnculo"/>
                <w:rFonts w:ascii="Arial" w:eastAsia="Times New Roman" w:hAnsi="Arial" w:cs="Arial"/>
                <w:b/>
                <w:sz w:val="20"/>
                <w:szCs w:val="20"/>
                <w:lang w:val="es-MX" w:eastAsia="es-MX"/>
              </w:rPr>
            </w:pPr>
          </w:p>
          <w:p w14:paraId="3B604B73" w14:textId="06D47AE9" w:rsidR="00353CFC" w:rsidRPr="00C4535A" w:rsidRDefault="00353CFC" w:rsidP="00353CFC">
            <w:pPr>
              <w:ind w:left="170" w:right="198"/>
              <w:jc w:val="center"/>
              <w:rPr>
                <w:rFonts w:ascii="Arial" w:hAnsi="Arial" w:cs="Arial"/>
                <w:b/>
                <w:bCs/>
                <w:sz w:val="20"/>
                <w:szCs w:val="20"/>
                <w:lang w:val="es-MX"/>
              </w:rPr>
            </w:pPr>
            <w:r w:rsidRPr="00C4535A">
              <w:rPr>
                <w:rFonts w:ascii="Arial" w:hAnsi="Arial" w:cs="Arial"/>
                <w:b/>
                <w:bCs/>
                <w:sz w:val="20"/>
                <w:szCs w:val="20"/>
                <w:lang w:val="es-MX"/>
              </w:rPr>
              <w:t>Sonora</w:t>
            </w:r>
          </w:p>
        </w:tc>
        <w:tc>
          <w:tcPr>
            <w:tcW w:w="12294" w:type="dxa"/>
          </w:tcPr>
          <w:p w14:paraId="46E99677" w14:textId="77777777" w:rsidR="00353CFC" w:rsidRPr="00ED2D84" w:rsidRDefault="00353CFC" w:rsidP="00353CFC">
            <w:pPr>
              <w:pStyle w:val="Prrafodelista"/>
              <w:ind w:left="170" w:right="198"/>
              <w:jc w:val="both"/>
              <w:rPr>
                <w:rFonts w:ascii="Arial" w:hAnsi="Arial" w:cs="Arial"/>
                <w:b/>
                <w:bCs/>
                <w:sz w:val="20"/>
                <w:szCs w:val="20"/>
                <w:lang w:val="es-MX"/>
              </w:rPr>
            </w:pPr>
          </w:p>
          <w:p w14:paraId="2617F2BB" w14:textId="0043DFB3" w:rsidR="00353CFC" w:rsidRPr="00ED2D84" w:rsidRDefault="00353CFC" w:rsidP="00353CFC">
            <w:pPr>
              <w:pStyle w:val="Prrafodelista"/>
              <w:numPr>
                <w:ilvl w:val="0"/>
                <w:numId w:val="9"/>
              </w:numPr>
              <w:ind w:left="170" w:right="198" w:hanging="142"/>
              <w:jc w:val="both"/>
              <w:rPr>
                <w:rFonts w:ascii="Arial" w:hAnsi="Arial" w:cs="Arial"/>
                <w:b/>
                <w:bCs/>
                <w:sz w:val="20"/>
                <w:szCs w:val="20"/>
                <w:lang w:val="es-MX"/>
              </w:rPr>
            </w:pPr>
            <w:r w:rsidRPr="00ED2D84">
              <w:rPr>
                <w:rFonts w:ascii="Arial" w:hAnsi="Arial" w:cs="Arial"/>
                <w:b/>
                <w:bCs/>
                <w:sz w:val="20"/>
                <w:szCs w:val="20"/>
              </w:rPr>
              <w:t>De la Fiscalización del Financiamiento Público y Privado</w:t>
            </w:r>
            <w:r w:rsidRPr="00ED2D84">
              <w:rPr>
                <w:rFonts w:ascii="Arial" w:hAnsi="Arial" w:cs="Arial"/>
                <w:b/>
                <w:bCs/>
                <w:sz w:val="20"/>
                <w:szCs w:val="20"/>
                <w:lang w:val="es-MX"/>
              </w:rPr>
              <w:t>.</w:t>
            </w:r>
          </w:p>
          <w:p w14:paraId="1A014612" w14:textId="77777777" w:rsidR="00353CFC" w:rsidRPr="00ED2D84" w:rsidRDefault="00353CFC" w:rsidP="00353CFC">
            <w:pPr>
              <w:ind w:left="170" w:right="198"/>
              <w:jc w:val="both"/>
              <w:rPr>
                <w:rFonts w:ascii="Arial" w:hAnsi="Arial" w:cs="Arial"/>
                <w:b/>
                <w:bCs/>
                <w:sz w:val="20"/>
                <w:szCs w:val="20"/>
                <w:lang w:val="es-MX"/>
              </w:rPr>
            </w:pPr>
          </w:p>
          <w:p w14:paraId="60588C84" w14:textId="6A003C58" w:rsidR="00353CFC" w:rsidRPr="00ED2D84" w:rsidRDefault="00353CFC" w:rsidP="00353CFC">
            <w:pPr>
              <w:ind w:left="170" w:right="198"/>
              <w:jc w:val="both"/>
              <w:rPr>
                <w:rFonts w:ascii="Arial" w:hAnsi="Arial" w:cs="Arial"/>
                <w:sz w:val="20"/>
                <w:szCs w:val="20"/>
                <w:lang w:val="es-MX"/>
              </w:rPr>
            </w:pPr>
            <w:r w:rsidRPr="00ED2D84">
              <w:rPr>
                <w:rFonts w:ascii="Arial" w:hAnsi="Arial" w:cs="Arial"/>
                <w:sz w:val="20"/>
                <w:szCs w:val="20"/>
                <w:lang w:val="es-MX"/>
              </w:rPr>
              <w:t>El partido político del Trabajo impugnó los artículos 33, 34, 35, 36, 37 y 38 del Código Electoral para el Estado de Sonora, ya que consideró que el citado Código demuestra un avance significativo en la vida electoral del Estado, y representa una intromisión en la vida interna de los partidos políticos en lo relativo a los procesos de fiscalización del financiamiento público y privado que reciben para la realización de sus actividades, por lo que transgrede el artículo 16 de la CPEUM, ya que la figura del “contador público certificado” no está debidamente fundamentada en el Código Electoral Estatal, ya que no aporta la información necesaria acerca de sus funciones, atribuciones y facultades, además de que a un mes de haberse expedido el citado ordenamiento legal, no existe el reglamento de la Comisión de Fiscalización en el que se especifique todo lo competente con la figura del “contador público certificado”, situación que es una laguna significativa ya que la citada comisión, entraría en funciones de forma inmediata.</w:t>
            </w:r>
          </w:p>
          <w:p w14:paraId="57F765B7" w14:textId="77777777" w:rsidR="00353CFC" w:rsidRPr="00ED2D84" w:rsidRDefault="00353CFC" w:rsidP="00353CFC">
            <w:pPr>
              <w:ind w:left="170" w:right="198"/>
              <w:jc w:val="both"/>
              <w:rPr>
                <w:rFonts w:ascii="Arial" w:hAnsi="Arial" w:cs="Arial"/>
                <w:b/>
                <w:color w:val="000000"/>
                <w:sz w:val="20"/>
                <w:szCs w:val="20"/>
                <w:lang w:val="es-MX"/>
              </w:rPr>
            </w:pPr>
          </w:p>
          <w:p w14:paraId="40139731" w14:textId="34A6A54F" w:rsidR="00353CFC" w:rsidRDefault="00353CFC" w:rsidP="00353CFC">
            <w:pPr>
              <w:ind w:left="170" w:right="198"/>
              <w:jc w:val="both"/>
              <w:rPr>
                <w:rFonts w:ascii="Arial" w:hAnsi="Arial" w:cs="Arial"/>
                <w:b/>
                <w:color w:val="000000"/>
                <w:sz w:val="20"/>
                <w:szCs w:val="20"/>
                <w:lang w:val="es-MX"/>
              </w:rPr>
            </w:pPr>
            <w:r w:rsidRPr="00ED2D84">
              <w:rPr>
                <w:rFonts w:ascii="Arial" w:hAnsi="Arial" w:cs="Arial"/>
                <w:b/>
                <w:color w:val="000000"/>
                <w:sz w:val="20"/>
                <w:szCs w:val="20"/>
                <w:lang w:val="es-MX"/>
              </w:rPr>
              <w:t>Consideraciones</w:t>
            </w:r>
          </w:p>
          <w:p w14:paraId="78209300" w14:textId="77777777" w:rsidR="00353CFC" w:rsidRPr="00ED2D84" w:rsidRDefault="00353CFC" w:rsidP="00353CFC">
            <w:pPr>
              <w:ind w:left="170" w:right="198"/>
              <w:jc w:val="both"/>
              <w:rPr>
                <w:rFonts w:ascii="Arial" w:hAnsi="Arial" w:cs="Arial"/>
                <w:b/>
                <w:color w:val="000000"/>
                <w:sz w:val="20"/>
                <w:szCs w:val="20"/>
                <w:lang w:val="es-MX"/>
              </w:rPr>
            </w:pPr>
          </w:p>
          <w:p w14:paraId="4A9C1A93" w14:textId="77777777" w:rsidR="00353CFC" w:rsidRPr="00ED2D84" w:rsidRDefault="00353CFC" w:rsidP="00353CFC">
            <w:pPr>
              <w:ind w:left="170" w:right="198"/>
              <w:jc w:val="both"/>
              <w:rPr>
                <w:rFonts w:ascii="Arial" w:hAnsi="Arial" w:cs="Arial"/>
                <w:sz w:val="20"/>
                <w:szCs w:val="20"/>
                <w:lang w:val="es-MX"/>
              </w:rPr>
            </w:pPr>
            <w:r w:rsidRPr="00ED2D84">
              <w:rPr>
                <w:rFonts w:ascii="Arial" w:hAnsi="Arial" w:cs="Arial"/>
                <w:b/>
                <w:sz w:val="20"/>
                <w:szCs w:val="20"/>
                <w:lang w:val="es-MX"/>
              </w:rPr>
              <w:t>El Pleno de la SCJN reconoció la validez</w:t>
            </w:r>
            <w:r w:rsidRPr="00ED2D84">
              <w:rPr>
                <w:rFonts w:ascii="Arial" w:hAnsi="Arial" w:cs="Arial"/>
                <w:sz w:val="20"/>
                <w:szCs w:val="20"/>
                <w:lang w:val="es-MX"/>
              </w:rPr>
              <w:t xml:space="preserve"> de los artículos 33, 34, 35, 36, 37 y 38 del Código Electoral para el Estado de Sonora, ya que de la lectura del artículo 35, fracción II, del Código local,  desprende que el legislador local, en lo relativo a la fiscalización de los recursos públicos y privados de los partidos políticos, dispuso que los informes financieros que deberán entregar anualmente los partidos políticos, y que serán revisados por la Comisión de Fiscalización, deberán cubrir el requisito de que sean auditados por un “contador público certificado”, es decir, un contador que cuente con la certificación que lo avale como un profesionista con capacidad y calidad en el ejercicio de su profesión, por lo que advirtió que el certificado será un profesionista que los propios partidos deberán elegir, y la única obligación que el artículo 35, fracción II, del citado ordenamiento legal les impone es que los informes financieros que deben entregar anualmente a la Comisión de Fiscalización, cumplan con el requisito de que sean auditados por un contador público certificado, más no señala cierta y determinadamente quien será ese profesionista, es decir, cada partido político, tiene amplia libertad para elegir </w:t>
            </w:r>
            <w:r w:rsidRPr="00ED2D84">
              <w:rPr>
                <w:rFonts w:ascii="Arial" w:hAnsi="Arial" w:cs="Arial"/>
                <w:sz w:val="20"/>
                <w:szCs w:val="20"/>
                <w:lang w:val="es-MX"/>
              </w:rPr>
              <w:lastRenderedPageBreak/>
              <w:t xml:space="preserve">al contador público certificado que sea el encargado de auditar sus informes financieros. </w:t>
            </w:r>
          </w:p>
          <w:p w14:paraId="61B46932" w14:textId="77777777" w:rsidR="00353CFC" w:rsidRPr="00ED2D84" w:rsidRDefault="00353CFC" w:rsidP="00353CFC">
            <w:pPr>
              <w:ind w:left="170" w:right="198"/>
              <w:jc w:val="both"/>
              <w:rPr>
                <w:rFonts w:ascii="Arial" w:hAnsi="Arial" w:cs="Arial"/>
                <w:sz w:val="20"/>
                <w:szCs w:val="20"/>
                <w:lang w:val="es-MX"/>
              </w:rPr>
            </w:pPr>
          </w:p>
          <w:p w14:paraId="61347D4D" w14:textId="7B9A6F57" w:rsidR="00353CFC" w:rsidRPr="00ED2D84" w:rsidRDefault="00353CFC" w:rsidP="00353CFC">
            <w:pPr>
              <w:ind w:left="170" w:right="198"/>
              <w:jc w:val="both"/>
              <w:rPr>
                <w:rFonts w:ascii="Arial" w:hAnsi="Arial" w:cs="Arial"/>
                <w:sz w:val="20"/>
                <w:szCs w:val="20"/>
                <w:lang w:val="es-MX"/>
              </w:rPr>
            </w:pPr>
            <w:r w:rsidRPr="00ED2D84">
              <w:rPr>
                <w:rFonts w:ascii="Arial" w:hAnsi="Arial" w:cs="Arial"/>
                <w:sz w:val="20"/>
                <w:szCs w:val="20"/>
                <w:lang w:val="es-MX"/>
              </w:rPr>
              <w:t>En este sentido, resultan infundados los argumentos del partido político promovente relativos a que el contador público certificado es un tercero ajeno que, al auditar sus informes financieros, generaría una grave intromisión en la vida interna de los partidos políticos, porque tal y como ya se precisó, los partidos políticos tienen plena libertad para elegir al contador público certificado de su confianza, para que audite sus informes financieros.</w:t>
            </w:r>
          </w:p>
          <w:p w14:paraId="059F4732" w14:textId="77777777" w:rsidR="00353CFC" w:rsidRPr="00ED2D84" w:rsidRDefault="00353CFC" w:rsidP="00353CFC">
            <w:pPr>
              <w:pStyle w:val="corte4fondo"/>
              <w:spacing w:line="240" w:lineRule="auto"/>
              <w:ind w:left="170" w:right="198" w:firstLine="0"/>
              <w:rPr>
                <w:rFonts w:cs="Arial"/>
                <w:b/>
                <w:sz w:val="20"/>
              </w:rPr>
            </w:pPr>
          </w:p>
          <w:p w14:paraId="3076569B" w14:textId="07AFFD91" w:rsidR="00353CFC" w:rsidRPr="00ED2D84" w:rsidRDefault="00353CFC" w:rsidP="00353CFC">
            <w:pPr>
              <w:pStyle w:val="corte4fondo"/>
              <w:spacing w:line="240" w:lineRule="auto"/>
              <w:ind w:left="170" w:right="198" w:firstLine="0"/>
              <w:rPr>
                <w:rFonts w:cs="Arial"/>
                <w:b/>
                <w:sz w:val="20"/>
              </w:rPr>
            </w:pPr>
            <w:r w:rsidRPr="00ED2D84">
              <w:rPr>
                <w:rFonts w:cs="Arial"/>
                <w:b/>
                <w:sz w:val="20"/>
              </w:rPr>
              <w:t>Resolutivo.</w:t>
            </w:r>
          </w:p>
          <w:p w14:paraId="46E53EF7" w14:textId="77777777" w:rsidR="00353CFC" w:rsidRPr="00ED2D84" w:rsidRDefault="00353CFC" w:rsidP="00353CFC">
            <w:pPr>
              <w:pStyle w:val="corte4fondo"/>
              <w:spacing w:line="240" w:lineRule="auto"/>
              <w:ind w:left="170" w:right="198" w:firstLine="0"/>
              <w:rPr>
                <w:rFonts w:cs="Arial"/>
                <w:b/>
                <w:sz w:val="20"/>
              </w:rPr>
            </w:pPr>
            <w:r w:rsidRPr="00ED2D84">
              <w:rPr>
                <w:rFonts w:cs="Arial"/>
                <w:b/>
                <w:sz w:val="20"/>
              </w:rPr>
              <w:t>.</w:t>
            </w:r>
          </w:p>
          <w:p w14:paraId="63AD6E95" w14:textId="77777777" w:rsidR="00353CFC" w:rsidRPr="00ED2D84" w:rsidRDefault="00353CFC" w:rsidP="00353CFC">
            <w:pPr>
              <w:pStyle w:val="corte4fondo"/>
              <w:spacing w:line="240" w:lineRule="auto"/>
              <w:ind w:left="170" w:right="198" w:firstLine="0"/>
              <w:rPr>
                <w:rFonts w:cs="Arial"/>
                <w:b/>
                <w:sz w:val="20"/>
              </w:rPr>
            </w:pPr>
            <w:r w:rsidRPr="00ED2D84">
              <w:rPr>
                <w:rFonts w:cs="Arial"/>
                <w:b/>
                <w:sz w:val="20"/>
              </w:rPr>
              <w:t>.</w:t>
            </w:r>
          </w:p>
          <w:p w14:paraId="0F7836B4" w14:textId="77777777" w:rsidR="00353CFC" w:rsidRPr="00ED2D84" w:rsidRDefault="00353CFC" w:rsidP="00353CFC">
            <w:pPr>
              <w:pStyle w:val="corte4fondo"/>
              <w:spacing w:line="240" w:lineRule="auto"/>
              <w:ind w:left="170" w:right="198" w:firstLine="0"/>
              <w:rPr>
                <w:rFonts w:cs="Arial"/>
                <w:b/>
                <w:sz w:val="20"/>
              </w:rPr>
            </w:pPr>
            <w:r w:rsidRPr="00ED2D84">
              <w:rPr>
                <w:rFonts w:cs="Arial"/>
                <w:b/>
                <w:sz w:val="20"/>
              </w:rPr>
              <w:t>.</w:t>
            </w:r>
          </w:p>
          <w:p w14:paraId="1AA478E8" w14:textId="77777777" w:rsidR="00353CFC" w:rsidRPr="00ED2D84" w:rsidRDefault="00353CFC" w:rsidP="00353CFC">
            <w:pPr>
              <w:pStyle w:val="corte4fondo"/>
              <w:spacing w:line="240" w:lineRule="auto"/>
              <w:ind w:left="170" w:right="198" w:firstLine="0"/>
              <w:rPr>
                <w:rFonts w:cs="Arial"/>
                <w:b/>
                <w:sz w:val="20"/>
              </w:rPr>
            </w:pPr>
            <w:r w:rsidRPr="00ED2D84">
              <w:rPr>
                <w:rFonts w:cs="Arial"/>
                <w:b/>
                <w:sz w:val="20"/>
              </w:rPr>
              <w:t>(…)</w:t>
            </w:r>
          </w:p>
          <w:p w14:paraId="6B7B0138" w14:textId="77777777" w:rsidR="00353CFC" w:rsidRPr="00ED2D84" w:rsidRDefault="00353CFC" w:rsidP="00353CFC">
            <w:pPr>
              <w:pStyle w:val="corte4fondo"/>
              <w:spacing w:line="240" w:lineRule="auto"/>
              <w:ind w:left="170" w:right="198" w:firstLine="0"/>
              <w:rPr>
                <w:rFonts w:cs="Arial"/>
                <w:b/>
                <w:sz w:val="20"/>
              </w:rPr>
            </w:pPr>
          </w:p>
          <w:p w14:paraId="1D9740EE" w14:textId="32BF2F01" w:rsidR="00353CFC" w:rsidRPr="00ED2D84" w:rsidRDefault="00353CFC" w:rsidP="00353CFC">
            <w:pPr>
              <w:pStyle w:val="corte4fondo"/>
              <w:spacing w:line="240" w:lineRule="auto"/>
              <w:ind w:left="170" w:right="198" w:firstLine="0"/>
              <w:rPr>
                <w:rFonts w:cs="Arial"/>
                <w:b/>
                <w:sz w:val="20"/>
              </w:rPr>
            </w:pPr>
            <w:r w:rsidRPr="00ED2D84">
              <w:rPr>
                <w:rFonts w:cs="Arial"/>
                <w:b/>
                <w:sz w:val="20"/>
              </w:rPr>
              <w:t xml:space="preserve">SEGUNDO. </w:t>
            </w:r>
            <w:r w:rsidRPr="00ED2D84">
              <w:rPr>
                <w:rFonts w:cs="Arial"/>
                <w:sz w:val="20"/>
              </w:rPr>
              <w:t xml:space="preserve">Se reconoce la validez de los artículos 33, 34, 35, 36, 37 y 38 del Código Electoral para el Estado de Sonora. </w:t>
            </w:r>
          </w:p>
          <w:p w14:paraId="7C4F7CE8" w14:textId="77777777" w:rsidR="00353CFC" w:rsidRPr="00ED2D84" w:rsidRDefault="00353CFC" w:rsidP="00353CFC">
            <w:pPr>
              <w:pStyle w:val="corte4fondo"/>
              <w:spacing w:line="240" w:lineRule="auto"/>
              <w:ind w:left="170" w:right="198" w:firstLine="0"/>
              <w:rPr>
                <w:rFonts w:cs="Arial"/>
                <w:b/>
                <w:sz w:val="20"/>
              </w:rPr>
            </w:pPr>
            <w:r w:rsidRPr="00ED2D84">
              <w:rPr>
                <w:rFonts w:cs="Arial"/>
                <w:b/>
                <w:sz w:val="20"/>
              </w:rPr>
              <w:t>.</w:t>
            </w:r>
          </w:p>
          <w:p w14:paraId="1077C433" w14:textId="77777777" w:rsidR="00353CFC" w:rsidRPr="00ED2D84" w:rsidRDefault="00353CFC" w:rsidP="00353CFC">
            <w:pPr>
              <w:pStyle w:val="corte4fondo"/>
              <w:spacing w:line="240" w:lineRule="auto"/>
              <w:ind w:left="170" w:right="198" w:firstLine="0"/>
              <w:rPr>
                <w:rFonts w:cs="Arial"/>
                <w:b/>
                <w:sz w:val="20"/>
              </w:rPr>
            </w:pPr>
            <w:r w:rsidRPr="00ED2D84">
              <w:rPr>
                <w:rFonts w:cs="Arial"/>
                <w:b/>
                <w:sz w:val="20"/>
              </w:rPr>
              <w:t>.</w:t>
            </w:r>
          </w:p>
          <w:p w14:paraId="5DAE8C00" w14:textId="77777777" w:rsidR="00353CFC" w:rsidRPr="00ED2D84" w:rsidRDefault="00353CFC" w:rsidP="00353CFC">
            <w:pPr>
              <w:pStyle w:val="corte4fondo"/>
              <w:spacing w:line="240" w:lineRule="auto"/>
              <w:ind w:left="170" w:right="198" w:firstLine="0"/>
              <w:rPr>
                <w:rFonts w:cs="Arial"/>
                <w:b/>
                <w:sz w:val="20"/>
              </w:rPr>
            </w:pPr>
            <w:r w:rsidRPr="00ED2D84">
              <w:rPr>
                <w:rFonts w:cs="Arial"/>
                <w:b/>
                <w:sz w:val="20"/>
              </w:rPr>
              <w:t>.</w:t>
            </w:r>
          </w:p>
          <w:p w14:paraId="0C3DD40A" w14:textId="76CBC8F4" w:rsidR="00353CFC" w:rsidRPr="00ED2D84" w:rsidRDefault="00353CFC" w:rsidP="00353CFC">
            <w:pPr>
              <w:pStyle w:val="corte4fondo"/>
              <w:spacing w:line="240" w:lineRule="auto"/>
              <w:ind w:left="170" w:right="198" w:firstLine="0"/>
              <w:rPr>
                <w:rFonts w:cs="Arial"/>
                <w:b/>
                <w:sz w:val="20"/>
              </w:rPr>
            </w:pPr>
            <w:r w:rsidRPr="00ED2D84">
              <w:rPr>
                <w:rFonts w:cs="Arial"/>
                <w:b/>
                <w:sz w:val="20"/>
              </w:rPr>
              <w:t>(…)</w:t>
            </w:r>
          </w:p>
          <w:p w14:paraId="02E93CD1" w14:textId="77777777" w:rsidR="00353CFC" w:rsidRPr="00ED2D84" w:rsidRDefault="00353CFC" w:rsidP="00353CFC">
            <w:pPr>
              <w:pStyle w:val="corte4fondo"/>
              <w:spacing w:line="240" w:lineRule="auto"/>
              <w:ind w:left="170" w:right="198" w:firstLine="0"/>
              <w:rPr>
                <w:rFonts w:cs="Arial"/>
                <w:b/>
                <w:sz w:val="20"/>
              </w:rPr>
            </w:pPr>
          </w:p>
          <w:p w14:paraId="1FFA4B19" w14:textId="48CEE149" w:rsidR="00353CFC" w:rsidRPr="00ED2D84" w:rsidRDefault="00353CFC" w:rsidP="00353CFC">
            <w:pPr>
              <w:ind w:left="170" w:right="198"/>
              <w:jc w:val="both"/>
              <w:rPr>
                <w:rFonts w:ascii="Arial" w:hAnsi="Arial" w:cs="Arial"/>
                <w:b/>
                <w:bCs/>
                <w:sz w:val="20"/>
                <w:szCs w:val="20"/>
                <w:lang w:val="es-MX"/>
              </w:rPr>
            </w:pPr>
            <w:r w:rsidRPr="00ED2D84">
              <w:rPr>
                <w:rFonts w:ascii="Arial" w:hAnsi="Arial" w:cs="Arial"/>
                <w:b/>
                <w:bCs/>
                <w:sz w:val="20"/>
                <w:szCs w:val="20"/>
                <w:lang w:val="es-MX"/>
              </w:rPr>
              <w:t xml:space="preserve">Votación. </w:t>
            </w:r>
          </w:p>
          <w:p w14:paraId="43A592AD" w14:textId="77777777" w:rsidR="00353CFC" w:rsidRPr="00ED2D84" w:rsidRDefault="00353CFC" w:rsidP="00353CFC">
            <w:pPr>
              <w:ind w:left="170" w:right="198"/>
              <w:jc w:val="both"/>
              <w:rPr>
                <w:rFonts w:ascii="Arial" w:hAnsi="Arial" w:cs="Arial"/>
                <w:b/>
                <w:bCs/>
                <w:sz w:val="20"/>
                <w:szCs w:val="20"/>
                <w:lang w:val="es-MX"/>
              </w:rPr>
            </w:pPr>
          </w:p>
          <w:p w14:paraId="6EAE516B" w14:textId="21F06FB6" w:rsidR="00353CFC" w:rsidRPr="00ED2D84" w:rsidRDefault="00353CFC" w:rsidP="00353CFC">
            <w:pPr>
              <w:ind w:left="170" w:right="198"/>
              <w:jc w:val="both"/>
              <w:rPr>
                <w:rFonts w:ascii="Arial" w:hAnsi="Arial" w:cs="Arial"/>
                <w:sz w:val="20"/>
                <w:szCs w:val="20"/>
                <w:lang w:val="es-MX"/>
              </w:rPr>
            </w:pPr>
            <w:r w:rsidRPr="00ED2D84">
              <w:rPr>
                <w:rFonts w:ascii="Arial" w:hAnsi="Arial" w:cs="Arial"/>
                <w:sz w:val="20"/>
                <w:szCs w:val="20"/>
              </w:rPr>
              <w:t>Así lo resolvió la Suprema Corte de Justicia de la Nación en Pleno, por unanimidad de diez votos</w:t>
            </w:r>
          </w:p>
          <w:p w14:paraId="783B542A" w14:textId="77777777" w:rsidR="00353CFC" w:rsidRPr="00ED2D84" w:rsidRDefault="00353CFC" w:rsidP="00353CFC">
            <w:pPr>
              <w:shd w:val="clear" w:color="auto" w:fill="FFFFFF"/>
              <w:ind w:left="170" w:right="198"/>
              <w:jc w:val="both"/>
              <w:rPr>
                <w:rFonts w:ascii="Arial" w:hAnsi="Arial" w:cs="Arial"/>
                <w:sz w:val="20"/>
                <w:szCs w:val="20"/>
                <w:lang w:val="es-MX"/>
              </w:rPr>
            </w:pPr>
          </w:p>
        </w:tc>
      </w:tr>
    </w:tbl>
    <w:p w14:paraId="27220B1D" w14:textId="77777777" w:rsidR="00177028" w:rsidRPr="00463DCB" w:rsidRDefault="00177028" w:rsidP="00534A19">
      <w:pPr>
        <w:spacing w:before="120" w:after="120" w:line="240" w:lineRule="exact"/>
        <w:ind w:right="57"/>
        <w:rPr>
          <w:rFonts w:ascii="Arial" w:hAnsi="Arial" w:cs="Arial"/>
          <w:sz w:val="14"/>
          <w:szCs w:val="14"/>
          <w:lang w:val="es-MX"/>
        </w:rPr>
      </w:pPr>
    </w:p>
    <w:sectPr w:rsidR="00177028" w:rsidRPr="00463DCB">
      <w:headerReference w:type="default" r:id="rId32"/>
      <w:pgSz w:w="15840" w:h="12240" w:orient="landscape"/>
      <w:pgMar w:top="1080" w:right="114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A655E" w14:textId="77777777" w:rsidR="000144E9" w:rsidRDefault="000144E9" w:rsidP="00B44FED">
      <w:r>
        <w:separator/>
      </w:r>
    </w:p>
  </w:endnote>
  <w:endnote w:type="continuationSeparator" w:id="0">
    <w:p w14:paraId="08F634DC" w14:textId="77777777" w:rsidR="000144E9" w:rsidRDefault="000144E9" w:rsidP="00B4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EED0B" w14:textId="77777777" w:rsidR="000144E9" w:rsidRDefault="000144E9" w:rsidP="00B44FED">
      <w:r>
        <w:separator/>
      </w:r>
    </w:p>
  </w:footnote>
  <w:footnote w:type="continuationSeparator" w:id="0">
    <w:p w14:paraId="77CCB2BF" w14:textId="77777777" w:rsidR="000144E9" w:rsidRDefault="000144E9" w:rsidP="00B44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52F9" w14:textId="3327ACBC" w:rsidR="00557DB8" w:rsidRPr="00F53F14" w:rsidRDefault="00557DB8" w:rsidP="00557DB8">
    <w:pPr>
      <w:jc w:val="right"/>
      <w:rPr>
        <w:rFonts w:ascii="Arial" w:hAnsi="Arial" w:cs="Arial"/>
        <w:b/>
        <w:sz w:val="28"/>
        <w:szCs w:val="28"/>
      </w:rPr>
    </w:pPr>
    <w:r w:rsidRPr="00F53F14">
      <w:rPr>
        <w:rFonts w:ascii="Arial" w:hAnsi="Arial" w:cs="Arial"/>
        <w:b/>
        <w:noProof/>
        <w:sz w:val="28"/>
        <w:szCs w:val="28"/>
        <w:lang w:eastAsia="es-MX"/>
      </w:rPr>
      <w:drawing>
        <wp:anchor distT="0" distB="0" distL="114300" distR="114300" simplePos="0" relativeHeight="251659264" behindDoc="0" locked="0" layoutInCell="1" allowOverlap="1" wp14:anchorId="2A9F66BE" wp14:editId="40353E8C">
          <wp:simplePos x="0" y="0"/>
          <wp:positionH relativeFrom="margin">
            <wp:posOffset>400050</wp:posOffset>
          </wp:positionH>
          <wp:positionV relativeFrom="paragraph">
            <wp:posOffset>0</wp:posOffset>
          </wp:positionV>
          <wp:extent cx="1276350" cy="110724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imbolo.jpg"/>
                  <pic:cNvPicPr/>
                </pic:nvPicPr>
                <pic:blipFill>
                  <a:blip r:embed="rId1">
                    <a:extLst>
                      <a:ext uri="{28A0092B-C50C-407E-A947-70E740481C1C}">
                        <a14:useLocalDpi xmlns:a14="http://schemas.microsoft.com/office/drawing/2010/main" val="0"/>
                      </a:ext>
                    </a:extLst>
                  </a:blip>
                  <a:stretch>
                    <a:fillRect/>
                  </a:stretch>
                </pic:blipFill>
                <pic:spPr>
                  <a:xfrm>
                    <a:off x="0" y="0"/>
                    <a:ext cx="1278390" cy="1109014"/>
                  </a:xfrm>
                  <a:prstGeom prst="rect">
                    <a:avLst/>
                  </a:prstGeom>
                </pic:spPr>
              </pic:pic>
            </a:graphicData>
          </a:graphic>
          <wp14:sizeRelH relativeFrom="margin">
            <wp14:pctWidth>0</wp14:pctWidth>
          </wp14:sizeRelH>
          <wp14:sizeRelV relativeFrom="margin">
            <wp14:pctHeight>0</wp14:pctHeight>
          </wp14:sizeRelV>
        </wp:anchor>
      </w:drawing>
    </w:r>
  </w:p>
  <w:p w14:paraId="0C74DD4C" w14:textId="75D33C56" w:rsidR="00557DB8" w:rsidRDefault="00557DB8" w:rsidP="00557DB8">
    <w:pPr>
      <w:pStyle w:val="Encabezado"/>
      <w:tabs>
        <w:tab w:val="clear" w:pos="4419"/>
        <w:tab w:val="clear" w:pos="8838"/>
        <w:tab w:val="left" w:pos="5790"/>
      </w:tabs>
      <w:jc w:val="right"/>
      <w:rPr>
        <w:rFonts w:ascii="Arial" w:hAnsi="Arial" w:cs="Arial"/>
        <w:b/>
        <w:sz w:val="28"/>
        <w:szCs w:val="24"/>
      </w:rPr>
    </w:pPr>
    <w:r w:rsidRPr="00F53F14">
      <w:rPr>
        <w:rFonts w:ascii="Arial" w:hAnsi="Arial" w:cs="Arial"/>
        <w:b/>
        <w:sz w:val="28"/>
        <w:szCs w:val="24"/>
      </w:rPr>
      <w:t xml:space="preserve">           Dirección General de Jurisprudencia, Seguimiento y Consulta</w:t>
    </w:r>
  </w:p>
  <w:p w14:paraId="43BEAC39" w14:textId="04E1DFA7" w:rsidR="00CA151E" w:rsidRDefault="00CA151E" w:rsidP="00557DB8">
    <w:pPr>
      <w:pStyle w:val="Encabezado"/>
      <w:tabs>
        <w:tab w:val="clear" w:pos="4419"/>
        <w:tab w:val="clear" w:pos="8838"/>
        <w:tab w:val="left" w:pos="5790"/>
      </w:tabs>
      <w:jc w:val="right"/>
      <w:rPr>
        <w:rFonts w:ascii="Arial" w:hAnsi="Arial" w:cs="Arial"/>
        <w:b/>
        <w:sz w:val="28"/>
        <w:szCs w:val="24"/>
      </w:rPr>
    </w:pPr>
  </w:p>
  <w:p w14:paraId="684DAE15" w14:textId="77777777" w:rsidR="00CA151E" w:rsidRPr="00F53F14" w:rsidRDefault="00CA151E" w:rsidP="00557DB8">
    <w:pPr>
      <w:pStyle w:val="Encabezado"/>
      <w:tabs>
        <w:tab w:val="clear" w:pos="4419"/>
        <w:tab w:val="clear" w:pos="8838"/>
        <w:tab w:val="left" w:pos="5790"/>
      </w:tabs>
      <w:jc w:val="right"/>
      <w:rPr>
        <w:rFonts w:ascii="Arial" w:hAnsi="Arial" w:cs="Arial"/>
        <w:b/>
        <w:sz w:val="28"/>
        <w:szCs w:val="24"/>
      </w:rPr>
    </w:pPr>
  </w:p>
  <w:p w14:paraId="7A5A60FB" w14:textId="77777777" w:rsidR="00557DB8" w:rsidRDefault="00557DB8" w:rsidP="00557DB8">
    <w:pPr>
      <w:jc w:val="right"/>
      <w:rPr>
        <w:rFonts w:ascii="Arial" w:hAnsi="Arial" w:cs="Arial"/>
        <w:i/>
        <w:sz w:val="28"/>
        <w:szCs w:val="28"/>
      </w:rPr>
    </w:pPr>
  </w:p>
  <w:p w14:paraId="78477C1C" w14:textId="77777777" w:rsidR="00557DB8" w:rsidRPr="00F53F14" w:rsidRDefault="00557DB8" w:rsidP="00557DB8">
    <w:pPr>
      <w:jc w:val="right"/>
      <w:rPr>
        <w:rFonts w:ascii="Arial" w:hAnsi="Arial" w:cs="Arial"/>
        <w:i/>
        <w:sz w:val="28"/>
        <w:szCs w:val="28"/>
      </w:rPr>
    </w:pPr>
  </w:p>
  <w:p w14:paraId="04150E5A" w14:textId="77777777" w:rsidR="00557DB8" w:rsidRDefault="00557D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5653"/>
    <w:multiLevelType w:val="hybridMultilevel"/>
    <w:tmpl w:val="8E0C0BAC"/>
    <w:lvl w:ilvl="0" w:tplc="11706E66">
      <w:start w:val="1"/>
      <w:numFmt w:val="decimal"/>
      <w:lvlText w:val="%1."/>
      <w:lvlJc w:val="left"/>
      <w:pPr>
        <w:ind w:left="284" w:hanging="284"/>
      </w:pPr>
      <w:rPr>
        <w:rFonts w:hint="default"/>
        <w:b/>
        <w:i w:val="0"/>
        <w:sz w:val="30"/>
        <w:szCs w:val="3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04A0BB3"/>
    <w:multiLevelType w:val="hybridMultilevel"/>
    <w:tmpl w:val="BAC6AE04"/>
    <w:lvl w:ilvl="0" w:tplc="080A0001">
      <w:start w:val="1"/>
      <w:numFmt w:val="bullet"/>
      <w:lvlText w:val=""/>
      <w:lvlJc w:val="left"/>
      <w:pPr>
        <w:ind w:left="890" w:hanging="360"/>
      </w:pPr>
      <w:rPr>
        <w:rFonts w:ascii="Symbol" w:hAnsi="Symbol" w:hint="default"/>
      </w:rPr>
    </w:lvl>
    <w:lvl w:ilvl="1" w:tplc="080A0003" w:tentative="1">
      <w:start w:val="1"/>
      <w:numFmt w:val="bullet"/>
      <w:lvlText w:val="o"/>
      <w:lvlJc w:val="left"/>
      <w:pPr>
        <w:ind w:left="1610" w:hanging="360"/>
      </w:pPr>
      <w:rPr>
        <w:rFonts w:ascii="Courier New" w:hAnsi="Courier New" w:cs="Courier New" w:hint="default"/>
      </w:rPr>
    </w:lvl>
    <w:lvl w:ilvl="2" w:tplc="080A0005" w:tentative="1">
      <w:start w:val="1"/>
      <w:numFmt w:val="bullet"/>
      <w:lvlText w:val=""/>
      <w:lvlJc w:val="left"/>
      <w:pPr>
        <w:ind w:left="2330" w:hanging="360"/>
      </w:pPr>
      <w:rPr>
        <w:rFonts w:ascii="Wingdings" w:hAnsi="Wingdings" w:hint="default"/>
      </w:rPr>
    </w:lvl>
    <w:lvl w:ilvl="3" w:tplc="080A0001" w:tentative="1">
      <w:start w:val="1"/>
      <w:numFmt w:val="bullet"/>
      <w:lvlText w:val=""/>
      <w:lvlJc w:val="left"/>
      <w:pPr>
        <w:ind w:left="3050" w:hanging="360"/>
      </w:pPr>
      <w:rPr>
        <w:rFonts w:ascii="Symbol" w:hAnsi="Symbol" w:hint="default"/>
      </w:rPr>
    </w:lvl>
    <w:lvl w:ilvl="4" w:tplc="080A0003" w:tentative="1">
      <w:start w:val="1"/>
      <w:numFmt w:val="bullet"/>
      <w:lvlText w:val="o"/>
      <w:lvlJc w:val="left"/>
      <w:pPr>
        <w:ind w:left="3770" w:hanging="360"/>
      </w:pPr>
      <w:rPr>
        <w:rFonts w:ascii="Courier New" w:hAnsi="Courier New" w:cs="Courier New" w:hint="default"/>
      </w:rPr>
    </w:lvl>
    <w:lvl w:ilvl="5" w:tplc="080A0005" w:tentative="1">
      <w:start w:val="1"/>
      <w:numFmt w:val="bullet"/>
      <w:lvlText w:val=""/>
      <w:lvlJc w:val="left"/>
      <w:pPr>
        <w:ind w:left="4490" w:hanging="360"/>
      </w:pPr>
      <w:rPr>
        <w:rFonts w:ascii="Wingdings" w:hAnsi="Wingdings" w:hint="default"/>
      </w:rPr>
    </w:lvl>
    <w:lvl w:ilvl="6" w:tplc="080A0001" w:tentative="1">
      <w:start w:val="1"/>
      <w:numFmt w:val="bullet"/>
      <w:lvlText w:val=""/>
      <w:lvlJc w:val="left"/>
      <w:pPr>
        <w:ind w:left="5210" w:hanging="360"/>
      </w:pPr>
      <w:rPr>
        <w:rFonts w:ascii="Symbol" w:hAnsi="Symbol" w:hint="default"/>
      </w:rPr>
    </w:lvl>
    <w:lvl w:ilvl="7" w:tplc="080A0003" w:tentative="1">
      <w:start w:val="1"/>
      <w:numFmt w:val="bullet"/>
      <w:lvlText w:val="o"/>
      <w:lvlJc w:val="left"/>
      <w:pPr>
        <w:ind w:left="5930" w:hanging="360"/>
      </w:pPr>
      <w:rPr>
        <w:rFonts w:ascii="Courier New" w:hAnsi="Courier New" w:cs="Courier New" w:hint="default"/>
      </w:rPr>
    </w:lvl>
    <w:lvl w:ilvl="8" w:tplc="080A0005" w:tentative="1">
      <w:start w:val="1"/>
      <w:numFmt w:val="bullet"/>
      <w:lvlText w:val=""/>
      <w:lvlJc w:val="left"/>
      <w:pPr>
        <w:ind w:left="6650" w:hanging="360"/>
      </w:pPr>
      <w:rPr>
        <w:rFonts w:ascii="Wingdings" w:hAnsi="Wingdings" w:hint="default"/>
      </w:rPr>
    </w:lvl>
  </w:abstractNum>
  <w:abstractNum w:abstractNumId="2" w15:restartNumberingAfterBreak="0">
    <w:nsid w:val="33AD3687"/>
    <w:multiLevelType w:val="hybridMultilevel"/>
    <w:tmpl w:val="1EAADC0A"/>
    <w:lvl w:ilvl="0" w:tplc="F1CCD74C">
      <w:start w:val="1"/>
      <w:numFmt w:val="lowerLetter"/>
      <w:lvlText w:val="%1)"/>
      <w:lvlJc w:val="left"/>
      <w:pPr>
        <w:ind w:left="24" w:hanging="137"/>
      </w:pPr>
      <w:rPr>
        <w:rFonts w:ascii="Univers" w:eastAsia="Univers" w:hAnsi="Univers" w:cs="Univers" w:hint="default"/>
        <w:spacing w:val="-1"/>
        <w:w w:val="102"/>
        <w:sz w:val="11"/>
        <w:szCs w:val="11"/>
      </w:rPr>
    </w:lvl>
    <w:lvl w:ilvl="1" w:tplc="3FAC3ACE">
      <w:numFmt w:val="bullet"/>
      <w:lvlText w:val="•"/>
      <w:lvlJc w:val="left"/>
      <w:pPr>
        <w:ind w:left="403" w:hanging="137"/>
      </w:pPr>
      <w:rPr>
        <w:rFonts w:hint="default"/>
      </w:rPr>
    </w:lvl>
    <w:lvl w:ilvl="2" w:tplc="762294C8">
      <w:numFmt w:val="bullet"/>
      <w:lvlText w:val="•"/>
      <w:lvlJc w:val="left"/>
      <w:pPr>
        <w:ind w:left="787" w:hanging="137"/>
      </w:pPr>
      <w:rPr>
        <w:rFonts w:hint="default"/>
      </w:rPr>
    </w:lvl>
    <w:lvl w:ilvl="3" w:tplc="2A7C2D32">
      <w:numFmt w:val="bullet"/>
      <w:lvlText w:val="•"/>
      <w:lvlJc w:val="left"/>
      <w:pPr>
        <w:ind w:left="1171" w:hanging="137"/>
      </w:pPr>
      <w:rPr>
        <w:rFonts w:hint="default"/>
      </w:rPr>
    </w:lvl>
    <w:lvl w:ilvl="4" w:tplc="5964B6CE">
      <w:numFmt w:val="bullet"/>
      <w:lvlText w:val="•"/>
      <w:lvlJc w:val="left"/>
      <w:pPr>
        <w:ind w:left="1555" w:hanging="137"/>
      </w:pPr>
      <w:rPr>
        <w:rFonts w:hint="default"/>
      </w:rPr>
    </w:lvl>
    <w:lvl w:ilvl="5" w:tplc="7220CC0E">
      <w:numFmt w:val="bullet"/>
      <w:lvlText w:val="•"/>
      <w:lvlJc w:val="left"/>
      <w:pPr>
        <w:ind w:left="1939" w:hanging="137"/>
      </w:pPr>
      <w:rPr>
        <w:rFonts w:hint="default"/>
      </w:rPr>
    </w:lvl>
    <w:lvl w:ilvl="6" w:tplc="EF30A3BA">
      <w:numFmt w:val="bullet"/>
      <w:lvlText w:val="•"/>
      <w:lvlJc w:val="left"/>
      <w:pPr>
        <w:ind w:left="2323" w:hanging="137"/>
      </w:pPr>
      <w:rPr>
        <w:rFonts w:hint="default"/>
      </w:rPr>
    </w:lvl>
    <w:lvl w:ilvl="7" w:tplc="82BCCA1E">
      <w:numFmt w:val="bullet"/>
      <w:lvlText w:val="•"/>
      <w:lvlJc w:val="left"/>
      <w:pPr>
        <w:ind w:left="2707" w:hanging="137"/>
      </w:pPr>
      <w:rPr>
        <w:rFonts w:hint="default"/>
      </w:rPr>
    </w:lvl>
    <w:lvl w:ilvl="8" w:tplc="72CED700">
      <w:numFmt w:val="bullet"/>
      <w:lvlText w:val="•"/>
      <w:lvlJc w:val="left"/>
      <w:pPr>
        <w:ind w:left="3091" w:hanging="137"/>
      </w:pPr>
      <w:rPr>
        <w:rFonts w:hint="default"/>
      </w:rPr>
    </w:lvl>
  </w:abstractNum>
  <w:abstractNum w:abstractNumId="3" w15:restartNumberingAfterBreak="0">
    <w:nsid w:val="347D596C"/>
    <w:multiLevelType w:val="hybridMultilevel"/>
    <w:tmpl w:val="8D4416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52C1816"/>
    <w:multiLevelType w:val="hybridMultilevel"/>
    <w:tmpl w:val="4C86097A"/>
    <w:lvl w:ilvl="0" w:tplc="F894E704">
      <w:numFmt w:val="bullet"/>
      <w:lvlText w:val="●"/>
      <w:lvlJc w:val="left"/>
      <w:pPr>
        <w:ind w:left="24" w:hanging="113"/>
      </w:pPr>
      <w:rPr>
        <w:rFonts w:ascii="Arial" w:eastAsia="Arial" w:hAnsi="Arial" w:cs="Arial" w:hint="default"/>
        <w:w w:val="102"/>
        <w:sz w:val="11"/>
        <w:szCs w:val="11"/>
      </w:rPr>
    </w:lvl>
    <w:lvl w:ilvl="1" w:tplc="4322C358">
      <w:numFmt w:val="bullet"/>
      <w:lvlText w:val="•"/>
      <w:lvlJc w:val="left"/>
      <w:pPr>
        <w:ind w:left="403" w:hanging="113"/>
      </w:pPr>
      <w:rPr>
        <w:rFonts w:hint="default"/>
      </w:rPr>
    </w:lvl>
    <w:lvl w:ilvl="2" w:tplc="90BCDE54">
      <w:numFmt w:val="bullet"/>
      <w:lvlText w:val="•"/>
      <w:lvlJc w:val="left"/>
      <w:pPr>
        <w:ind w:left="787" w:hanging="113"/>
      </w:pPr>
      <w:rPr>
        <w:rFonts w:hint="default"/>
      </w:rPr>
    </w:lvl>
    <w:lvl w:ilvl="3" w:tplc="C45E06AA">
      <w:numFmt w:val="bullet"/>
      <w:lvlText w:val="•"/>
      <w:lvlJc w:val="left"/>
      <w:pPr>
        <w:ind w:left="1171" w:hanging="113"/>
      </w:pPr>
      <w:rPr>
        <w:rFonts w:hint="default"/>
      </w:rPr>
    </w:lvl>
    <w:lvl w:ilvl="4" w:tplc="0FA80F26">
      <w:numFmt w:val="bullet"/>
      <w:lvlText w:val="•"/>
      <w:lvlJc w:val="left"/>
      <w:pPr>
        <w:ind w:left="1555" w:hanging="113"/>
      </w:pPr>
      <w:rPr>
        <w:rFonts w:hint="default"/>
      </w:rPr>
    </w:lvl>
    <w:lvl w:ilvl="5" w:tplc="7E46D9AE">
      <w:numFmt w:val="bullet"/>
      <w:lvlText w:val="•"/>
      <w:lvlJc w:val="left"/>
      <w:pPr>
        <w:ind w:left="1939" w:hanging="113"/>
      </w:pPr>
      <w:rPr>
        <w:rFonts w:hint="default"/>
      </w:rPr>
    </w:lvl>
    <w:lvl w:ilvl="6" w:tplc="7DC0BC6C">
      <w:numFmt w:val="bullet"/>
      <w:lvlText w:val="•"/>
      <w:lvlJc w:val="left"/>
      <w:pPr>
        <w:ind w:left="2323" w:hanging="113"/>
      </w:pPr>
      <w:rPr>
        <w:rFonts w:hint="default"/>
      </w:rPr>
    </w:lvl>
    <w:lvl w:ilvl="7" w:tplc="FEBE6398">
      <w:numFmt w:val="bullet"/>
      <w:lvlText w:val="•"/>
      <w:lvlJc w:val="left"/>
      <w:pPr>
        <w:ind w:left="2707" w:hanging="113"/>
      </w:pPr>
      <w:rPr>
        <w:rFonts w:hint="default"/>
      </w:rPr>
    </w:lvl>
    <w:lvl w:ilvl="8" w:tplc="34DAF260">
      <w:numFmt w:val="bullet"/>
      <w:lvlText w:val="•"/>
      <w:lvlJc w:val="left"/>
      <w:pPr>
        <w:ind w:left="3091" w:hanging="113"/>
      </w:pPr>
      <w:rPr>
        <w:rFonts w:hint="default"/>
      </w:rPr>
    </w:lvl>
  </w:abstractNum>
  <w:abstractNum w:abstractNumId="5" w15:restartNumberingAfterBreak="0">
    <w:nsid w:val="38B77724"/>
    <w:multiLevelType w:val="hybridMultilevel"/>
    <w:tmpl w:val="E4448590"/>
    <w:lvl w:ilvl="0" w:tplc="A5401F62">
      <w:start w:val="1"/>
      <w:numFmt w:val="decimal"/>
      <w:lvlText w:val="%1."/>
      <w:lvlJc w:val="left"/>
      <w:pPr>
        <w:ind w:left="1496" w:hanging="360"/>
      </w:pPr>
      <w:rPr>
        <w:b w:val="0"/>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6" w15:restartNumberingAfterBreak="0">
    <w:nsid w:val="48E53094"/>
    <w:multiLevelType w:val="hybridMultilevel"/>
    <w:tmpl w:val="6B643D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BA106AB"/>
    <w:multiLevelType w:val="hybridMultilevel"/>
    <w:tmpl w:val="45289B3A"/>
    <w:lvl w:ilvl="0" w:tplc="080A0001">
      <w:start w:val="1"/>
      <w:numFmt w:val="bullet"/>
      <w:lvlText w:val=""/>
      <w:lvlJc w:val="left"/>
      <w:pPr>
        <w:ind w:left="864" w:hanging="360"/>
      </w:pPr>
      <w:rPr>
        <w:rFonts w:ascii="Symbol" w:hAnsi="Symbol" w:hint="default"/>
      </w:rPr>
    </w:lvl>
    <w:lvl w:ilvl="1" w:tplc="080A0003" w:tentative="1">
      <w:start w:val="1"/>
      <w:numFmt w:val="bullet"/>
      <w:lvlText w:val="o"/>
      <w:lvlJc w:val="left"/>
      <w:pPr>
        <w:ind w:left="1584" w:hanging="360"/>
      </w:pPr>
      <w:rPr>
        <w:rFonts w:ascii="Courier New" w:hAnsi="Courier New" w:cs="Courier New" w:hint="default"/>
      </w:rPr>
    </w:lvl>
    <w:lvl w:ilvl="2" w:tplc="080A0005" w:tentative="1">
      <w:start w:val="1"/>
      <w:numFmt w:val="bullet"/>
      <w:lvlText w:val=""/>
      <w:lvlJc w:val="left"/>
      <w:pPr>
        <w:ind w:left="2304" w:hanging="360"/>
      </w:pPr>
      <w:rPr>
        <w:rFonts w:ascii="Wingdings" w:hAnsi="Wingdings" w:hint="default"/>
      </w:rPr>
    </w:lvl>
    <w:lvl w:ilvl="3" w:tplc="080A0001" w:tentative="1">
      <w:start w:val="1"/>
      <w:numFmt w:val="bullet"/>
      <w:lvlText w:val=""/>
      <w:lvlJc w:val="left"/>
      <w:pPr>
        <w:ind w:left="3024" w:hanging="360"/>
      </w:pPr>
      <w:rPr>
        <w:rFonts w:ascii="Symbol" w:hAnsi="Symbol" w:hint="default"/>
      </w:rPr>
    </w:lvl>
    <w:lvl w:ilvl="4" w:tplc="080A0003" w:tentative="1">
      <w:start w:val="1"/>
      <w:numFmt w:val="bullet"/>
      <w:lvlText w:val="o"/>
      <w:lvlJc w:val="left"/>
      <w:pPr>
        <w:ind w:left="3744" w:hanging="360"/>
      </w:pPr>
      <w:rPr>
        <w:rFonts w:ascii="Courier New" w:hAnsi="Courier New" w:cs="Courier New" w:hint="default"/>
      </w:rPr>
    </w:lvl>
    <w:lvl w:ilvl="5" w:tplc="080A0005" w:tentative="1">
      <w:start w:val="1"/>
      <w:numFmt w:val="bullet"/>
      <w:lvlText w:val=""/>
      <w:lvlJc w:val="left"/>
      <w:pPr>
        <w:ind w:left="4464" w:hanging="360"/>
      </w:pPr>
      <w:rPr>
        <w:rFonts w:ascii="Wingdings" w:hAnsi="Wingdings" w:hint="default"/>
      </w:rPr>
    </w:lvl>
    <w:lvl w:ilvl="6" w:tplc="080A0001" w:tentative="1">
      <w:start w:val="1"/>
      <w:numFmt w:val="bullet"/>
      <w:lvlText w:val=""/>
      <w:lvlJc w:val="left"/>
      <w:pPr>
        <w:ind w:left="5184" w:hanging="360"/>
      </w:pPr>
      <w:rPr>
        <w:rFonts w:ascii="Symbol" w:hAnsi="Symbol" w:hint="default"/>
      </w:rPr>
    </w:lvl>
    <w:lvl w:ilvl="7" w:tplc="080A0003" w:tentative="1">
      <w:start w:val="1"/>
      <w:numFmt w:val="bullet"/>
      <w:lvlText w:val="o"/>
      <w:lvlJc w:val="left"/>
      <w:pPr>
        <w:ind w:left="5904" w:hanging="360"/>
      </w:pPr>
      <w:rPr>
        <w:rFonts w:ascii="Courier New" w:hAnsi="Courier New" w:cs="Courier New" w:hint="default"/>
      </w:rPr>
    </w:lvl>
    <w:lvl w:ilvl="8" w:tplc="080A0005" w:tentative="1">
      <w:start w:val="1"/>
      <w:numFmt w:val="bullet"/>
      <w:lvlText w:val=""/>
      <w:lvlJc w:val="left"/>
      <w:pPr>
        <w:ind w:left="6624" w:hanging="360"/>
      </w:pPr>
      <w:rPr>
        <w:rFonts w:ascii="Wingdings" w:hAnsi="Wingdings" w:hint="default"/>
      </w:rPr>
    </w:lvl>
  </w:abstractNum>
  <w:abstractNum w:abstractNumId="8" w15:restartNumberingAfterBreak="0">
    <w:nsid w:val="5DC21998"/>
    <w:multiLevelType w:val="hybridMultilevel"/>
    <w:tmpl w:val="48C87D52"/>
    <w:lvl w:ilvl="0" w:tplc="080A0001">
      <w:start w:val="1"/>
      <w:numFmt w:val="bullet"/>
      <w:lvlText w:val=""/>
      <w:lvlJc w:val="left"/>
      <w:pPr>
        <w:ind w:left="972" w:hanging="360"/>
      </w:pPr>
      <w:rPr>
        <w:rFonts w:ascii="Symbol" w:hAnsi="Symbol" w:hint="default"/>
      </w:rPr>
    </w:lvl>
    <w:lvl w:ilvl="1" w:tplc="080A0003" w:tentative="1">
      <w:start w:val="1"/>
      <w:numFmt w:val="bullet"/>
      <w:lvlText w:val="o"/>
      <w:lvlJc w:val="left"/>
      <w:pPr>
        <w:ind w:left="1692" w:hanging="360"/>
      </w:pPr>
      <w:rPr>
        <w:rFonts w:ascii="Courier New" w:hAnsi="Courier New" w:cs="Courier New" w:hint="default"/>
      </w:rPr>
    </w:lvl>
    <w:lvl w:ilvl="2" w:tplc="080A0005" w:tentative="1">
      <w:start w:val="1"/>
      <w:numFmt w:val="bullet"/>
      <w:lvlText w:val=""/>
      <w:lvlJc w:val="left"/>
      <w:pPr>
        <w:ind w:left="2412" w:hanging="360"/>
      </w:pPr>
      <w:rPr>
        <w:rFonts w:ascii="Wingdings" w:hAnsi="Wingdings" w:hint="default"/>
      </w:rPr>
    </w:lvl>
    <w:lvl w:ilvl="3" w:tplc="080A0001" w:tentative="1">
      <w:start w:val="1"/>
      <w:numFmt w:val="bullet"/>
      <w:lvlText w:val=""/>
      <w:lvlJc w:val="left"/>
      <w:pPr>
        <w:ind w:left="3132" w:hanging="360"/>
      </w:pPr>
      <w:rPr>
        <w:rFonts w:ascii="Symbol" w:hAnsi="Symbol" w:hint="default"/>
      </w:rPr>
    </w:lvl>
    <w:lvl w:ilvl="4" w:tplc="080A0003" w:tentative="1">
      <w:start w:val="1"/>
      <w:numFmt w:val="bullet"/>
      <w:lvlText w:val="o"/>
      <w:lvlJc w:val="left"/>
      <w:pPr>
        <w:ind w:left="3852" w:hanging="360"/>
      </w:pPr>
      <w:rPr>
        <w:rFonts w:ascii="Courier New" w:hAnsi="Courier New" w:cs="Courier New" w:hint="default"/>
      </w:rPr>
    </w:lvl>
    <w:lvl w:ilvl="5" w:tplc="080A0005" w:tentative="1">
      <w:start w:val="1"/>
      <w:numFmt w:val="bullet"/>
      <w:lvlText w:val=""/>
      <w:lvlJc w:val="left"/>
      <w:pPr>
        <w:ind w:left="4572" w:hanging="360"/>
      </w:pPr>
      <w:rPr>
        <w:rFonts w:ascii="Wingdings" w:hAnsi="Wingdings" w:hint="default"/>
      </w:rPr>
    </w:lvl>
    <w:lvl w:ilvl="6" w:tplc="080A0001" w:tentative="1">
      <w:start w:val="1"/>
      <w:numFmt w:val="bullet"/>
      <w:lvlText w:val=""/>
      <w:lvlJc w:val="left"/>
      <w:pPr>
        <w:ind w:left="5292" w:hanging="360"/>
      </w:pPr>
      <w:rPr>
        <w:rFonts w:ascii="Symbol" w:hAnsi="Symbol" w:hint="default"/>
      </w:rPr>
    </w:lvl>
    <w:lvl w:ilvl="7" w:tplc="080A0003" w:tentative="1">
      <w:start w:val="1"/>
      <w:numFmt w:val="bullet"/>
      <w:lvlText w:val="o"/>
      <w:lvlJc w:val="left"/>
      <w:pPr>
        <w:ind w:left="6012" w:hanging="360"/>
      </w:pPr>
      <w:rPr>
        <w:rFonts w:ascii="Courier New" w:hAnsi="Courier New" w:cs="Courier New" w:hint="default"/>
      </w:rPr>
    </w:lvl>
    <w:lvl w:ilvl="8" w:tplc="080A0005" w:tentative="1">
      <w:start w:val="1"/>
      <w:numFmt w:val="bullet"/>
      <w:lvlText w:val=""/>
      <w:lvlJc w:val="left"/>
      <w:pPr>
        <w:ind w:left="6732" w:hanging="360"/>
      </w:pPr>
      <w:rPr>
        <w:rFonts w:ascii="Wingdings" w:hAnsi="Wingdings" w:hint="default"/>
      </w:rPr>
    </w:lvl>
  </w:abstractNum>
  <w:abstractNum w:abstractNumId="9" w15:restartNumberingAfterBreak="0">
    <w:nsid w:val="6A2C5FD9"/>
    <w:multiLevelType w:val="hybridMultilevel"/>
    <w:tmpl w:val="C7884516"/>
    <w:lvl w:ilvl="0" w:tplc="CBB6866A">
      <w:start w:val="1"/>
      <w:numFmt w:val="lowerLetter"/>
      <w:lvlText w:val="%1)"/>
      <w:lvlJc w:val="left"/>
      <w:pPr>
        <w:ind w:left="24" w:hanging="147"/>
      </w:pPr>
      <w:rPr>
        <w:rFonts w:ascii="Univers" w:eastAsia="Univers" w:hAnsi="Univers" w:cs="Univers" w:hint="default"/>
        <w:spacing w:val="-1"/>
        <w:w w:val="102"/>
        <w:sz w:val="11"/>
        <w:szCs w:val="11"/>
      </w:rPr>
    </w:lvl>
    <w:lvl w:ilvl="1" w:tplc="3A505C92">
      <w:numFmt w:val="bullet"/>
      <w:lvlText w:val="•"/>
      <w:lvlJc w:val="left"/>
      <w:pPr>
        <w:ind w:left="403" w:hanging="147"/>
      </w:pPr>
      <w:rPr>
        <w:rFonts w:hint="default"/>
      </w:rPr>
    </w:lvl>
    <w:lvl w:ilvl="2" w:tplc="BA6C46E8">
      <w:numFmt w:val="bullet"/>
      <w:lvlText w:val="•"/>
      <w:lvlJc w:val="left"/>
      <w:pPr>
        <w:ind w:left="787" w:hanging="147"/>
      </w:pPr>
      <w:rPr>
        <w:rFonts w:hint="default"/>
      </w:rPr>
    </w:lvl>
    <w:lvl w:ilvl="3" w:tplc="B950B72C">
      <w:numFmt w:val="bullet"/>
      <w:lvlText w:val="•"/>
      <w:lvlJc w:val="left"/>
      <w:pPr>
        <w:ind w:left="1171" w:hanging="147"/>
      </w:pPr>
      <w:rPr>
        <w:rFonts w:hint="default"/>
      </w:rPr>
    </w:lvl>
    <w:lvl w:ilvl="4" w:tplc="B290E770">
      <w:numFmt w:val="bullet"/>
      <w:lvlText w:val="•"/>
      <w:lvlJc w:val="left"/>
      <w:pPr>
        <w:ind w:left="1555" w:hanging="147"/>
      </w:pPr>
      <w:rPr>
        <w:rFonts w:hint="default"/>
      </w:rPr>
    </w:lvl>
    <w:lvl w:ilvl="5" w:tplc="48BA6F64">
      <w:numFmt w:val="bullet"/>
      <w:lvlText w:val="•"/>
      <w:lvlJc w:val="left"/>
      <w:pPr>
        <w:ind w:left="1939" w:hanging="147"/>
      </w:pPr>
      <w:rPr>
        <w:rFonts w:hint="default"/>
      </w:rPr>
    </w:lvl>
    <w:lvl w:ilvl="6" w:tplc="C4A81A08">
      <w:numFmt w:val="bullet"/>
      <w:lvlText w:val="•"/>
      <w:lvlJc w:val="left"/>
      <w:pPr>
        <w:ind w:left="2323" w:hanging="147"/>
      </w:pPr>
      <w:rPr>
        <w:rFonts w:hint="default"/>
      </w:rPr>
    </w:lvl>
    <w:lvl w:ilvl="7" w:tplc="06368294">
      <w:numFmt w:val="bullet"/>
      <w:lvlText w:val="•"/>
      <w:lvlJc w:val="left"/>
      <w:pPr>
        <w:ind w:left="2707" w:hanging="147"/>
      </w:pPr>
      <w:rPr>
        <w:rFonts w:hint="default"/>
      </w:rPr>
    </w:lvl>
    <w:lvl w:ilvl="8" w:tplc="DD7EAE2C">
      <w:numFmt w:val="bullet"/>
      <w:lvlText w:val="•"/>
      <w:lvlJc w:val="left"/>
      <w:pPr>
        <w:ind w:left="3091" w:hanging="147"/>
      </w:pPr>
      <w:rPr>
        <w:rFonts w:hint="default"/>
      </w:rPr>
    </w:lvl>
  </w:abstractNum>
  <w:abstractNum w:abstractNumId="10" w15:restartNumberingAfterBreak="0">
    <w:nsid w:val="6A476776"/>
    <w:multiLevelType w:val="hybridMultilevel"/>
    <w:tmpl w:val="2F5AF238"/>
    <w:lvl w:ilvl="0" w:tplc="003403BA">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55041B4"/>
    <w:multiLevelType w:val="hybridMultilevel"/>
    <w:tmpl w:val="9FDC3C9C"/>
    <w:lvl w:ilvl="0" w:tplc="AD54E64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76294483"/>
    <w:multiLevelType w:val="hybridMultilevel"/>
    <w:tmpl w:val="E4448590"/>
    <w:lvl w:ilvl="0" w:tplc="A5401F62">
      <w:start w:val="1"/>
      <w:numFmt w:val="decimal"/>
      <w:lvlText w:val="%1."/>
      <w:lvlJc w:val="left"/>
      <w:pPr>
        <w:ind w:left="1496" w:hanging="360"/>
      </w:pPr>
      <w:rPr>
        <w:b w:val="0"/>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num w:numId="1" w16cid:durableId="1027559723">
    <w:abstractNumId w:val="2"/>
  </w:num>
  <w:num w:numId="2" w16cid:durableId="1901092398">
    <w:abstractNumId w:val="9"/>
  </w:num>
  <w:num w:numId="3" w16cid:durableId="302656655">
    <w:abstractNumId w:val="4"/>
  </w:num>
  <w:num w:numId="4" w16cid:durableId="614291240">
    <w:abstractNumId w:val="10"/>
  </w:num>
  <w:num w:numId="5" w16cid:durableId="262878066">
    <w:abstractNumId w:val="11"/>
  </w:num>
  <w:num w:numId="6" w16cid:durableId="1660696084">
    <w:abstractNumId w:val="6"/>
  </w:num>
  <w:num w:numId="7" w16cid:durableId="555122546">
    <w:abstractNumId w:val="0"/>
  </w:num>
  <w:num w:numId="8" w16cid:durableId="414017252">
    <w:abstractNumId w:val="5"/>
  </w:num>
  <w:num w:numId="9" w16cid:durableId="46882308">
    <w:abstractNumId w:val="1"/>
  </w:num>
  <w:num w:numId="10" w16cid:durableId="655650308">
    <w:abstractNumId w:val="12"/>
  </w:num>
  <w:num w:numId="11" w16cid:durableId="1581913817">
    <w:abstractNumId w:val="3"/>
  </w:num>
  <w:num w:numId="12" w16cid:durableId="404693972">
    <w:abstractNumId w:val="7"/>
  </w:num>
  <w:num w:numId="13" w16cid:durableId="20082891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74E"/>
    <w:rsid w:val="000123F3"/>
    <w:rsid w:val="000144E9"/>
    <w:rsid w:val="00021255"/>
    <w:rsid w:val="00023483"/>
    <w:rsid w:val="000241BA"/>
    <w:rsid w:val="00026D05"/>
    <w:rsid w:val="00035601"/>
    <w:rsid w:val="0004090D"/>
    <w:rsid w:val="000411F3"/>
    <w:rsid w:val="0004480A"/>
    <w:rsid w:val="000527F6"/>
    <w:rsid w:val="0005413A"/>
    <w:rsid w:val="00062AA5"/>
    <w:rsid w:val="0007601E"/>
    <w:rsid w:val="00076E52"/>
    <w:rsid w:val="00080215"/>
    <w:rsid w:val="000B00C2"/>
    <w:rsid w:val="000B020A"/>
    <w:rsid w:val="000B1D85"/>
    <w:rsid w:val="000B3173"/>
    <w:rsid w:val="000B77D2"/>
    <w:rsid w:val="000C11A7"/>
    <w:rsid w:val="000C3FCA"/>
    <w:rsid w:val="000C4346"/>
    <w:rsid w:val="000C4A64"/>
    <w:rsid w:val="000E10CC"/>
    <w:rsid w:val="000F2CF5"/>
    <w:rsid w:val="00105789"/>
    <w:rsid w:val="001065F6"/>
    <w:rsid w:val="00112EE0"/>
    <w:rsid w:val="00113115"/>
    <w:rsid w:val="0011676E"/>
    <w:rsid w:val="00120FF9"/>
    <w:rsid w:val="001247A3"/>
    <w:rsid w:val="001409F5"/>
    <w:rsid w:val="00141090"/>
    <w:rsid w:val="001445D9"/>
    <w:rsid w:val="00145FEA"/>
    <w:rsid w:val="001608AF"/>
    <w:rsid w:val="0016627A"/>
    <w:rsid w:val="00174B90"/>
    <w:rsid w:val="00174DC5"/>
    <w:rsid w:val="00175A0F"/>
    <w:rsid w:val="00177028"/>
    <w:rsid w:val="001802D9"/>
    <w:rsid w:val="00183918"/>
    <w:rsid w:val="001977F0"/>
    <w:rsid w:val="001B1D96"/>
    <w:rsid w:val="001B1F7D"/>
    <w:rsid w:val="001B2E0B"/>
    <w:rsid w:val="001B338A"/>
    <w:rsid w:val="001C7129"/>
    <w:rsid w:val="001E09F3"/>
    <w:rsid w:val="001E15CD"/>
    <w:rsid w:val="00201680"/>
    <w:rsid w:val="0020717D"/>
    <w:rsid w:val="002106DB"/>
    <w:rsid w:val="0021098F"/>
    <w:rsid w:val="00213D44"/>
    <w:rsid w:val="00223C68"/>
    <w:rsid w:val="00241372"/>
    <w:rsid w:val="00244880"/>
    <w:rsid w:val="00261814"/>
    <w:rsid w:val="00263964"/>
    <w:rsid w:val="00272694"/>
    <w:rsid w:val="002805CA"/>
    <w:rsid w:val="002A3E18"/>
    <w:rsid w:val="002B48CD"/>
    <w:rsid w:val="002B6E41"/>
    <w:rsid w:val="002C458A"/>
    <w:rsid w:val="002C79F3"/>
    <w:rsid w:val="002D042D"/>
    <w:rsid w:val="002D761C"/>
    <w:rsid w:val="002E2DA9"/>
    <w:rsid w:val="002E69DD"/>
    <w:rsid w:val="002F584A"/>
    <w:rsid w:val="002F64CD"/>
    <w:rsid w:val="00305369"/>
    <w:rsid w:val="003157E1"/>
    <w:rsid w:val="00317A8A"/>
    <w:rsid w:val="003201DD"/>
    <w:rsid w:val="00322419"/>
    <w:rsid w:val="00324D10"/>
    <w:rsid w:val="00325A33"/>
    <w:rsid w:val="00332755"/>
    <w:rsid w:val="00340724"/>
    <w:rsid w:val="00347FCF"/>
    <w:rsid w:val="003504EE"/>
    <w:rsid w:val="00350B3D"/>
    <w:rsid w:val="00351349"/>
    <w:rsid w:val="00351DD1"/>
    <w:rsid w:val="00353CFC"/>
    <w:rsid w:val="003541B4"/>
    <w:rsid w:val="003609B8"/>
    <w:rsid w:val="00360EE9"/>
    <w:rsid w:val="00365DFA"/>
    <w:rsid w:val="00370980"/>
    <w:rsid w:val="00370C31"/>
    <w:rsid w:val="003737BE"/>
    <w:rsid w:val="003776A7"/>
    <w:rsid w:val="0038013C"/>
    <w:rsid w:val="00390120"/>
    <w:rsid w:val="003914ED"/>
    <w:rsid w:val="003915F8"/>
    <w:rsid w:val="003A0A16"/>
    <w:rsid w:val="003A13B8"/>
    <w:rsid w:val="003A214C"/>
    <w:rsid w:val="003A6358"/>
    <w:rsid w:val="003B076F"/>
    <w:rsid w:val="003C20F9"/>
    <w:rsid w:val="003C31B0"/>
    <w:rsid w:val="003C3F3D"/>
    <w:rsid w:val="003C573F"/>
    <w:rsid w:val="003D21D2"/>
    <w:rsid w:val="003E23C2"/>
    <w:rsid w:val="003E3048"/>
    <w:rsid w:val="003F46BE"/>
    <w:rsid w:val="004046AC"/>
    <w:rsid w:val="00420851"/>
    <w:rsid w:val="00422C6D"/>
    <w:rsid w:val="00427747"/>
    <w:rsid w:val="00461AC8"/>
    <w:rsid w:val="00463DCB"/>
    <w:rsid w:val="004670E7"/>
    <w:rsid w:val="00471399"/>
    <w:rsid w:val="004808AE"/>
    <w:rsid w:val="00483B61"/>
    <w:rsid w:val="004A2199"/>
    <w:rsid w:val="004A4E42"/>
    <w:rsid w:val="004A695B"/>
    <w:rsid w:val="004B466D"/>
    <w:rsid w:val="004D271C"/>
    <w:rsid w:val="004E12FF"/>
    <w:rsid w:val="004F6AD3"/>
    <w:rsid w:val="005011B5"/>
    <w:rsid w:val="00502E9E"/>
    <w:rsid w:val="0050712C"/>
    <w:rsid w:val="00507F26"/>
    <w:rsid w:val="0051480F"/>
    <w:rsid w:val="00526600"/>
    <w:rsid w:val="005267C2"/>
    <w:rsid w:val="00526ACF"/>
    <w:rsid w:val="0052774E"/>
    <w:rsid w:val="00534261"/>
    <w:rsid w:val="00534A19"/>
    <w:rsid w:val="00541AD1"/>
    <w:rsid w:val="00544972"/>
    <w:rsid w:val="00545CB6"/>
    <w:rsid w:val="00550539"/>
    <w:rsid w:val="00556DB0"/>
    <w:rsid w:val="00557DB8"/>
    <w:rsid w:val="00562734"/>
    <w:rsid w:val="00567A13"/>
    <w:rsid w:val="00570E74"/>
    <w:rsid w:val="005723FB"/>
    <w:rsid w:val="00575604"/>
    <w:rsid w:val="00575CA8"/>
    <w:rsid w:val="00577904"/>
    <w:rsid w:val="0059198C"/>
    <w:rsid w:val="005934A4"/>
    <w:rsid w:val="00594A26"/>
    <w:rsid w:val="005A3FC2"/>
    <w:rsid w:val="005C475E"/>
    <w:rsid w:val="005D4784"/>
    <w:rsid w:val="005E552F"/>
    <w:rsid w:val="005F31B4"/>
    <w:rsid w:val="0061073B"/>
    <w:rsid w:val="006200FA"/>
    <w:rsid w:val="006207F2"/>
    <w:rsid w:val="00626CB7"/>
    <w:rsid w:val="006326B7"/>
    <w:rsid w:val="00643F8C"/>
    <w:rsid w:val="00652085"/>
    <w:rsid w:val="00661F41"/>
    <w:rsid w:val="00662ED0"/>
    <w:rsid w:val="00667572"/>
    <w:rsid w:val="006760F0"/>
    <w:rsid w:val="00677C86"/>
    <w:rsid w:val="00680F8D"/>
    <w:rsid w:val="0068794C"/>
    <w:rsid w:val="00692099"/>
    <w:rsid w:val="006A6DFF"/>
    <w:rsid w:val="006B1F78"/>
    <w:rsid w:val="006C6B02"/>
    <w:rsid w:val="006C70A7"/>
    <w:rsid w:val="006D0072"/>
    <w:rsid w:val="006D6AA3"/>
    <w:rsid w:val="006E1C99"/>
    <w:rsid w:val="006F2243"/>
    <w:rsid w:val="006F77B8"/>
    <w:rsid w:val="0070169D"/>
    <w:rsid w:val="00712A28"/>
    <w:rsid w:val="007153DE"/>
    <w:rsid w:val="007330E4"/>
    <w:rsid w:val="007368A0"/>
    <w:rsid w:val="00743527"/>
    <w:rsid w:val="00743C1E"/>
    <w:rsid w:val="007441ED"/>
    <w:rsid w:val="00747414"/>
    <w:rsid w:val="0075231B"/>
    <w:rsid w:val="007531A1"/>
    <w:rsid w:val="007656EF"/>
    <w:rsid w:val="00782B56"/>
    <w:rsid w:val="00783F38"/>
    <w:rsid w:val="00784112"/>
    <w:rsid w:val="00785B75"/>
    <w:rsid w:val="00786AA7"/>
    <w:rsid w:val="00797FB3"/>
    <w:rsid w:val="007B0D66"/>
    <w:rsid w:val="007B1384"/>
    <w:rsid w:val="007B18DF"/>
    <w:rsid w:val="007B242B"/>
    <w:rsid w:val="007B43B0"/>
    <w:rsid w:val="007B6CB4"/>
    <w:rsid w:val="007C1981"/>
    <w:rsid w:val="007C4634"/>
    <w:rsid w:val="007D73D4"/>
    <w:rsid w:val="007E308C"/>
    <w:rsid w:val="007E7591"/>
    <w:rsid w:val="007F1FAF"/>
    <w:rsid w:val="007F227B"/>
    <w:rsid w:val="007F36D8"/>
    <w:rsid w:val="007F4523"/>
    <w:rsid w:val="007F4858"/>
    <w:rsid w:val="007F4873"/>
    <w:rsid w:val="007F7A39"/>
    <w:rsid w:val="00801BF2"/>
    <w:rsid w:val="008054B9"/>
    <w:rsid w:val="00824873"/>
    <w:rsid w:val="0084267B"/>
    <w:rsid w:val="00845957"/>
    <w:rsid w:val="008475D9"/>
    <w:rsid w:val="00853F6C"/>
    <w:rsid w:val="0085463D"/>
    <w:rsid w:val="00857F94"/>
    <w:rsid w:val="00874BA4"/>
    <w:rsid w:val="00874F5C"/>
    <w:rsid w:val="0088168D"/>
    <w:rsid w:val="00882D95"/>
    <w:rsid w:val="008903E9"/>
    <w:rsid w:val="00892E10"/>
    <w:rsid w:val="0089338A"/>
    <w:rsid w:val="008947CF"/>
    <w:rsid w:val="00896EC2"/>
    <w:rsid w:val="00897E5C"/>
    <w:rsid w:val="008B10EE"/>
    <w:rsid w:val="008B24C0"/>
    <w:rsid w:val="008B37B3"/>
    <w:rsid w:val="008B4705"/>
    <w:rsid w:val="008B4F1C"/>
    <w:rsid w:val="008C0AF2"/>
    <w:rsid w:val="008C0BB0"/>
    <w:rsid w:val="008D03DE"/>
    <w:rsid w:val="008D0E95"/>
    <w:rsid w:val="008D2967"/>
    <w:rsid w:val="008D3FB1"/>
    <w:rsid w:val="008D4103"/>
    <w:rsid w:val="008D7CBF"/>
    <w:rsid w:val="008E32AC"/>
    <w:rsid w:val="009239B8"/>
    <w:rsid w:val="009271BF"/>
    <w:rsid w:val="00934F4C"/>
    <w:rsid w:val="009406E9"/>
    <w:rsid w:val="0094680D"/>
    <w:rsid w:val="00961317"/>
    <w:rsid w:val="009713E8"/>
    <w:rsid w:val="009721FA"/>
    <w:rsid w:val="00972A5E"/>
    <w:rsid w:val="00973319"/>
    <w:rsid w:val="00980F48"/>
    <w:rsid w:val="00983082"/>
    <w:rsid w:val="00985223"/>
    <w:rsid w:val="009869C5"/>
    <w:rsid w:val="00991275"/>
    <w:rsid w:val="009A70B0"/>
    <w:rsid w:val="009B33DD"/>
    <w:rsid w:val="009B74B8"/>
    <w:rsid w:val="009C2320"/>
    <w:rsid w:val="009C2468"/>
    <w:rsid w:val="009C772A"/>
    <w:rsid w:val="009D1CB3"/>
    <w:rsid w:val="009D2879"/>
    <w:rsid w:val="009D482A"/>
    <w:rsid w:val="009D5BD0"/>
    <w:rsid w:val="009E31F6"/>
    <w:rsid w:val="009F54FD"/>
    <w:rsid w:val="009F6A84"/>
    <w:rsid w:val="009F77DA"/>
    <w:rsid w:val="00A0074D"/>
    <w:rsid w:val="00A0223A"/>
    <w:rsid w:val="00A035BF"/>
    <w:rsid w:val="00A03B4C"/>
    <w:rsid w:val="00A14C00"/>
    <w:rsid w:val="00A14D77"/>
    <w:rsid w:val="00A23207"/>
    <w:rsid w:val="00A34643"/>
    <w:rsid w:val="00A4013C"/>
    <w:rsid w:val="00A41AF0"/>
    <w:rsid w:val="00A4227F"/>
    <w:rsid w:val="00A455D2"/>
    <w:rsid w:val="00A47651"/>
    <w:rsid w:val="00A51EFD"/>
    <w:rsid w:val="00A526E8"/>
    <w:rsid w:val="00A63834"/>
    <w:rsid w:val="00A66147"/>
    <w:rsid w:val="00A7790E"/>
    <w:rsid w:val="00A935D6"/>
    <w:rsid w:val="00AA6A0E"/>
    <w:rsid w:val="00AB0B51"/>
    <w:rsid w:val="00AB4351"/>
    <w:rsid w:val="00AB4E54"/>
    <w:rsid w:val="00AC106E"/>
    <w:rsid w:val="00AD34A6"/>
    <w:rsid w:val="00AE063C"/>
    <w:rsid w:val="00AF0E2C"/>
    <w:rsid w:val="00AF100A"/>
    <w:rsid w:val="00AF49C0"/>
    <w:rsid w:val="00AF6EEE"/>
    <w:rsid w:val="00AF71C1"/>
    <w:rsid w:val="00B07904"/>
    <w:rsid w:val="00B23FD7"/>
    <w:rsid w:val="00B30AA7"/>
    <w:rsid w:val="00B32240"/>
    <w:rsid w:val="00B32D38"/>
    <w:rsid w:val="00B34036"/>
    <w:rsid w:val="00B41C21"/>
    <w:rsid w:val="00B44FED"/>
    <w:rsid w:val="00B47ACA"/>
    <w:rsid w:val="00B526A8"/>
    <w:rsid w:val="00B52F79"/>
    <w:rsid w:val="00B60689"/>
    <w:rsid w:val="00B66E0F"/>
    <w:rsid w:val="00B70D7B"/>
    <w:rsid w:val="00B75159"/>
    <w:rsid w:val="00B94686"/>
    <w:rsid w:val="00BA2D40"/>
    <w:rsid w:val="00BA4CFB"/>
    <w:rsid w:val="00BA57F2"/>
    <w:rsid w:val="00BA5AD5"/>
    <w:rsid w:val="00BA68D1"/>
    <w:rsid w:val="00BA7589"/>
    <w:rsid w:val="00BB2960"/>
    <w:rsid w:val="00BB2BD9"/>
    <w:rsid w:val="00BB482E"/>
    <w:rsid w:val="00BB53CC"/>
    <w:rsid w:val="00BC2CD3"/>
    <w:rsid w:val="00BC665C"/>
    <w:rsid w:val="00BD1857"/>
    <w:rsid w:val="00BD1ACA"/>
    <w:rsid w:val="00BD483D"/>
    <w:rsid w:val="00BF183A"/>
    <w:rsid w:val="00BF79FB"/>
    <w:rsid w:val="00C01085"/>
    <w:rsid w:val="00C10D18"/>
    <w:rsid w:val="00C164FA"/>
    <w:rsid w:val="00C22FF3"/>
    <w:rsid w:val="00C24B5C"/>
    <w:rsid w:val="00C4535A"/>
    <w:rsid w:val="00C47C34"/>
    <w:rsid w:val="00C54249"/>
    <w:rsid w:val="00C54654"/>
    <w:rsid w:val="00C75296"/>
    <w:rsid w:val="00C77244"/>
    <w:rsid w:val="00C7748B"/>
    <w:rsid w:val="00C8160A"/>
    <w:rsid w:val="00C83AF4"/>
    <w:rsid w:val="00C9253C"/>
    <w:rsid w:val="00C938E2"/>
    <w:rsid w:val="00CA151E"/>
    <w:rsid w:val="00CA32CE"/>
    <w:rsid w:val="00CA7512"/>
    <w:rsid w:val="00CC438C"/>
    <w:rsid w:val="00CC50A0"/>
    <w:rsid w:val="00CC6472"/>
    <w:rsid w:val="00CE0CD9"/>
    <w:rsid w:val="00CE5B15"/>
    <w:rsid w:val="00CE7639"/>
    <w:rsid w:val="00D119C6"/>
    <w:rsid w:val="00D14619"/>
    <w:rsid w:val="00D15180"/>
    <w:rsid w:val="00D23E9F"/>
    <w:rsid w:val="00D3178E"/>
    <w:rsid w:val="00D3336B"/>
    <w:rsid w:val="00D374DC"/>
    <w:rsid w:val="00D402D2"/>
    <w:rsid w:val="00D434EA"/>
    <w:rsid w:val="00D44278"/>
    <w:rsid w:val="00D45D3A"/>
    <w:rsid w:val="00D54152"/>
    <w:rsid w:val="00D63A0E"/>
    <w:rsid w:val="00D73D44"/>
    <w:rsid w:val="00D77E45"/>
    <w:rsid w:val="00D80F5F"/>
    <w:rsid w:val="00D82538"/>
    <w:rsid w:val="00D9520A"/>
    <w:rsid w:val="00DA407D"/>
    <w:rsid w:val="00DA6D09"/>
    <w:rsid w:val="00DB21C4"/>
    <w:rsid w:val="00DB2D76"/>
    <w:rsid w:val="00DC1988"/>
    <w:rsid w:val="00DE5A96"/>
    <w:rsid w:val="00DF32ED"/>
    <w:rsid w:val="00DF6C6C"/>
    <w:rsid w:val="00E04629"/>
    <w:rsid w:val="00E11CEC"/>
    <w:rsid w:val="00E24777"/>
    <w:rsid w:val="00E26630"/>
    <w:rsid w:val="00E27A08"/>
    <w:rsid w:val="00E31ED6"/>
    <w:rsid w:val="00E329BA"/>
    <w:rsid w:val="00E353C2"/>
    <w:rsid w:val="00E41831"/>
    <w:rsid w:val="00E44BDD"/>
    <w:rsid w:val="00E52DEB"/>
    <w:rsid w:val="00E54A03"/>
    <w:rsid w:val="00E65121"/>
    <w:rsid w:val="00E73FF3"/>
    <w:rsid w:val="00E82184"/>
    <w:rsid w:val="00E92D58"/>
    <w:rsid w:val="00E95C4B"/>
    <w:rsid w:val="00EB7DE1"/>
    <w:rsid w:val="00EC1C59"/>
    <w:rsid w:val="00EC3453"/>
    <w:rsid w:val="00ED0A1F"/>
    <w:rsid w:val="00ED2D84"/>
    <w:rsid w:val="00ED5131"/>
    <w:rsid w:val="00ED5E9D"/>
    <w:rsid w:val="00ED7DDA"/>
    <w:rsid w:val="00EE6090"/>
    <w:rsid w:val="00EE67D1"/>
    <w:rsid w:val="00EF3F73"/>
    <w:rsid w:val="00F20B24"/>
    <w:rsid w:val="00F355FE"/>
    <w:rsid w:val="00F40E61"/>
    <w:rsid w:val="00F424D9"/>
    <w:rsid w:val="00F45B79"/>
    <w:rsid w:val="00F507C1"/>
    <w:rsid w:val="00F51398"/>
    <w:rsid w:val="00F51F91"/>
    <w:rsid w:val="00F57831"/>
    <w:rsid w:val="00F62B53"/>
    <w:rsid w:val="00F62C32"/>
    <w:rsid w:val="00F760E3"/>
    <w:rsid w:val="00F8003D"/>
    <w:rsid w:val="00F807EB"/>
    <w:rsid w:val="00F876BE"/>
    <w:rsid w:val="00F91512"/>
    <w:rsid w:val="00F91F2E"/>
    <w:rsid w:val="00F923A7"/>
    <w:rsid w:val="00FA2301"/>
    <w:rsid w:val="00FA541B"/>
    <w:rsid w:val="00FB1A1E"/>
    <w:rsid w:val="00FB6789"/>
    <w:rsid w:val="00FC5D05"/>
    <w:rsid w:val="00FD6D7F"/>
    <w:rsid w:val="00FE2321"/>
    <w:rsid w:val="00FE53E2"/>
    <w:rsid w:val="00FF2276"/>
    <w:rsid w:val="00FF24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0A58"/>
  <w15:docId w15:val="{B26B50D8-BD6F-456D-B442-61A08ECB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A32CE"/>
    <w:rPr>
      <w:rFonts w:ascii="Univers" w:eastAsia="Univers" w:hAnsi="Univers" w:cs="Univers"/>
      <w:lang w:val="es-419"/>
    </w:rPr>
  </w:style>
  <w:style w:type="paragraph" w:styleId="Ttulo1">
    <w:name w:val="heading 1"/>
    <w:basedOn w:val="Normal"/>
    <w:link w:val="Ttulo1Car"/>
    <w:uiPriority w:val="9"/>
    <w:qFormat/>
    <w:rsid w:val="00B32240"/>
    <w:pPr>
      <w:ind w:left="1142"/>
      <w:jc w:val="both"/>
      <w:outlineLvl w:val="0"/>
    </w:pPr>
    <w:rPr>
      <w:rFonts w:ascii="Arial" w:eastAsia="Arial" w:hAnsi="Arial" w:cs="Arial"/>
      <w:b/>
      <w:bCs/>
      <w:sz w:val="24"/>
      <w:szCs w:val="24"/>
      <w:lang w:val="es-MX" w:eastAsia="es-MX" w:bidi="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Times New Roman" w:eastAsia="Times New Roman" w:hAnsi="Times New Roman" w:cs="Times New Roman"/>
      <w:sz w:val="20"/>
      <w:szCs w:val="20"/>
    </w:rPr>
  </w:style>
  <w:style w:type="paragraph" w:styleId="Prrafodelista">
    <w:name w:val="List Paragraph"/>
    <w:aliases w:val="CNBV Parrafo1,Párrafo de lista1,Parrafo 1,Lista multicolor - Énfasis 11,Lista vistosa - Énfasis 11,Cuadrícula media 1 - Énfasis 21,Cita texto,Footnote,List Paragraph1,Colorful List - Accent 11,TEXTO GENERAL SENTENCIAS"/>
    <w:basedOn w:val="Normal"/>
    <w:link w:val="PrrafodelistaCar"/>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9A70B0"/>
    <w:rPr>
      <w:rFonts w:ascii="Tahoma" w:hAnsi="Tahoma" w:cs="Tahoma"/>
      <w:sz w:val="16"/>
      <w:szCs w:val="16"/>
    </w:rPr>
  </w:style>
  <w:style w:type="character" w:customStyle="1" w:styleId="TextodegloboCar">
    <w:name w:val="Texto de globo Car"/>
    <w:basedOn w:val="Fuentedeprrafopredeter"/>
    <w:link w:val="Textodeglobo"/>
    <w:uiPriority w:val="99"/>
    <w:semiHidden/>
    <w:rsid w:val="009A70B0"/>
    <w:rPr>
      <w:rFonts w:ascii="Tahoma" w:eastAsia="Univers" w:hAnsi="Tahoma" w:cs="Tahoma"/>
      <w:sz w:val="16"/>
      <w:szCs w:val="16"/>
    </w:rPr>
  </w:style>
  <w:style w:type="paragraph" w:styleId="NormalWeb">
    <w:name w:val="Normal (Web)"/>
    <w:basedOn w:val="Normal"/>
    <w:uiPriority w:val="99"/>
    <w:unhideWhenUsed/>
    <w:rsid w:val="00E92D58"/>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Default">
    <w:name w:val="Default"/>
    <w:rsid w:val="002C458A"/>
    <w:pPr>
      <w:widowControl/>
      <w:adjustRightInd w:val="0"/>
    </w:pPr>
    <w:rPr>
      <w:rFonts w:ascii="Univers" w:hAnsi="Univers" w:cs="Univers"/>
      <w:color w:val="000000"/>
      <w:sz w:val="24"/>
      <w:szCs w:val="24"/>
      <w:lang w:val="es-MX"/>
    </w:rPr>
  </w:style>
  <w:style w:type="character" w:styleId="Hipervnculo">
    <w:name w:val="Hyperlink"/>
    <w:basedOn w:val="Fuentedeprrafopredeter"/>
    <w:uiPriority w:val="99"/>
    <w:unhideWhenUsed/>
    <w:rsid w:val="003B076F"/>
    <w:rPr>
      <w:color w:val="0000FF" w:themeColor="hyperlink"/>
      <w:u w:val="single"/>
    </w:rPr>
  </w:style>
  <w:style w:type="character" w:styleId="Hipervnculovisitado">
    <w:name w:val="FollowedHyperlink"/>
    <w:basedOn w:val="Fuentedeprrafopredeter"/>
    <w:uiPriority w:val="99"/>
    <w:semiHidden/>
    <w:unhideWhenUsed/>
    <w:rsid w:val="0089338A"/>
    <w:rPr>
      <w:color w:val="800080" w:themeColor="followedHyperlink"/>
      <w:u w:val="single"/>
    </w:rPr>
  </w:style>
  <w:style w:type="paragraph" w:styleId="Textonotapie">
    <w:name w:val="footnote text"/>
    <w:aliases w:val="Footnote reference,FA Fu,Footnote Text Char Char Char Char Char,Footnote Text Char Char Char Char,Footnote Text Char Char Char,Footnote Text Cha,FA Fußnotentext,FA Fu?notentext,Footnote Text Char Char,FA Fuﬂnotentext,Ca,Ca1,FA Fu?notente"/>
    <w:basedOn w:val="Normal"/>
    <w:link w:val="TextonotapieCar"/>
    <w:uiPriority w:val="99"/>
    <w:unhideWhenUsed/>
    <w:qFormat/>
    <w:rsid w:val="00B44FED"/>
    <w:pPr>
      <w:widowControl/>
      <w:autoSpaceDE/>
      <w:autoSpaceDN/>
      <w:jc w:val="both"/>
    </w:pPr>
    <w:rPr>
      <w:rFonts w:ascii="Arial" w:eastAsiaTheme="minorHAnsi" w:hAnsi="Arial" w:cs="Arial"/>
      <w:color w:val="000000"/>
      <w:sz w:val="20"/>
      <w:szCs w:val="20"/>
      <w:lang w:val="es-ES"/>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notentext Car,FA Fuﬂnotentext Car"/>
    <w:basedOn w:val="Fuentedeprrafopredeter"/>
    <w:link w:val="Textonotapie"/>
    <w:uiPriority w:val="99"/>
    <w:rsid w:val="00B44FED"/>
    <w:rPr>
      <w:rFonts w:ascii="Arial" w:hAnsi="Arial" w:cs="Arial"/>
      <w:color w:val="000000"/>
      <w:sz w:val="20"/>
      <w:szCs w:val="20"/>
      <w:lang w:val="es-ES"/>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Ref,julio,ftre,ftref"/>
    <w:basedOn w:val="Fuentedeprrafopredeter"/>
    <w:unhideWhenUsed/>
    <w:qFormat/>
    <w:rsid w:val="00B44FED"/>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1 Car,Colorful List - Accent 11 Car"/>
    <w:link w:val="Prrafodelista"/>
    <w:uiPriority w:val="34"/>
    <w:locked/>
    <w:rsid w:val="00B44FED"/>
    <w:rPr>
      <w:rFonts w:ascii="Univers" w:eastAsia="Univers" w:hAnsi="Univers" w:cs="Univers"/>
    </w:rPr>
  </w:style>
  <w:style w:type="paragraph" w:styleId="Encabezado">
    <w:name w:val="header"/>
    <w:basedOn w:val="Normal"/>
    <w:link w:val="EncabezadoCar"/>
    <w:uiPriority w:val="99"/>
    <w:unhideWhenUsed/>
    <w:rsid w:val="00F51398"/>
    <w:pPr>
      <w:tabs>
        <w:tab w:val="center" w:pos="4419"/>
        <w:tab w:val="right" w:pos="8838"/>
      </w:tabs>
    </w:pPr>
  </w:style>
  <w:style w:type="character" w:customStyle="1" w:styleId="EncabezadoCar">
    <w:name w:val="Encabezado Car"/>
    <w:basedOn w:val="Fuentedeprrafopredeter"/>
    <w:link w:val="Encabezado"/>
    <w:uiPriority w:val="99"/>
    <w:rsid w:val="00F51398"/>
    <w:rPr>
      <w:rFonts w:ascii="Univers" w:eastAsia="Univers" w:hAnsi="Univers" w:cs="Univers"/>
    </w:rPr>
  </w:style>
  <w:style w:type="paragraph" w:styleId="Piedepgina">
    <w:name w:val="footer"/>
    <w:basedOn w:val="Normal"/>
    <w:link w:val="PiedepginaCar"/>
    <w:uiPriority w:val="99"/>
    <w:unhideWhenUsed/>
    <w:rsid w:val="00F51398"/>
    <w:pPr>
      <w:tabs>
        <w:tab w:val="center" w:pos="4419"/>
        <w:tab w:val="right" w:pos="8838"/>
      </w:tabs>
    </w:pPr>
  </w:style>
  <w:style w:type="character" w:customStyle="1" w:styleId="PiedepginaCar">
    <w:name w:val="Pie de página Car"/>
    <w:basedOn w:val="Fuentedeprrafopredeter"/>
    <w:link w:val="Piedepgina"/>
    <w:uiPriority w:val="99"/>
    <w:rsid w:val="00F51398"/>
    <w:rPr>
      <w:rFonts w:ascii="Univers" w:eastAsia="Univers" w:hAnsi="Univers" w:cs="Univers"/>
    </w:rPr>
  </w:style>
  <w:style w:type="paragraph" w:customStyle="1" w:styleId="corte4fondo">
    <w:name w:val="corte4 fondo"/>
    <w:basedOn w:val="Normal"/>
    <w:link w:val="corte4fondoCar"/>
    <w:qFormat/>
    <w:rsid w:val="00534A19"/>
    <w:pPr>
      <w:widowControl/>
      <w:autoSpaceDE/>
      <w:autoSpaceDN/>
      <w:spacing w:line="360" w:lineRule="auto"/>
      <w:ind w:firstLine="709"/>
      <w:jc w:val="both"/>
    </w:pPr>
    <w:rPr>
      <w:rFonts w:ascii="Arial" w:eastAsia="Times New Roman" w:hAnsi="Arial" w:cs="Times New Roman"/>
      <w:sz w:val="30"/>
      <w:szCs w:val="20"/>
      <w:lang w:val="es-ES_tradnl" w:eastAsia="es-MX"/>
    </w:rPr>
  </w:style>
  <w:style w:type="character" w:customStyle="1" w:styleId="corte4fondoCar">
    <w:name w:val="corte4 fondo Car"/>
    <w:link w:val="corte4fondo"/>
    <w:rsid w:val="00534A19"/>
    <w:rPr>
      <w:rFonts w:ascii="Arial" w:eastAsia="Times New Roman" w:hAnsi="Arial" w:cs="Times New Roman"/>
      <w:sz w:val="30"/>
      <w:szCs w:val="20"/>
      <w:lang w:val="es-ES_tradnl" w:eastAsia="es-MX"/>
    </w:rPr>
  </w:style>
  <w:style w:type="paragraph" w:customStyle="1" w:styleId="corte5transcripcion">
    <w:name w:val="corte5 transcripcion"/>
    <w:basedOn w:val="Normal"/>
    <w:link w:val="corte5transcripcionCar"/>
    <w:qFormat/>
    <w:rsid w:val="00534A19"/>
    <w:pPr>
      <w:widowControl/>
      <w:autoSpaceDE/>
      <w:autoSpaceDN/>
      <w:spacing w:line="360" w:lineRule="auto"/>
      <w:ind w:left="709" w:right="709"/>
      <w:jc w:val="both"/>
    </w:pPr>
    <w:rPr>
      <w:rFonts w:ascii="Arial" w:eastAsia="Times New Roman" w:hAnsi="Arial" w:cs="Times New Roman"/>
      <w:b/>
      <w:i/>
      <w:sz w:val="30"/>
      <w:szCs w:val="24"/>
      <w:lang w:val="es-MX" w:eastAsia="es-MX"/>
    </w:rPr>
  </w:style>
  <w:style w:type="character" w:customStyle="1" w:styleId="corte5transcripcionCar">
    <w:name w:val="corte5 transcripcion Car"/>
    <w:link w:val="corte5transcripcion"/>
    <w:locked/>
    <w:rsid w:val="00534A19"/>
    <w:rPr>
      <w:rFonts w:ascii="Arial" w:eastAsia="Times New Roman" w:hAnsi="Arial" w:cs="Times New Roman"/>
      <w:b/>
      <w:i/>
      <w:sz w:val="30"/>
      <w:szCs w:val="24"/>
      <w:lang w:val="es-MX" w:eastAsia="es-MX"/>
    </w:rPr>
  </w:style>
  <w:style w:type="character" w:customStyle="1" w:styleId="corte5transcripcionCarCarCar">
    <w:name w:val="corte5 transcripcion Car Car Car"/>
    <w:rsid w:val="00534A19"/>
    <w:rPr>
      <w:rFonts w:ascii="Arial" w:hAnsi="Arial"/>
      <w:b/>
      <w:i/>
      <w:sz w:val="30"/>
      <w:szCs w:val="24"/>
      <w:lang w:val="es-ES_tradnl" w:eastAsia="es-MX" w:bidi="ar-SA"/>
    </w:rPr>
  </w:style>
  <w:style w:type="character" w:customStyle="1" w:styleId="corte4fondoCar2">
    <w:name w:val="corte4 fondo Car2"/>
    <w:rsid w:val="00534A19"/>
    <w:rPr>
      <w:rFonts w:ascii="Arial" w:eastAsia="Times New Roman" w:hAnsi="Arial" w:cs="Times New Roman"/>
      <w:sz w:val="30"/>
      <w:szCs w:val="20"/>
      <w:lang w:val="es-ES_tradnl" w:eastAsia="es-ES"/>
    </w:rPr>
  </w:style>
  <w:style w:type="character" w:customStyle="1" w:styleId="corte4fondoCar1">
    <w:name w:val="corte4 fondo Car1"/>
    <w:rsid w:val="009713E8"/>
    <w:rPr>
      <w:rFonts w:ascii="Arial" w:eastAsia="Times New Roman" w:hAnsi="Arial" w:cs="Times New Roman"/>
      <w:sz w:val="30"/>
      <w:szCs w:val="20"/>
      <w:lang w:val="es-ES_tradnl" w:eastAsia="es-ES"/>
    </w:rPr>
  </w:style>
  <w:style w:type="character" w:styleId="Mencinsinresolver">
    <w:name w:val="Unresolved Mention"/>
    <w:basedOn w:val="Fuentedeprrafopredeter"/>
    <w:uiPriority w:val="99"/>
    <w:semiHidden/>
    <w:unhideWhenUsed/>
    <w:rsid w:val="00853F6C"/>
    <w:rPr>
      <w:color w:val="605E5C"/>
      <w:shd w:val="clear" w:color="auto" w:fill="E1DFDD"/>
    </w:rPr>
  </w:style>
  <w:style w:type="paragraph" w:customStyle="1" w:styleId="Estilo">
    <w:name w:val="Estilo"/>
    <w:basedOn w:val="Sinespaciado"/>
    <w:link w:val="EstiloCar"/>
    <w:qFormat/>
    <w:rsid w:val="00ED5131"/>
    <w:pPr>
      <w:widowControl/>
      <w:autoSpaceDE/>
      <w:autoSpaceDN/>
      <w:jc w:val="both"/>
    </w:pPr>
    <w:rPr>
      <w:rFonts w:ascii="Arial" w:eastAsia="Calibri" w:hAnsi="Arial" w:cs="Times New Roman"/>
      <w:sz w:val="24"/>
      <w:lang w:val="es-MX"/>
    </w:rPr>
  </w:style>
  <w:style w:type="character" w:customStyle="1" w:styleId="EstiloCar">
    <w:name w:val="Estilo Car"/>
    <w:link w:val="Estilo"/>
    <w:rsid w:val="00ED5131"/>
    <w:rPr>
      <w:rFonts w:ascii="Arial" w:eastAsia="Calibri" w:hAnsi="Arial" w:cs="Times New Roman"/>
      <w:sz w:val="24"/>
      <w:lang w:val="es-MX"/>
    </w:rPr>
  </w:style>
  <w:style w:type="paragraph" w:styleId="Sinespaciado">
    <w:name w:val="No Spacing"/>
    <w:uiPriority w:val="1"/>
    <w:qFormat/>
    <w:rsid w:val="00ED5131"/>
    <w:rPr>
      <w:rFonts w:ascii="Univers" w:eastAsia="Univers" w:hAnsi="Univers" w:cs="Univers"/>
    </w:rPr>
  </w:style>
  <w:style w:type="paragraph" w:customStyle="1" w:styleId="CarCar1CarCarCarCarCarCarCarCarCarCar">
    <w:name w:val="Car Car1 Car Car Car Car Car Car Car Car Car Car"/>
    <w:basedOn w:val="Normal"/>
    <w:rsid w:val="00507F26"/>
    <w:pPr>
      <w:widowControl/>
      <w:autoSpaceDE/>
      <w:autoSpaceDN/>
      <w:spacing w:after="160" w:line="240" w:lineRule="exact"/>
      <w:jc w:val="right"/>
    </w:pPr>
    <w:rPr>
      <w:rFonts w:ascii="Verdana" w:eastAsia="Times New Roman" w:hAnsi="Verdana" w:cs="Arial"/>
      <w:sz w:val="20"/>
      <w:szCs w:val="21"/>
      <w:lang w:val="es-MX"/>
    </w:rPr>
  </w:style>
  <w:style w:type="character" w:customStyle="1" w:styleId="Ttulo1Car">
    <w:name w:val="Título 1 Car"/>
    <w:basedOn w:val="Fuentedeprrafopredeter"/>
    <w:link w:val="Ttulo1"/>
    <w:uiPriority w:val="9"/>
    <w:rsid w:val="00B32240"/>
    <w:rPr>
      <w:rFonts w:ascii="Arial" w:eastAsia="Arial" w:hAnsi="Arial" w:cs="Arial"/>
      <w:b/>
      <w:bCs/>
      <w:sz w:val="24"/>
      <w:szCs w:val="24"/>
      <w:lang w:val="es-MX" w:eastAsia="es-MX" w:bidi="es-MX"/>
    </w:rPr>
  </w:style>
  <w:style w:type="character" w:customStyle="1" w:styleId="PARRAFOSENTENCIACar">
    <w:name w:val="PARRAFO SENTENCIA Car"/>
    <w:basedOn w:val="Fuentedeprrafopredeter"/>
    <w:link w:val="PARRAFOSENTENCIA"/>
    <w:locked/>
    <w:rsid w:val="00D80F5F"/>
    <w:rPr>
      <w:rFonts w:ascii="Arial" w:hAnsi="Arial" w:cs="Arial"/>
      <w:lang w:eastAsia="es-ES"/>
    </w:rPr>
  </w:style>
  <w:style w:type="paragraph" w:customStyle="1" w:styleId="PARRAFOSENTENCIA">
    <w:name w:val="PARRAFO SENTENCIA"/>
    <w:basedOn w:val="Normal"/>
    <w:link w:val="PARRAFOSENTENCIACar"/>
    <w:rsid w:val="00D80F5F"/>
    <w:pPr>
      <w:widowControl/>
      <w:autoSpaceDE/>
      <w:autoSpaceDN/>
      <w:spacing w:before="100" w:beforeAutospacing="1" w:after="100" w:afterAutospacing="1" w:line="360" w:lineRule="auto"/>
      <w:jc w:val="both"/>
    </w:pPr>
    <w:rPr>
      <w:rFonts w:ascii="Arial" w:eastAsiaTheme="minorHAnsi" w:hAnsi="Arial" w:cs="Arial"/>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855035">
      <w:bodyDiv w:val="1"/>
      <w:marLeft w:val="0"/>
      <w:marRight w:val="0"/>
      <w:marTop w:val="0"/>
      <w:marBottom w:val="0"/>
      <w:divBdr>
        <w:top w:val="none" w:sz="0" w:space="0" w:color="auto"/>
        <w:left w:val="none" w:sz="0" w:space="0" w:color="auto"/>
        <w:bottom w:val="none" w:sz="0" w:space="0" w:color="auto"/>
        <w:right w:val="none" w:sz="0" w:space="0" w:color="auto"/>
      </w:divBdr>
    </w:div>
    <w:div w:id="839927196">
      <w:bodyDiv w:val="1"/>
      <w:marLeft w:val="0"/>
      <w:marRight w:val="0"/>
      <w:marTop w:val="0"/>
      <w:marBottom w:val="0"/>
      <w:divBdr>
        <w:top w:val="none" w:sz="0" w:space="0" w:color="auto"/>
        <w:left w:val="none" w:sz="0" w:space="0" w:color="auto"/>
        <w:bottom w:val="none" w:sz="0" w:space="0" w:color="auto"/>
        <w:right w:val="none" w:sz="0" w:space="0" w:color="auto"/>
      </w:divBdr>
    </w:div>
    <w:div w:id="959991602">
      <w:bodyDiv w:val="1"/>
      <w:marLeft w:val="0"/>
      <w:marRight w:val="0"/>
      <w:marTop w:val="0"/>
      <w:marBottom w:val="0"/>
      <w:divBdr>
        <w:top w:val="none" w:sz="0" w:space="0" w:color="auto"/>
        <w:left w:val="none" w:sz="0" w:space="0" w:color="auto"/>
        <w:bottom w:val="none" w:sz="0" w:space="0" w:color="auto"/>
        <w:right w:val="none" w:sz="0" w:space="0" w:color="auto"/>
      </w:divBdr>
    </w:div>
    <w:div w:id="1118254237">
      <w:bodyDiv w:val="1"/>
      <w:marLeft w:val="0"/>
      <w:marRight w:val="0"/>
      <w:marTop w:val="0"/>
      <w:marBottom w:val="0"/>
      <w:divBdr>
        <w:top w:val="none" w:sz="0" w:space="0" w:color="auto"/>
        <w:left w:val="none" w:sz="0" w:space="0" w:color="auto"/>
        <w:bottom w:val="none" w:sz="0" w:space="0" w:color="auto"/>
        <w:right w:val="none" w:sz="0" w:space="0" w:color="auto"/>
      </w:divBdr>
    </w:div>
    <w:div w:id="1667780103">
      <w:bodyDiv w:val="1"/>
      <w:marLeft w:val="0"/>
      <w:marRight w:val="0"/>
      <w:marTop w:val="0"/>
      <w:marBottom w:val="0"/>
      <w:divBdr>
        <w:top w:val="none" w:sz="0" w:space="0" w:color="auto"/>
        <w:left w:val="none" w:sz="0" w:space="0" w:color="auto"/>
        <w:bottom w:val="none" w:sz="0" w:space="0" w:color="auto"/>
        <w:right w:val="none" w:sz="0" w:space="0" w:color="auto"/>
      </w:divBdr>
    </w:div>
    <w:div w:id="1890416551">
      <w:bodyDiv w:val="1"/>
      <w:marLeft w:val="0"/>
      <w:marRight w:val="0"/>
      <w:marTop w:val="0"/>
      <w:marBottom w:val="0"/>
      <w:divBdr>
        <w:top w:val="none" w:sz="0" w:space="0" w:color="auto"/>
        <w:left w:val="none" w:sz="0" w:space="0" w:color="auto"/>
        <w:bottom w:val="none" w:sz="0" w:space="0" w:color="auto"/>
        <w:right w:val="none" w:sz="0" w:space="0" w:color="auto"/>
      </w:divBdr>
    </w:div>
    <w:div w:id="1954165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scjn.gob.mx/juridica/engroses/3/2015/19/2_188112_2536.doc" TargetMode="External"/><Relationship Id="rId18" Type="http://schemas.openxmlformats.org/officeDocument/2006/relationships/hyperlink" Target="https://www2.scjn.gob.mx/juridica/engroses/3/2014/19/3_167495_2125.doc" TargetMode="External"/><Relationship Id="rId26" Type="http://schemas.openxmlformats.org/officeDocument/2006/relationships/hyperlink" Target="https://www2.scjn.gob.mx/juridica/engroses/3/2010/19/3_121788_0.doc" TargetMode="External"/><Relationship Id="rId3" Type="http://schemas.openxmlformats.org/officeDocument/2006/relationships/styles" Target="styles.xml"/><Relationship Id="rId21" Type="http://schemas.openxmlformats.org/officeDocument/2006/relationships/hyperlink" Target="https://www2.scjn.gob.mx/juridica/engroses/3/2014/19/3_168669_2282.doc"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2.scjn.gob.mx/juridica/engroses/3/2015/19/3_187329_2533.doc" TargetMode="External"/><Relationship Id="rId17" Type="http://schemas.openxmlformats.org/officeDocument/2006/relationships/hyperlink" Target="http://mxscjnbiblio.scjn.pjf.gob.mx/Tematica/Detalle.aspx?AsuntoID=169306" TargetMode="External"/><Relationship Id="rId25" Type="http://schemas.openxmlformats.org/officeDocument/2006/relationships/hyperlink" Target="https://www2.scjn.gob.mx/juridica/engroses/3/2011/19/3_124216_0.do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2.scjn.gob.mx/juridica/engroses/3/2014/19/3_168595_2134.doc" TargetMode="External"/><Relationship Id="rId20" Type="http://schemas.openxmlformats.org/officeDocument/2006/relationships/hyperlink" Target="https://www2.scjn.gob.mx/juridica/engroses/3/2014/19/3_168673_2131.doc" TargetMode="External"/><Relationship Id="rId29" Type="http://schemas.openxmlformats.org/officeDocument/2006/relationships/hyperlink" Target="https://www2.scjn.gob.mx/juridica/engroses/3/2008/19/3_104948_0.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xscjnbiblio.scjn.pjf.gob.mx/Tematica/Detalle.aspx?AsuntoID=220153" TargetMode="External"/><Relationship Id="rId24" Type="http://schemas.openxmlformats.org/officeDocument/2006/relationships/hyperlink" Target="http://mxscjnbiblio.scjn.pjf.gob.mx/Tematica/Detalle.aspx?AsuntoID=169289"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2.scjn.gob.mx/ConsultaTematica/PaginasPub/DetallePub.aspx?AsuntoID=191791" TargetMode="External"/><Relationship Id="rId23" Type="http://schemas.openxmlformats.org/officeDocument/2006/relationships/hyperlink" Target="https://www2.scjn.gob.mx/juridica/engroses/3/2014/19/3_167491_2125.doc" TargetMode="External"/><Relationship Id="rId28" Type="http://schemas.openxmlformats.org/officeDocument/2006/relationships/hyperlink" Target="https://www2.scjn.gob.mx/juridica/engroses/3/2009/19/2_112732_0.doc" TargetMode="External"/><Relationship Id="rId10" Type="http://schemas.openxmlformats.org/officeDocument/2006/relationships/hyperlink" Target="https://www2.scjn.gob.mx/juridica/engroses/3/2017/19/3_219837_3570.docx" TargetMode="External"/><Relationship Id="rId19" Type="http://schemas.openxmlformats.org/officeDocument/2006/relationships/hyperlink" Target="https://www2.scjn.gob.mx/juridica/engroses/3/2014/19/3_173545_2500.doc" TargetMode="External"/><Relationship Id="rId31" Type="http://schemas.openxmlformats.org/officeDocument/2006/relationships/hyperlink" Target="https://www2.scjn.gob.mx/juridica/engroses/3/2005/19/3_75814_0.doc" TargetMode="External"/><Relationship Id="rId4" Type="http://schemas.openxmlformats.org/officeDocument/2006/relationships/settings" Target="settings.xml"/><Relationship Id="rId9" Type="http://schemas.openxmlformats.org/officeDocument/2006/relationships/hyperlink" Target="http://mxscjnbiblio.scjn.pjf.gob.mx/Tematica/Detalle.aspx?AsuntoID=273708" TargetMode="External"/><Relationship Id="rId14" Type="http://schemas.openxmlformats.org/officeDocument/2006/relationships/hyperlink" Target="https://www2.scjn.gob.mx/juridica/engroses/3/2015/19/3_186425_2519.doc" TargetMode="External"/><Relationship Id="rId22" Type="http://schemas.openxmlformats.org/officeDocument/2006/relationships/hyperlink" Target="https://www2.scjn.gob.mx/juridica/engroses/3/2014/19/3_168667_2134.doc" TargetMode="External"/><Relationship Id="rId27" Type="http://schemas.openxmlformats.org/officeDocument/2006/relationships/hyperlink" Target="https://www2.scjn.gob.mx/juridica/engroses/3/2009/19/2_106288_0.doc" TargetMode="External"/><Relationship Id="rId30" Type="http://schemas.openxmlformats.org/officeDocument/2006/relationships/hyperlink" Target="https://www2.scjn.gob.mx/juridica/engroses/3/2008/19/3_104930_0.doc" TargetMode="External"/><Relationship Id="rId8" Type="http://schemas.openxmlformats.org/officeDocument/2006/relationships/hyperlink" Target="https://www2.scjn.gob.mx/ConsultaTematica/PaginasPub/DetallePub.aspx?AsuntoID=29944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A7B11-17FA-4A5A-8F07-F4E452A4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20123</Words>
  <Characters>110677</Characters>
  <Application>Microsoft Office Word</Application>
  <DocSecurity>4</DocSecurity>
  <Lines>922</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Betanzos Torres</dc:creator>
  <cp:lastModifiedBy>José Francisco Jiménez Guerrero</cp:lastModifiedBy>
  <cp:revision>2</cp:revision>
  <dcterms:created xsi:type="dcterms:W3CDTF">2023-09-14T17:28:00Z</dcterms:created>
  <dcterms:modified xsi:type="dcterms:W3CDTF">2023-09-14T17:28:00Z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2015-06-23T00:00:00Z</vt:filetime>
  </property>
  <property fmtid="{D5CDD505-2E9C-101B-9397-08002B2CF9AE}" pid="3" name="Creator">
    <vt:lpwstr>Microsoft® Excel® 2010</vt:lpwstr>
  </property>
  <property fmtid="{D5CDD505-2E9C-101B-9397-08002B2CF9AE}" pid="4" name="LastSaved">
    <vt:filetime>2017-01-18T00:00:00Z</vt:filetime>
  </property>
</Properties>
</file>