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731" w:type="dxa"/>
        <w:tblInd w:w="-17" w:type="dxa"/>
        <w:tblLayout w:type="fixed"/>
        <w:tblCellMar>
          <w:top w:w="61" w:type="dxa"/>
          <w:left w:w="108" w:type="dxa"/>
          <w:right w:w="51" w:type="dxa"/>
        </w:tblCellMar>
        <w:tblLook w:val="04A0" w:firstRow="1" w:lastRow="0" w:firstColumn="1" w:lastColumn="0" w:noHBand="0" w:noVBand="1"/>
      </w:tblPr>
      <w:tblGrid>
        <w:gridCol w:w="2099"/>
        <w:gridCol w:w="15276"/>
        <w:gridCol w:w="356"/>
      </w:tblGrid>
      <w:tr w:rsidR="0097674E" w14:paraId="16E36CCF" w14:textId="77777777" w:rsidTr="005A09CA">
        <w:trPr>
          <w:trHeight w:val="408"/>
          <w:tblHeader/>
        </w:trPr>
        <w:tc>
          <w:tcPr>
            <w:tcW w:w="17375" w:type="dxa"/>
            <w:gridSpan w:val="2"/>
            <w:tcBorders>
              <w:top w:val="single" w:sz="4" w:space="0" w:color="BFBFBF"/>
              <w:left w:val="single" w:sz="4" w:space="0" w:color="BFBFBF"/>
              <w:bottom w:val="single" w:sz="4" w:space="0" w:color="BFBFBF"/>
              <w:right w:val="single" w:sz="4" w:space="0" w:color="BFBFBF"/>
            </w:tcBorders>
            <w:shd w:val="clear" w:color="auto" w:fill="002060"/>
          </w:tcPr>
          <w:p w14:paraId="63DB2E35" w14:textId="77777777" w:rsidR="0097674E" w:rsidRPr="00E144CB" w:rsidRDefault="00247584" w:rsidP="00ED28D9">
            <w:pPr>
              <w:ind w:right="58"/>
              <w:jc w:val="center"/>
              <w:rPr>
                <w:rFonts w:ascii="Arial" w:eastAsia="Century Gothic" w:hAnsi="Arial" w:cs="Arial"/>
                <w:b/>
                <w:color w:val="FFFFFF"/>
                <w:sz w:val="32"/>
                <w:szCs w:val="32"/>
              </w:rPr>
            </w:pPr>
            <w:r w:rsidRPr="00247584">
              <w:rPr>
                <w:rFonts w:ascii="Arial" w:eastAsia="Century Gothic" w:hAnsi="Arial" w:cs="Arial"/>
                <w:b/>
                <w:color w:val="FFFFFF"/>
                <w:sz w:val="32"/>
                <w:szCs w:val="32"/>
              </w:rPr>
              <w:t xml:space="preserve">LEY GENERAL DE </w:t>
            </w:r>
            <w:r w:rsidR="00073212">
              <w:rPr>
                <w:rFonts w:ascii="Arial" w:eastAsia="Century Gothic" w:hAnsi="Arial" w:cs="Arial"/>
                <w:b/>
                <w:color w:val="FFFFFF"/>
                <w:sz w:val="32"/>
                <w:szCs w:val="32"/>
              </w:rPr>
              <w:t xml:space="preserve">PARTIDOS POLÍTICOS </w:t>
            </w:r>
          </w:p>
        </w:tc>
        <w:tc>
          <w:tcPr>
            <w:tcW w:w="356" w:type="dxa"/>
          </w:tcPr>
          <w:p w14:paraId="6A88A308" w14:textId="77777777" w:rsidR="0097674E" w:rsidRDefault="0097674E" w:rsidP="00323C0B">
            <w:pPr>
              <w:jc w:val="both"/>
            </w:pPr>
          </w:p>
        </w:tc>
      </w:tr>
      <w:tr w:rsidR="0097674E" w14:paraId="008AD703" w14:textId="77777777" w:rsidTr="003B029D">
        <w:trPr>
          <w:gridAfter w:val="1"/>
          <w:wAfter w:w="356" w:type="dxa"/>
          <w:trHeight w:val="2757"/>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vAlign w:val="center"/>
          </w:tcPr>
          <w:p w14:paraId="2DD20130" w14:textId="77777777" w:rsidR="0097674E" w:rsidRPr="00247584" w:rsidRDefault="00471A98" w:rsidP="00ED28D9">
            <w:pPr>
              <w:ind w:right="419"/>
              <w:jc w:val="center"/>
              <w:rPr>
                <w:rFonts w:ascii="Century Gothic" w:eastAsiaTheme="minorEastAsia" w:hAnsi="Century Gothic" w:cs="Century Gothic"/>
                <w:b/>
                <w:sz w:val="24"/>
                <w:szCs w:val="24"/>
              </w:rPr>
            </w:pPr>
            <w:r w:rsidRPr="00471A98">
              <w:rPr>
                <w:rFonts w:ascii="Century Gothic" w:eastAsiaTheme="minorEastAsia" w:hAnsi="Century Gothic" w:cs="Century Gothic"/>
                <w:b/>
                <w:sz w:val="24"/>
                <w:szCs w:val="24"/>
              </w:rPr>
              <w:t>Artículo 1.</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vAlign w:val="center"/>
          </w:tcPr>
          <w:p w14:paraId="6C846CEB" w14:textId="77777777" w:rsidR="00471A98" w:rsidRDefault="00471A98" w:rsidP="00471A98">
            <w:pPr>
              <w:pStyle w:val="Default"/>
              <w:jc w:val="both"/>
              <w:rPr>
                <w:b/>
              </w:rPr>
            </w:pPr>
            <w:r w:rsidRPr="00471A98">
              <w:rPr>
                <w:b/>
              </w:rPr>
              <w:t>1. La presente Ley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w:t>
            </w:r>
          </w:p>
          <w:p w14:paraId="2F537573" w14:textId="77777777" w:rsidR="00471A98" w:rsidRDefault="00471A98" w:rsidP="00471A98">
            <w:pPr>
              <w:pStyle w:val="Default"/>
              <w:jc w:val="both"/>
              <w:rPr>
                <w:b/>
              </w:rPr>
            </w:pPr>
          </w:p>
          <w:p w14:paraId="2FCD7CD8" w14:textId="77777777" w:rsidR="00471A98" w:rsidRDefault="00471A98" w:rsidP="00471A98">
            <w:pPr>
              <w:pStyle w:val="Default"/>
              <w:jc w:val="both"/>
              <w:rPr>
                <w:b/>
              </w:rPr>
            </w:pPr>
            <w:r>
              <w:rPr>
                <w:b/>
              </w:rPr>
              <w:t>…</w:t>
            </w:r>
          </w:p>
          <w:p w14:paraId="793B298E" w14:textId="77777777" w:rsidR="00471A98" w:rsidRDefault="00471A98" w:rsidP="00471A98">
            <w:pPr>
              <w:pStyle w:val="Default"/>
              <w:jc w:val="both"/>
              <w:rPr>
                <w:b/>
              </w:rPr>
            </w:pPr>
          </w:p>
          <w:p w14:paraId="6DB62A8A" w14:textId="77777777" w:rsidR="00471A98" w:rsidRPr="00247584" w:rsidRDefault="00471A98" w:rsidP="00471A98">
            <w:pPr>
              <w:pStyle w:val="Default"/>
              <w:jc w:val="both"/>
              <w:rPr>
                <w:b/>
              </w:rPr>
            </w:pPr>
            <w:r w:rsidRPr="00471A98">
              <w:rPr>
                <w:b/>
              </w:rPr>
              <w:t>f) El sistema de fiscalización de los ingresos y egresos de los recursos;</w:t>
            </w:r>
          </w:p>
        </w:tc>
      </w:tr>
      <w:tr w:rsidR="000D3841" w:rsidRPr="000D3841" w14:paraId="611334BF" w14:textId="77777777" w:rsidTr="003B029D">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696750B3" w14:textId="77777777" w:rsidR="000D3841" w:rsidRPr="000D3841" w:rsidRDefault="00471A98" w:rsidP="00ED28D9">
            <w:pPr>
              <w:jc w:val="center"/>
              <w:rPr>
                <w:rFonts w:ascii="Century Gothic" w:eastAsiaTheme="minorEastAsia" w:hAnsi="Century Gothic" w:cs="Century Gothic"/>
                <w:b/>
                <w:sz w:val="24"/>
                <w:szCs w:val="24"/>
              </w:rPr>
            </w:pPr>
            <w:r w:rsidRPr="00471A98">
              <w:rPr>
                <w:rFonts w:ascii="Century Gothic" w:eastAsiaTheme="minorEastAsia" w:hAnsi="Century Gothic" w:cs="Century Gothic"/>
                <w:b/>
                <w:sz w:val="24"/>
                <w:szCs w:val="24"/>
              </w:rPr>
              <w:t>Artículo 7.</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B8FCF3A" w14:textId="01F501B9" w:rsidR="00471A98" w:rsidRPr="00471A98" w:rsidRDefault="00471A98" w:rsidP="00471A98">
            <w:pPr>
              <w:pStyle w:val="NormalWeb"/>
              <w:jc w:val="both"/>
              <w:rPr>
                <w:rFonts w:ascii="Century Gothic" w:eastAsiaTheme="minorEastAsia" w:hAnsi="Century Gothic" w:cs="Century Gothic"/>
                <w:b/>
                <w:color w:val="000000"/>
              </w:rPr>
            </w:pPr>
            <w:r w:rsidRPr="00471A98">
              <w:rPr>
                <w:rFonts w:ascii="Century Gothic" w:eastAsiaTheme="minorEastAsia" w:hAnsi="Century Gothic" w:cs="Century Gothic"/>
                <w:b/>
                <w:color w:val="000000"/>
              </w:rPr>
              <w:t>1. Corresponden al Instituto, las atribuciones siguientes:</w:t>
            </w:r>
            <w:r w:rsidR="0091353C">
              <w:rPr>
                <w:rFonts w:ascii="Century Gothic" w:eastAsiaTheme="minorEastAsia" w:hAnsi="Century Gothic" w:cs="Century Gothic"/>
                <w:b/>
                <w:color w:val="000000"/>
              </w:rPr>
              <w:t>*</w:t>
            </w:r>
          </w:p>
          <w:p w14:paraId="170DAE1A" w14:textId="77777777" w:rsidR="00471A98" w:rsidRPr="00471A98" w:rsidRDefault="00471A98" w:rsidP="00471A98">
            <w:pPr>
              <w:pStyle w:val="NormalWeb"/>
              <w:jc w:val="both"/>
              <w:rPr>
                <w:rFonts w:ascii="Century Gothic" w:eastAsiaTheme="minorEastAsia" w:hAnsi="Century Gothic" w:cs="Century Gothic"/>
                <w:b/>
                <w:color w:val="000000"/>
              </w:rPr>
            </w:pPr>
            <w:r w:rsidRPr="00471A98">
              <w:rPr>
                <w:rFonts w:ascii="Century Gothic" w:eastAsiaTheme="minorEastAsia" w:hAnsi="Century Gothic" w:cs="Century Gothic"/>
                <w:b/>
                <w:color w:val="000000"/>
              </w:rPr>
              <w:t>a) El registro de los partidos políticos nacionales y el libro de registro de los partidos políticos locales;</w:t>
            </w:r>
          </w:p>
          <w:p w14:paraId="02DCE09C" w14:textId="77777777" w:rsidR="00471A98" w:rsidRPr="00471A98" w:rsidRDefault="00471A98" w:rsidP="00471A98">
            <w:pPr>
              <w:pStyle w:val="NormalWeb"/>
              <w:jc w:val="both"/>
              <w:rPr>
                <w:rFonts w:ascii="Century Gothic" w:eastAsiaTheme="minorEastAsia" w:hAnsi="Century Gothic" w:cs="Century Gothic"/>
                <w:b/>
                <w:color w:val="000000"/>
              </w:rPr>
            </w:pPr>
            <w:r w:rsidRPr="00471A98">
              <w:rPr>
                <w:rFonts w:ascii="Century Gothic" w:eastAsiaTheme="minorEastAsia" w:hAnsi="Century Gothic" w:cs="Century Gothic"/>
                <w:b/>
                <w:color w:val="000000"/>
              </w:rPr>
              <w:t>b) El reconocimiento de los derechos y el acceso a las prerrogativas de los partidos políticos nacionales y de los candidatos a cargos de elección popular federal;</w:t>
            </w:r>
          </w:p>
          <w:p w14:paraId="6EA166E2" w14:textId="77777777" w:rsidR="00471A98" w:rsidRPr="00471A98" w:rsidRDefault="00471A98" w:rsidP="00471A98">
            <w:pPr>
              <w:pStyle w:val="NormalWeb"/>
              <w:jc w:val="both"/>
              <w:rPr>
                <w:rFonts w:ascii="Century Gothic" w:eastAsiaTheme="minorEastAsia" w:hAnsi="Century Gothic" w:cs="Century Gothic"/>
                <w:b/>
                <w:color w:val="000000"/>
              </w:rPr>
            </w:pPr>
            <w:r w:rsidRPr="00471A98">
              <w:rPr>
                <w:rFonts w:ascii="Century Gothic" w:eastAsiaTheme="minorEastAsia" w:hAnsi="Century Gothic" w:cs="Century Gothic"/>
                <w:b/>
                <w:color w:val="000000"/>
              </w:rPr>
              <w:t>c) La organización de la elección de los dirigentes de los partidos políticos, cuando éstos lo soliciten, con cargo a sus prerrogativas, en los términos que establezca esta Ley;</w:t>
            </w:r>
          </w:p>
          <w:p w14:paraId="30D2CF74" w14:textId="77777777" w:rsidR="00C26013" w:rsidRPr="00C26013" w:rsidRDefault="00C26013" w:rsidP="00C26013">
            <w:pPr>
              <w:pStyle w:val="NormalWeb"/>
              <w:rPr>
                <w:rFonts w:ascii="Century Gothic" w:eastAsiaTheme="minorEastAsia" w:hAnsi="Century Gothic" w:cs="Century Gothic"/>
                <w:b/>
                <w:color w:val="000000"/>
              </w:rPr>
            </w:pPr>
            <w:r w:rsidRPr="00C26013">
              <w:rPr>
                <w:rFonts w:ascii="Century Gothic" w:eastAsiaTheme="minorEastAsia" w:hAnsi="Century Gothic" w:cs="Century Gothic"/>
                <w:b/>
                <w:color w:val="000000"/>
              </w:rPr>
              <w:t>(Reformado mediante el Decreto publicado el 2 de marzo de 2023)</w:t>
            </w:r>
          </w:p>
          <w:p w14:paraId="226D5428" w14:textId="77777777" w:rsidR="00C26013" w:rsidRPr="00C26013" w:rsidRDefault="00C26013" w:rsidP="00C26013">
            <w:pPr>
              <w:pStyle w:val="NormalWeb"/>
              <w:rPr>
                <w:rFonts w:ascii="Century Gothic" w:eastAsiaTheme="minorEastAsia" w:hAnsi="Century Gothic" w:cs="Century Gothic"/>
                <w:b/>
                <w:color w:val="000000"/>
              </w:rPr>
            </w:pPr>
            <w:r w:rsidRPr="00C26013">
              <w:rPr>
                <w:rFonts w:ascii="Century Gothic" w:eastAsiaTheme="minorEastAsia" w:hAnsi="Century Gothic" w:cs="Century Gothic"/>
                <w:b/>
                <w:color w:val="000000"/>
              </w:rPr>
              <w:t>d) La fiscalización de ingresos y egresos de los Partidos Políticos nacionales y locales, las coaliciones, las agrupaciones políticas nacionales y locales y de los candidatos a cargos de elección popular federal y local, y</w:t>
            </w:r>
          </w:p>
          <w:p w14:paraId="0D03AD12" w14:textId="0B8227DB" w:rsidR="006F5AA4" w:rsidRPr="000D3841" w:rsidRDefault="00C26013" w:rsidP="00C26013">
            <w:pPr>
              <w:pStyle w:val="NormalWeb"/>
              <w:jc w:val="both"/>
              <w:rPr>
                <w:rFonts w:ascii="Century Gothic" w:eastAsiaTheme="minorEastAsia" w:hAnsi="Century Gothic" w:cs="Century Gothic"/>
                <w:b/>
                <w:color w:val="000000"/>
              </w:rPr>
            </w:pPr>
            <w:r>
              <w:rPr>
                <w:rFonts w:ascii="Century Gothic" w:eastAsiaTheme="minorEastAsia" w:hAnsi="Century Gothic" w:cs="Century Gothic"/>
                <w:b/>
                <w:color w:val="000000"/>
              </w:rPr>
              <w:t xml:space="preserve"> </w:t>
            </w:r>
            <w:r w:rsidR="00471A98" w:rsidRPr="00471A98">
              <w:rPr>
                <w:rFonts w:ascii="Century Gothic" w:eastAsiaTheme="minorEastAsia" w:hAnsi="Century Gothic" w:cs="Century Gothic"/>
                <w:b/>
                <w:color w:val="000000"/>
              </w:rPr>
              <w:t>e) Las demás que establezca la Constitución y esta Ley.</w:t>
            </w:r>
          </w:p>
        </w:tc>
      </w:tr>
      <w:tr w:rsidR="006F5AA4" w:rsidRPr="000D3841" w14:paraId="2C2B3C03" w14:textId="77777777" w:rsidTr="003B029D">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38DB7FD8" w14:textId="77777777" w:rsidR="006F5AA4" w:rsidRPr="000D3841" w:rsidRDefault="005662E8" w:rsidP="00ED28D9">
            <w:pPr>
              <w:jc w:val="center"/>
              <w:rPr>
                <w:rFonts w:ascii="Century Gothic" w:eastAsiaTheme="minorEastAsia" w:hAnsi="Century Gothic" w:cs="Century Gothic"/>
                <w:b/>
                <w:sz w:val="24"/>
                <w:szCs w:val="24"/>
              </w:rPr>
            </w:pPr>
            <w:r w:rsidRPr="005662E8">
              <w:rPr>
                <w:rFonts w:ascii="Century Gothic" w:eastAsiaTheme="minorEastAsia" w:hAnsi="Century Gothic" w:cs="Century Gothic"/>
                <w:b/>
                <w:sz w:val="24"/>
                <w:szCs w:val="24"/>
              </w:rPr>
              <w:lastRenderedPageBreak/>
              <w:t>Artículo 8.</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12A834D1"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(Reformado mediante el Decreto publicado el 2 de marzo de 2023)</w:t>
            </w:r>
          </w:p>
          <w:p w14:paraId="59FEFCF5"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1. El Instituto, para el ejercicio directo de sus facultades y atribuciones en materia de fiscalización, contará con los recursos presupuestarios, técnicos, humanos y materiales que se señalen expresamente en el Presupuesto de Egresos de la Federación.</w:t>
            </w:r>
          </w:p>
          <w:p w14:paraId="263B2456"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(Reformado mediante el Decreto publicado el 2 de marzo de 2023)</w:t>
            </w:r>
          </w:p>
          <w:p w14:paraId="45EDCF35"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2. El Instituto, cuando existan causas excepcionales debidamente justificadas que lo ameriten y solo con la aprobación de la mayoría de al menos ocho votos de los integrantes del Consejo General, puede delegar en los Organismos Públicos Locales la fiscalización de los ingresos y egresos de los Partidos Políticos locales, sus coaliciones y candidaturas a cargos de elección popular en las entidades federativas.</w:t>
            </w:r>
          </w:p>
          <w:p w14:paraId="4F330789"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(Adicionado mediante el Decreto publicado el 2 de marzo de 2023)</w:t>
            </w:r>
          </w:p>
          <w:p w14:paraId="73B4E018"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Si el Instituto no delega la función de fiscalización los Organismos Públicos Locales tienen prohibido contar con áreas y estructuras operativas y organizacionales en materia de fiscalización y ejercer recursos para estos fines.</w:t>
            </w:r>
          </w:p>
          <w:p w14:paraId="7D05E3F0"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3. La Secretaría Ejecutiva del Instituto someterá al Consejo General los acuerdos de resolución en los que se deberá fundar y motivar el uso de esta facultad.</w:t>
            </w:r>
          </w:p>
          <w:p w14:paraId="66066BB1"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4. Para el ejercicio de esta facultad, el Instituto deberá valorar que el Organismo Público Local de que se trate:</w:t>
            </w:r>
          </w:p>
          <w:p w14:paraId="1F5E48BC"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a) Cuente con una estructura orgánica y de operación acorde al modelo, protocolos y lineamientos específicos que para tal efecto emita el Consejo General;</w:t>
            </w:r>
          </w:p>
          <w:p w14:paraId="7F190931"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lastRenderedPageBreak/>
              <w:t>b) Establezca en su normatividad procedimientos acordes a la legislación federal en materia de fiscalización;</w:t>
            </w:r>
          </w:p>
          <w:p w14:paraId="7E82A624"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c) Cuente con la infraestructura y el equipamiento necesario para el desarrollo de las funciones a delegar;</w:t>
            </w:r>
          </w:p>
          <w:p w14:paraId="752CB154"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d) Cuente con recursos humanos especializados y confiables, de conformidad con el Servicio Profesional Electoral Nacional;</w:t>
            </w:r>
          </w:p>
          <w:p w14:paraId="4E9BE644"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e) Ejerza sus funciones de conformidad con la normatividad federal y local electoral vigente, y</w:t>
            </w:r>
          </w:p>
          <w:p w14:paraId="4DDD9731" w14:textId="77777777" w:rsidR="00C1031C" w:rsidRPr="00C1031C"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f) El Instituto podrá reasumir en cualquier momento las funciones de fiscalización delegadas, siempre que ello sea aprobado por la misma mayoría de ocho votos de los integrantes del Consejo General.</w:t>
            </w:r>
          </w:p>
          <w:p w14:paraId="4F773B50" w14:textId="0E2EE2F0" w:rsidR="006F5AA4" w:rsidRPr="000D3841" w:rsidRDefault="00C1031C" w:rsidP="00C1031C">
            <w:pPr>
              <w:pStyle w:val="NormalWeb"/>
              <w:rPr>
                <w:rFonts w:ascii="Century Gothic" w:eastAsiaTheme="minorEastAsia" w:hAnsi="Century Gothic" w:cs="Century Gothic"/>
                <w:b/>
                <w:color w:val="000000"/>
              </w:rPr>
            </w:pPr>
            <w:r w:rsidRPr="00C1031C">
              <w:rPr>
                <w:rFonts w:ascii="Century Gothic" w:eastAsiaTheme="minorEastAsia" w:hAnsi="Century Gothic" w:cs="Century Gothic"/>
                <w:b/>
                <w:color w:val="000000"/>
              </w:rPr>
              <w:t xml:space="preserve">5. Los Organismos Públicos Locales deberán ejercitar las facultades que le delegue el Instituto sujetándose a lo previsto por esta Ley, los lineamientos, acuerdos generales, normas técnicas y demás disposiciones que emita el Consejo General. </w:t>
            </w:r>
          </w:p>
        </w:tc>
      </w:tr>
      <w:tr w:rsidR="006F5AA4" w:rsidRPr="000D3841" w14:paraId="1328776B" w14:textId="77777777" w:rsidTr="003B029D">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1AA11AA" w14:textId="77777777" w:rsidR="006F5AA4" w:rsidRPr="000D3841" w:rsidRDefault="005662E8" w:rsidP="00ED28D9">
            <w:pPr>
              <w:jc w:val="center"/>
              <w:rPr>
                <w:rFonts w:ascii="Century Gothic" w:eastAsiaTheme="minorEastAsia" w:hAnsi="Century Gothic" w:cs="Century Gothic"/>
                <w:b/>
                <w:sz w:val="24"/>
                <w:szCs w:val="24"/>
              </w:rPr>
            </w:pPr>
            <w:r w:rsidRPr="005662E8">
              <w:rPr>
                <w:rFonts w:ascii="Century Gothic" w:eastAsiaTheme="minorEastAsia" w:hAnsi="Century Gothic" w:cs="Century Gothic"/>
                <w:b/>
                <w:sz w:val="24"/>
                <w:szCs w:val="24"/>
              </w:rPr>
              <w:lastRenderedPageBreak/>
              <w:t>Artículo 21.</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447460AD" w14:textId="77777777" w:rsidR="005662E8" w:rsidRPr="005662E8" w:rsidRDefault="005662E8" w:rsidP="005662E8">
            <w:pPr>
              <w:pStyle w:val="NormalWeb"/>
              <w:jc w:val="both"/>
              <w:rPr>
                <w:rFonts w:ascii="Century Gothic" w:eastAsiaTheme="minorEastAsia" w:hAnsi="Century Gothic" w:cs="Century Gothic"/>
                <w:b/>
                <w:color w:val="000000"/>
              </w:rPr>
            </w:pPr>
            <w:r w:rsidRPr="005662E8">
              <w:rPr>
                <w:rFonts w:ascii="Century Gothic" w:eastAsiaTheme="minorEastAsia" w:hAnsi="Century Gothic" w:cs="Century Gothic"/>
                <w:b/>
                <w:color w:val="000000"/>
              </w:rPr>
              <w:t>1. Las agrupaciones políticas nacionales sólo podrán participar en procesos electorales federales mediante acuerdos de participación con un partido político o coalición. Las candidaturas surgidas de los acuerdos de participación serán registradas por un partido político y serán votadas con la denominación, emblema, color o colores de éste.</w:t>
            </w:r>
          </w:p>
          <w:p w14:paraId="19105980" w14:textId="77777777" w:rsidR="004D2EE7" w:rsidRPr="004D2EE7" w:rsidRDefault="004D2EE7" w:rsidP="004D2EE7">
            <w:pPr>
              <w:pStyle w:val="NormalWeb"/>
              <w:rPr>
                <w:rFonts w:ascii="Century Gothic" w:eastAsiaTheme="minorEastAsia" w:hAnsi="Century Gothic" w:cs="Century Gothic"/>
                <w:b/>
                <w:color w:val="000000"/>
              </w:rPr>
            </w:pPr>
            <w:r w:rsidRPr="004D2EE7">
              <w:rPr>
                <w:rFonts w:ascii="Century Gothic" w:eastAsiaTheme="minorEastAsia" w:hAnsi="Century Gothic" w:cs="Century Gothic"/>
                <w:b/>
                <w:color w:val="000000"/>
              </w:rPr>
              <w:t>(Reformado mediante el Decreto publicado el 2 de marzo de 2023)</w:t>
            </w:r>
          </w:p>
          <w:p w14:paraId="23463315" w14:textId="77777777" w:rsidR="004D2EE7" w:rsidRPr="004D2EE7" w:rsidRDefault="004D2EE7" w:rsidP="004D2EE7">
            <w:pPr>
              <w:pStyle w:val="NormalWeb"/>
              <w:rPr>
                <w:rFonts w:ascii="Century Gothic" w:eastAsiaTheme="minorEastAsia" w:hAnsi="Century Gothic" w:cs="Century Gothic"/>
                <w:b/>
                <w:color w:val="000000"/>
              </w:rPr>
            </w:pPr>
            <w:r w:rsidRPr="004D2EE7">
              <w:rPr>
                <w:rFonts w:ascii="Century Gothic" w:eastAsiaTheme="minorEastAsia" w:hAnsi="Century Gothic" w:cs="Century Gothic"/>
                <w:b/>
                <w:color w:val="000000"/>
              </w:rPr>
              <w:t>2. El acuerdo de participación a que se refiere el párrafo anterior debe presentarse para su registro ante la persona titular de la presidencia del Consejo General hasta la fecha en que inicie la etapa de precampañas electorales, según corresponda.</w:t>
            </w:r>
          </w:p>
          <w:p w14:paraId="06394496" w14:textId="77777777" w:rsidR="005662E8" w:rsidRPr="005662E8" w:rsidRDefault="005662E8" w:rsidP="005662E8">
            <w:pPr>
              <w:pStyle w:val="NormalWeb"/>
              <w:jc w:val="both"/>
              <w:rPr>
                <w:rFonts w:ascii="Century Gothic" w:eastAsiaTheme="minorEastAsia" w:hAnsi="Century Gothic" w:cs="Century Gothic"/>
                <w:b/>
                <w:color w:val="000000"/>
              </w:rPr>
            </w:pPr>
            <w:r w:rsidRPr="005662E8">
              <w:rPr>
                <w:rFonts w:ascii="Century Gothic" w:eastAsiaTheme="minorEastAsia" w:hAnsi="Century Gothic" w:cs="Century Gothic"/>
                <w:b/>
                <w:color w:val="000000"/>
              </w:rPr>
              <w:t>3. En la propaganda y campaña electoral, se podrá mencionar a la agrupación participante.</w:t>
            </w:r>
          </w:p>
          <w:p w14:paraId="5E08D035" w14:textId="77777777" w:rsidR="006F5AA4" w:rsidRPr="000D3841" w:rsidRDefault="005662E8" w:rsidP="005662E8">
            <w:pPr>
              <w:pStyle w:val="NormalWeb"/>
              <w:jc w:val="both"/>
              <w:rPr>
                <w:rFonts w:ascii="Century Gothic" w:eastAsiaTheme="minorEastAsia" w:hAnsi="Century Gothic" w:cs="Century Gothic"/>
                <w:b/>
                <w:color w:val="000000"/>
              </w:rPr>
            </w:pPr>
            <w:r w:rsidRPr="005662E8">
              <w:rPr>
                <w:rFonts w:ascii="Century Gothic" w:eastAsiaTheme="minorEastAsia" w:hAnsi="Century Gothic" w:cs="Century Gothic"/>
                <w:b/>
                <w:color w:val="000000"/>
              </w:rPr>
              <w:lastRenderedPageBreak/>
              <w:t>4. Las agrupaciones políticas nacionales estarán sujetas a las obligaciones y procedimientos de fiscalización de sus recursos conforme a lo establecido en esta Ley y en el Reglamento correspondiente.</w:t>
            </w:r>
          </w:p>
        </w:tc>
      </w:tr>
      <w:tr w:rsidR="006F5AA4" w:rsidRPr="000D3841" w14:paraId="201FC375" w14:textId="77777777" w:rsidTr="003B029D">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127A0882" w14:textId="77777777" w:rsidR="006F5AA4" w:rsidRPr="000D3841" w:rsidRDefault="007D3275" w:rsidP="00ED28D9">
            <w:pPr>
              <w:jc w:val="center"/>
              <w:rPr>
                <w:rFonts w:ascii="Century Gothic" w:eastAsiaTheme="minorEastAsia" w:hAnsi="Century Gothic" w:cs="Century Gothic"/>
                <w:b/>
                <w:sz w:val="24"/>
                <w:szCs w:val="24"/>
              </w:rPr>
            </w:pPr>
            <w:r w:rsidRPr="007D3275">
              <w:rPr>
                <w:rFonts w:ascii="Century Gothic" w:eastAsiaTheme="minorEastAsia" w:hAnsi="Century Gothic" w:cs="Century Gothic"/>
                <w:b/>
                <w:sz w:val="24"/>
                <w:szCs w:val="24"/>
              </w:rPr>
              <w:lastRenderedPageBreak/>
              <w:t>Artículo 25.</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EA52563" w14:textId="77777777" w:rsidR="007D3275" w:rsidRDefault="007D3275" w:rsidP="007D3275">
            <w:pPr>
              <w:pStyle w:val="NormalWeb"/>
              <w:jc w:val="both"/>
              <w:rPr>
                <w:rFonts w:ascii="Century Gothic" w:eastAsiaTheme="minorEastAsia" w:hAnsi="Century Gothic" w:cs="Century Gothic"/>
                <w:b/>
                <w:color w:val="000000"/>
              </w:rPr>
            </w:pPr>
            <w:r w:rsidRPr="007D3275">
              <w:rPr>
                <w:rFonts w:ascii="Century Gothic" w:eastAsiaTheme="minorEastAsia" w:hAnsi="Century Gothic" w:cs="Century Gothic"/>
                <w:b/>
                <w:color w:val="000000"/>
              </w:rPr>
              <w:t>1. Son obligaciones de los partidos políticos:</w:t>
            </w:r>
          </w:p>
          <w:p w14:paraId="6EF0D496" w14:textId="77777777" w:rsidR="00C655C5" w:rsidRDefault="007D3275" w:rsidP="00C655C5">
            <w:pPr>
              <w:pStyle w:val="NormalWeb"/>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1CA0C098" w14:textId="77C8D719" w:rsidR="00C655C5" w:rsidRPr="00C655C5" w:rsidRDefault="00C655C5" w:rsidP="00C655C5">
            <w:pPr>
              <w:pStyle w:val="NormalWeb"/>
              <w:jc w:val="both"/>
              <w:rPr>
                <w:rFonts w:ascii="Century Gothic" w:eastAsiaTheme="minorEastAsia" w:hAnsi="Century Gothic" w:cs="Century Gothic"/>
                <w:b/>
                <w:color w:val="000000"/>
              </w:rPr>
            </w:pPr>
            <w:r w:rsidRPr="00C655C5">
              <w:rPr>
                <w:rFonts w:ascii="Century Gothic" w:eastAsiaTheme="minorEastAsia" w:hAnsi="Century Gothic" w:cs="Century Gothic"/>
                <w:b/>
                <w:color w:val="000000"/>
              </w:rPr>
              <w:t>(Reformado mediante el Decreto publicado el 2 de marzo de 2023)</w:t>
            </w:r>
          </w:p>
          <w:p w14:paraId="5E094E66" w14:textId="77777777" w:rsidR="00C655C5" w:rsidRPr="00C655C5" w:rsidRDefault="00C655C5" w:rsidP="00C655C5">
            <w:pPr>
              <w:pStyle w:val="NormalWeb"/>
              <w:jc w:val="both"/>
              <w:rPr>
                <w:rFonts w:ascii="Century Gothic" w:eastAsiaTheme="minorEastAsia" w:hAnsi="Century Gothic" w:cs="Century Gothic"/>
                <w:b/>
                <w:color w:val="000000"/>
              </w:rPr>
            </w:pPr>
            <w:r w:rsidRPr="00C655C5">
              <w:rPr>
                <w:rFonts w:ascii="Century Gothic" w:eastAsiaTheme="minorEastAsia" w:hAnsi="Century Gothic" w:cs="Century Gothic"/>
                <w:b/>
                <w:color w:val="000000"/>
              </w:rPr>
              <w:t>k) Permitir la práctica de auditorías y verificaciones por los órganos del Instituto facultados para ello, o de los Organismos Públicos Locales cuando se deleguen en éstos las facultades de fiscalización previstas en el artículo 41 de la Constitución, previa notificación formal y acreditación de la persona que deba practicar la auditoría o verificación, así como entregar la documentación que dichos órganos les requieran respecto a sus ingresos y egresos;</w:t>
            </w:r>
          </w:p>
          <w:p w14:paraId="25F2749A" w14:textId="77777777" w:rsidR="003A5E89" w:rsidRPr="000D3841" w:rsidRDefault="003A5E89" w:rsidP="003A5E89">
            <w:pPr>
              <w:pStyle w:val="NormalWeb"/>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616FFBE7" w14:textId="77777777" w:rsidR="006F5AA4" w:rsidRPr="000D3841" w:rsidRDefault="006F5AA4" w:rsidP="007D3275">
            <w:pPr>
              <w:pStyle w:val="NormalWeb"/>
              <w:jc w:val="both"/>
              <w:rPr>
                <w:rFonts w:ascii="Century Gothic" w:eastAsiaTheme="minorEastAsia" w:hAnsi="Century Gothic" w:cs="Century Gothic"/>
                <w:b/>
                <w:color w:val="000000"/>
              </w:rPr>
            </w:pPr>
          </w:p>
        </w:tc>
      </w:tr>
      <w:tr w:rsidR="006F5AA4" w:rsidRPr="000D3841" w14:paraId="41142100" w14:textId="77777777" w:rsidTr="007828AA">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7D9A209D" w14:textId="77777777" w:rsidR="006F5AA4" w:rsidRPr="000D3841" w:rsidRDefault="003F462C" w:rsidP="00ED28D9">
            <w:pPr>
              <w:jc w:val="center"/>
              <w:rPr>
                <w:rFonts w:ascii="Century Gothic" w:eastAsiaTheme="minorEastAsia" w:hAnsi="Century Gothic" w:cs="Century Gothic"/>
                <w:b/>
                <w:sz w:val="24"/>
                <w:szCs w:val="24"/>
              </w:rPr>
            </w:pPr>
            <w:r w:rsidRPr="003F462C">
              <w:rPr>
                <w:rFonts w:ascii="Century Gothic" w:eastAsiaTheme="minorEastAsia" w:hAnsi="Century Gothic" w:cs="Century Gothic"/>
                <w:b/>
                <w:sz w:val="24"/>
                <w:szCs w:val="24"/>
              </w:rPr>
              <w:t>Artículo 30.</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CE22152" w14:textId="77777777" w:rsidR="006F5AA4" w:rsidRDefault="003F462C" w:rsidP="00323C0B">
            <w:pPr>
              <w:pStyle w:val="NormalWeb"/>
              <w:tabs>
                <w:tab w:val="left" w:pos="1185"/>
              </w:tabs>
              <w:jc w:val="both"/>
              <w:rPr>
                <w:rFonts w:ascii="Century Gothic" w:eastAsiaTheme="minorEastAsia" w:hAnsi="Century Gothic" w:cs="Century Gothic"/>
                <w:b/>
                <w:color w:val="000000"/>
              </w:rPr>
            </w:pPr>
            <w:r w:rsidRPr="003F462C">
              <w:rPr>
                <w:rFonts w:ascii="Century Gothic" w:eastAsiaTheme="minorEastAsia" w:hAnsi="Century Gothic" w:cs="Century Gothic"/>
                <w:b/>
                <w:color w:val="000000"/>
              </w:rPr>
              <w:t>1. Se considera información pública de los partidos políticos:</w:t>
            </w:r>
          </w:p>
          <w:p w14:paraId="2A250B0D" w14:textId="48E3C9EC" w:rsidR="003F462C" w:rsidRDefault="003F462C" w:rsidP="00323C0B">
            <w:pPr>
              <w:pStyle w:val="NormalWeb"/>
              <w:tabs>
                <w:tab w:val="left" w:pos="1185"/>
              </w:tabs>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09837E74" w14:textId="77777777" w:rsidR="006B2291" w:rsidRPr="006B2291" w:rsidRDefault="006B2291" w:rsidP="006B2291">
            <w:pPr>
              <w:pStyle w:val="NormalWeb"/>
              <w:rPr>
                <w:rFonts w:ascii="Century Gothic" w:eastAsiaTheme="minorEastAsia" w:hAnsi="Century Gothic" w:cs="Century Gothic"/>
                <w:b/>
                <w:color w:val="000000"/>
              </w:rPr>
            </w:pPr>
            <w:r w:rsidRPr="006B2291">
              <w:rPr>
                <w:rFonts w:ascii="Century Gothic" w:eastAsiaTheme="minorEastAsia" w:hAnsi="Century Gothic" w:cs="Century Gothic"/>
                <w:b/>
                <w:color w:val="000000"/>
              </w:rPr>
              <w:t>(Reformado mediante el Decreto publicado el 2 de marzo de 2023)</w:t>
            </w:r>
          </w:p>
          <w:p w14:paraId="1496CE22" w14:textId="77777777" w:rsidR="006B2291" w:rsidRPr="006B2291" w:rsidRDefault="006B2291" w:rsidP="006B2291">
            <w:pPr>
              <w:pStyle w:val="NormalWeb"/>
              <w:jc w:val="both"/>
              <w:rPr>
                <w:rFonts w:ascii="Century Gothic" w:eastAsiaTheme="minorEastAsia" w:hAnsi="Century Gothic" w:cs="Century Gothic"/>
                <w:b/>
                <w:color w:val="000000"/>
              </w:rPr>
            </w:pPr>
            <w:r w:rsidRPr="006B2291">
              <w:rPr>
                <w:rFonts w:ascii="Century Gothic" w:eastAsiaTheme="minorEastAsia" w:hAnsi="Century Gothic" w:cs="Century Gothic"/>
                <w:b/>
                <w:color w:val="000000"/>
              </w:rPr>
              <w:lastRenderedPageBreak/>
              <w:t>k) Los montos de financiamiento público otorgados en cualquier modalidad, a sus órganos nacionales, estatales, municipales y de Ciudad de México, durante los últimos cinco años y hasta el mes más reciente, así como los descuentos correspondientes a sanciones;</w:t>
            </w:r>
          </w:p>
          <w:p w14:paraId="43F9E7C6" w14:textId="77777777" w:rsidR="003F462C" w:rsidRPr="003F462C" w:rsidRDefault="003F462C" w:rsidP="003F462C">
            <w:pPr>
              <w:pStyle w:val="NormalWeb"/>
              <w:tabs>
                <w:tab w:val="left" w:pos="1185"/>
              </w:tabs>
              <w:jc w:val="both"/>
              <w:rPr>
                <w:rFonts w:ascii="Century Gothic" w:eastAsiaTheme="minorEastAsia" w:hAnsi="Century Gothic" w:cs="Century Gothic"/>
                <w:b/>
                <w:color w:val="000000"/>
              </w:rPr>
            </w:pPr>
            <w:r w:rsidRPr="003F462C">
              <w:rPr>
                <w:rFonts w:ascii="Century Gothic" w:eastAsiaTheme="minorEastAsia" w:hAnsi="Century Gothic" w:cs="Century Gothic"/>
                <w:b/>
                <w:color w:val="000000"/>
              </w:rPr>
              <w:t>l) Los informes que estén obligados a entregar en términos de lo dispuesto en la presente Ley, el estado de la situación patrimonial del partido político, el inventario de los bienes inmuebles de los que sean propietarios, tengan arrendados o estén en su posesión bajo cualquier figura jurídica, así como los anexos que formen parte integrante de los documentos anteriores, la relación de donantes y los montos aportados por cada uno;</w:t>
            </w:r>
          </w:p>
          <w:p w14:paraId="22EC590F" w14:textId="77777777" w:rsidR="005B6688" w:rsidRDefault="003F462C" w:rsidP="006B2291">
            <w:pPr>
              <w:pStyle w:val="NormalWeb"/>
              <w:tabs>
                <w:tab w:val="left" w:pos="1185"/>
              </w:tabs>
              <w:jc w:val="both"/>
              <w:rPr>
                <w:rFonts w:ascii="Century Gothic" w:eastAsiaTheme="minorEastAsia" w:hAnsi="Century Gothic" w:cs="Century Gothic"/>
                <w:b/>
                <w:color w:val="000000"/>
              </w:rPr>
            </w:pPr>
            <w:r w:rsidRPr="003F462C">
              <w:rPr>
                <w:rFonts w:ascii="Century Gothic" w:eastAsiaTheme="minorEastAsia" w:hAnsi="Century Gothic" w:cs="Century Gothic"/>
                <w:b/>
                <w:color w:val="000000"/>
              </w:rPr>
              <w:t>m) Resultados de revisiones, informes, verificaciones y auditorías de que sean objeto con motivo de la fiscalización de sus recursos, una vez concluidas; así como su debido cumplimiento;</w:t>
            </w:r>
          </w:p>
          <w:p w14:paraId="00726EDF" w14:textId="303957DC" w:rsidR="003F462C" w:rsidRPr="000D3841" w:rsidRDefault="003F462C" w:rsidP="006B2291">
            <w:pPr>
              <w:pStyle w:val="NormalWeb"/>
              <w:tabs>
                <w:tab w:val="left" w:pos="1185"/>
              </w:tabs>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p>
        </w:tc>
      </w:tr>
      <w:tr w:rsidR="006F5AA4" w:rsidRPr="000D3841" w14:paraId="17191BA5" w14:textId="77777777" w:rsidTr="007828AA">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3C42DB7C" w14:textId="77777777" w:rsidR="006F5AA4" w:rsidRPr="000D3841" w:rsidRDefault="005023E6" w:rsidP="00ED28D9">
            <w:pPr>
              <w:jc w:val="center"/>
              <w:rPr>
                <w:rFonts w:ascii="Century Gothic" w:eastAsiaTheme="minorEastAsia" w:hAnsi="Century Gothic" w:cs="Century Gothic"/>
                <w:b/>
                <w:sz w:val="24"/>
                <w:szCs w:val="24"/>
              </w:rPr>
            </w:pPr>
            <w:r w:rsidRPr="005023E6">
              <w:rPr>
                <w:rFonts w:ascii="Century Gothic" w:eastAsiaTheme="minorEastAsia" w:hAnsi="Century Gothic" w:cs="Century Gothic"/>
                <w:b/>
                <w:sz w:val="24"/>
                <w:szCs w:val="24"/>
              </w:rPr>
              <w:lastRenderedPageBreak/>
              <w:t>Artículo 58.</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72C0632A" w14:textId="7C2A15B1" w:rsidR="005B6688" w:rsidRPr="005B6688" w:rsidRDefault="005B6688" w:rsidP="005B6688">
            <w:pPr>
              <w:pStyle w:val="NormalWeb"/>
              <w:tabs>
                <w:tab w:val="left" w:pos="3135"/>
              </w:tabs>
              <w:jc w:val="both"/>
              <w:rPr>
                <w:rFonts w:ascii="Century Gothic" w:eastAsiaTheme="minorEastAsia" w:hAnsi="Century Gothic" w:cs="Century Gothic"/>
                <w:b/>
                <w:color w:val="000000"/>
              </w:rPr>
            </w:pPr>
            <w:r w:rsidRPr="005B6688">
              <w:rPr>
                <w:rFonts w:ascii="Century Gothic" w:eastAsiaTheme="minorEastAsia" w:hAnsi="Century Gothic" w:cs="Century Gothic"/>
                <w:b/>
                <w:color w:val="000000"/>
              </w:rPr>
              <w:t>(Reformado mediante el Decreto publicado el 2 de marzo de 2023)</w:t>
            </w:r>
          </w:p>
          <w:p w14:paraId="4C1449E0" w14:textId="758F24A7" w:rsidR="005B6688" w:rsidRPr="005B6688" w:rsidRDefault="005B6688" w:rsidP="005B6688">
            <w:pPr>
              <w:pStyle w:val="NormalWeb"/>
              <w:tabs>
                <w:tab w:val="left" w:pos="3135"/>
              </w:tabs>
              <w:jc w:val="both"/>
              <w:rPr>
                <w:rFonts w:ascii="Century Gothic" w:eastAsiaTheme="minorEastAsia" w:hAnsi="Century Gothic" w:cs="Century Gothic"/>
                <w:b/>
                <w:color w:val="000000"/>
              </w:rPr>
            </w:pPr>
            <w:r w:rsidRPr="005B6688">
              <w:rPr>
                <w:rFonts w:ascii="Century Gothic" w:eastAsiaTheme="minorEastAsia" w:hAnsi="Century Gothic" w:cs="Century Gothic"/>
                <w:b/>
                <w:color w:val="000000"/>
              </w:rPr>
              <w:t>1. El Consejo General del Instituto, a través de su Dirección Ejecutiva, podrá solicitar a la unidad administrativa competente en materia de inteligencia financiera de la Secretaría de Hacienda y Crédito Público informes de operaciones financieras ante la presunción sobre el origen ilícito de los recursos aportados a los Partidos Políticos.</w:t>
            </w:r>
          </w:p>
          <w:p w14:paraId="331A681E" w14:textId="0AC329DF" w:rsidR="006F5AA4" w:rsidRPr="000D3841" w:rsidRDefault="005B6688" w:rsidP="005B6688">
            <w:pPr>
              <w:pStyle w:val="NormalWeb"/>
              <w:tabs>
                <w:tab w:val="left" w:pos="3135"/>
              </w:tabs>
              <w:jc w:val="both"/>
              <w:rPr>
                <w:rFonts w:ascii="Century Gothic" w:eastAsiaTheme="minorEastAsia" w:hAnsi="Century Gothic" w:cs="Century Gothic"/>
                <w:b/>
                <w:color w:val="000000"/>
              </w:rPr>
            </w:pPr>
            <w:r w:rsidRPr="005B6688">
              <w:rPr>
                <w:rFonts w:ascii="Century Gothic" w:eastAsiaTheme="minorEastAsia" w:hAnsi="Century Gothic" w:cs="Century Gothic"/>
                <w:b/>
                <w:color w:val="000000"/>
              </w:rPr>
              <w:t>2. Asimismo a solicitud del órgano de fiscalización la unidad administrativa competente en materia de inteligencia financiera de la Secretaría de Hacienda y Crédito Público informará respecto de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r>
              <w:rPr>
                <w:rFonts w:ascii="Century Gothic" w:eastAsiaTheme="minorEastAsia" w:hAnsi="Century Gothic" w:cs="Century Gothic"/>
                <w:b/>
                <w:color w:val="000000"/>
              </w:rPr>
              <w:t xml:space="preserve"> </w:t>
            </w:r>
          </w:p>
        </w:tc>
      </w:tr>
      <w:tr w:rsidR="006F5AA4" w:rsidRPr="000D3841" w14:paraId="62C03980" w14:textId="77777777" w:rsidTr="007828AA">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9464D20" w14:textId="77777777" w:rsidR="006F5AA4" w:rsidRPr="000D3841" w:rsidRDefault="003464E8" w:rsidP="00ED28D9">
            <w:pPr>
              <w:jc w:val="center"/>
              <w:rPr>
                <w:rFonts w:ascii="Century Gothic" w:eastAsiaTheme="minorEastAsia" w:hAnsi="Century Gothic" w:cs="Century Gothic"/>
                <w:b/>
                <w:sz w:val="24"/>
                <w:szCs w:val="24"/>
              </w:rPr>
            </w:pPr>
            <w:r w:rsidRPr="003464E8">
              <w:rPr>
                <w:rFonts w:ascii="Century Gothic" w:eastAsiaTheme="minorEastAsia" w:hAnsi="Century Gothic" w:cs="Century Gothic"/>
                <w:b/>
                <w:sz w:val="24"/>
                <w:szCs w:val="24"/>
              </w:rPr>
              <w:lastRenderedPageBreak/>
              <w:t>Artículo 59.</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5909A9B4" w14:textId="77777777" w:rsidR="006F5AA4" w:rsidRPr="000D3841" w:rsidRDefault="003464E8" w:rsidP="003464E8">
            <w:pPr>
              <w:pStyle w:val="NormalWeb"/>
              <w:tabs>
                <w:tab w:val="left" w:pos="1110"/>
              </w:tabs>
              <w:jc w:val="both"/>
              <w:rPr>
                <w:rFonts w:ascii="Century Gothic" w:eastAsiaTheme="minorEastAsia" w:hAnsi="Century Gothic" w:cs="Century Gothic"/>
                <w:b/>
                <w:color w:val="000000"/>
              </w:rPr>
            </w:pPr>
            <w:r w:rsidRPr="003464E8">
              <w:rPr>
                <w:rFonts w:ascii="Century Gothic" w:eastAsiaTheme="minorEastAsia" w:hAnsi="Century Gothic" w:cs="Century Gothic"/>
                <w:b/>
                <w:color w:val="000000"/>
              </w:rPr>
              <w:t>1. Cada partido político será responsable de su contabilidad y de la operación del sistema de contabilidad, así como del cumplimiento de lo dispuesto en esta Ley y las decisiones que en la materia emita el Consejo General del Instituto y la Comisión de Fiscalización.</w:t>
            </w:r>
          </w:p>
        </w:tc>
      </w:tr>
      <w:tr w:rsidR="00784C81" w:rsidRPr="000D3841" w14:paraId="448EC033" w14:textId="77777777" w:rsidTr="00784C8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036ADEE9" w14:textId="77777777" w:rsidR="00784C81" w:rsidRPr="00E334C9" w:rsidRDefault="00784C81" w:rsidP="00ED28D9">
            <w:pPr>
              <w:jc w:val="center"/>
              <w:rPr>
                <w:rFonts w:ascii="Century Gothic" w:eastAsiaTheme="minorEastAsia" w:hAnsi="Century Gothic" w:cs="Century Gothic"/>
                <w:b/>
                <w:sz w:val="24"/>
                <w:szCs w:val="24"/>
              </w:rPr>
            </w:pP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35F64A57" w14:textId="77777777" w:rsidR="00784C81" w:rsidRPr="00E334C9" w:rsidRDefault="00784C81" w:rsidP="00323C0B">
            <w:pPr>
              <w:pStyle w:val="NormalWeb"/>
              <w:jc w:val="both"/>
              <w:rPr>
                <w:rFonts w:ascii="Century Gothic" w:eastAsiaTheme="minorEastAsia" w:hAnsi="Century Gothic" w:cs="Century Gothic"/>
                <w:b/>
                <w:color w:val="000000"/>
              </w:rPr>
            </w:pPr>
          </w:p>
        </w:tc>
      </w:tr>
      <w:tr w:rsidR="00784C81" w:rsidRPr="000D3841" w14:paraId="7F4B3958" w14:textId="77777777" w:rsidTr="007828AA">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3704124" w14:textId="77777777" w:rsidR="00784C81" w:rsidRPr="00E334C9" w:rsidRDefault="003464E8" w:rsidP="00ED28D9">
            <w:pPr>
              <w:jc w:val="center"/>
              <w:rPr>
                <w:rFonts w:ascii="Century Gothic" w:eastAsiaTheme="minorEastAsia" w:hAnsi="Century Gothic" w:cs="Century Gothic"/>
                <w:b/>
                <w:sz w:val="24"/>
                <w:szCs w:val="24"/>
              </w:rPr>
            </w:pPr>
            <w:r w:rsidRPr="003464E8">
              <w:rPr>
                <w:rFonts w:ascii="Century Gothic" w:eastAsiaTheme="minorEastAsia" w:hAnsi="Century Gothic" w:cs="Century Gothic"/>
                <w:b/>
                <w:sz w:val="24"/>
                <w:szCs w:val="24"/>
              </w:rPr>
              <w:t>Artículo 60.</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747FC908" w14:textId="77777777" w:rsidR="003464E8" w:rsidRPr="003464E8" w:rsidRDefault="003464E8" w:rsidP="003464E8">
            <w:pPr>
              <w:pStyle w:val="NormalWeb"/>
              <w:jc w:val="both"/>
              <w:rPr>
                <w:rFonts w:ascii="Century Gothic" w:eastAsiaTheme="minorEastAsia" w:hAnsi="Century Gothic" w:cs="Century Gothic"/>
                <w:b/>
                <w:color w:val="000000"/>
              </w:rPr>
            </w:pPr>
            <w:r w:rsidRPr="003464E8">
              <w:rPr>
                <w:rFonts w:ascii="Century Gothic" w:eastAsiaTheme="minorEastAsia" w:hAnsi="Century Gothic" w:cs="Century Gothic"/>
                <w:b/>
                <w:color w:val="000000"/>
              </w:rPr>
              <w:t>1. El sistema de contabilidad al que los partidos políticos se sujetarán, deberá tener las características siguientes:</w:t>
            </w:r>
          </w:p>
          <w:p w14:paraId="655038A2" w14:textId="77777777" w:rsidR="003464E8" w:rsidRPr="003464E8" w:rsidRDefault="003464E8" w:rsidP="003464E8">
            <w:pPr>
              <w:pStyle w:val="NormalWeb"/>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r w:rsidRPr="003464E8">
              <w:rPr>
                <w:rFonts w:ascii="Century Gothic" w:eastAsiaTheme="minorEastAsia" w:hAnsi="Century Gothic" w:cs="Century Gothic"/>
                <w:b/>
                <w:color w:val="000000"/>
              </w:rPr>
              <w:t xml:space="preserve"> </w:t>
            </w:r>
          </w:p>
          <w:p w14:paraId="51997B16" w14:textId="348C51B7" w:rsidR="00784C81" w:rsidRDefault="003464E8" w:rsidP="003464E8">
            <w:pPr>
              <w:pStyle w:val="NormalWeb"/>
              <w:jc w:val="both"/>
              <w:rPr>
                <w:rFonts w:ascii="Century Gothic" w:eastAsiaTheme="minorEastAsia" w:hAnsi="Century Gothic" w:cs="Century Gothic"/>
                <w:b/>
                <w:color w:val="000000"/>
              </w:rPr>
            </w:pPr>
            <w:r w:rsidRPr="003464E8">
              <w:rPr>
                <w:rFonts w:ascii="Century Gothic" w:eastAsiaTheme="minorEastAsia" w:hAnsi="Century Gothic" w:cs="Century Gothic"/>
                <w:b/>
                <w:color w:val="000000"/>
              </w:rPr>
              <w:t>b) Las disposiciones que en materia de fiscalización establezcan las obligaciones, clasifiquen los conceptos de gasto de los partidos políticos, candidatos y todos los sujetos obligados; así como las que fijan las infracciones, son de interpretación estricta de la norma;</w:t>
            </w:r>
          </w:p>
          <w:p w14:paraId="06279919" w14:textId="42A17532" w:rsidR="005352DD" w:rsidRDefault="005352DD" w:rsidP="003464E8">
            <w:pPr>
              <w:pStyle w:val="NormalWeb"/>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6F1810DD" w14:textId="77777777" w:rsidR="005352DD" w:rsidRPr="005352DD" w:rsidRDefault="005352DD" w:rsidP="005352DD">
            <w:pPr>
              <w:pStyle w:val="NormalWeb"/>
              <w:rPr>
                <w:rFonts w:ascii="Century Gothic" w:eastAsiaTheme="minorEastAsia" w:hAnsi="Century Gothic" w:cs="Century Gothic"/>
                <w:b/>
                <w:color w:val="000000"/>
              </w:rPr>
            </w:pPr>
            <w:r w:rsidRPr="005352DD">
              <w:rPr>
                <w:rFonts w:ascii="Century Gothic" w:eastAsiaTheme="minorEastAsia" w:hAnsi="Century Gothic" w:cs="Century Gothic"/>
                <w:b/>
                <w:color w:val="000000"/>
              </w:rPr>
              <w:t>(Reformado mediante el Decreto publicado el 2 de marzo de 2023)</w:t>
            </w:r>
          </w:p>
          <w:p w14:paraId="0813EBD7" w14:textId="1F5E3E8C" w:rsidR="0096209B" w:rsidRPr="00E334C9" w:rsidRDefault="005352DD" w:rsidP="005352DD">
            <w:pPr>
              <w:pStyle w:val="NormalWeb"/>
              <w:jc w:val="both"/>
              <w:rPr>
                <w:rFonts w:ascii="Century Gothic" w:eastAsiaTheme="minorEastAsia" w:hAnsi="Century Gothic" w:cs="Century Gothic"/>
                <w:b/>
                <w:color w:val="000000"/>
              </w:rPr>
            </w:pPr>
            <w:r w:rsidRPr="005352DD">
              <w:rPr>
                <w:rFonts w:ascii="Century Gothic" w:eastAsiaTheme="minorEastAsia" w:hAnsi="Century Gothic" w:cs="Century Gothic"/>
                <w:b/>
                <w:color w:val="000000"/>
              </w:rPr>
              <w:t>2. El sistema de contabilidad se desplegará en un sistema informático con dispositivos de seguridad. Los Partidos Políticos harán su registro contable en línea y el Instituto podrá tener acceso irrestricto a esos sistemas en ejercicio de sus facultades de vigilancia y fiscalización. Cuando el sistema falle o sufra interrupciones, el Instituto debe notificar personalmente a los Partidos Políticos la suspensión de los plazos, así como el reinicio del funcionamiento del sistema.</w:t>
            </w:r>
          </w:p>
        </w:tc>
      </w:tr>
      <w:tr w:rsidR="00784C81" w:rsidRPr="000D3841" w14:paraId="346C9034" w14:textId="77777777" w:rsidTr="00784C8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03E3E58D" w14:textId="77777777" w:rsidR="00784C81" w:rsidRPr="00E334C9" w:rsidRDefault="009A0010" w:rsidP="00ED28D9">
            <w:pPr>
              <w:jc w:val="center"/>
              <w:rPr>
                <w:rFonts w:ascii="Century Gothic" w:eastAsiaTheme="minorEastAsia" w:hAnsi="Century Gothic" w:cs="Century Gothic"/>
                <w:b/>
                <w:sz w:val="24"/>
                <w:szCs w:val="24"/>
              </w:rPr>
            </w:pPr>
            <w:r w:rsidRPr="009A0010">
              <w:rPr>
                <w:rFonts w:ascii="Century Gothic" w:eastAsiaTheme="minorEastAsia" w:hAnsi="Century Gothic" w:cs="Century Gothic"/>
                <w:b/>
                <w:sz w:val="24"/>
                <w:szCs w:val="24"/>
              </w:rPr>
              <w:t>Artículo 61.</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58E9FA02" w14:textId="77777777" w:rsidR="009A0010" w:rsidRPr="009A0010" w:rsidRDefault="009A0010" w:rsidP="009A0010">
            <w:pPr>
              <w:pStyle w:val="NormalWeb"/>
              <w:jc w:val="both"/>
              <w:rPr>
                <w:rFonts w:ascii="Century Gothic" w:eastAsiaTheme="minorEastAsia" w:hAnsi="Century Gothic" w:cs="Century Gothic"/>
                <w:b/>
                <w:color w:val="000000"/>
              </w:rPr>
            </w:pPr>
            <w:r>
              <w:rPr>
                <w:rFonts w:ascii="Century Gothic" w:eastAsiaTheme="minorEastAsia" w:hAnsi="Century Gothic" w:cs="Century Gothic"/>
                <w:b/>
                <w:color w:val="000000"/>
              </w:rPr>
              <w:t>1</w:t>
            </w:r>
            <w:r w:rsidRPr="009A0010">
              <w:rPr>
                <w:rFonts w:ascii="Century Gothic" w:eastAsiaTheme="minorEastAsia" w:hAnsi="Century Gothic" w:cs="Century Gothic"/>
                <w:b/>
                <w:color w:val="000000"/>
              </w:rPr>
              <w:t>. En cuanto a su régimen financiero, los partidos políticos deberán:</w:t>
            </w:r>
          </w:p>
          <w:p w14:paraId="232909E0"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 xml:space="preserve">a) Llevar su contabilidad mediante libros, sistemas, registros contables, estados de cuenta, cuentas especiales, papeles de trabajo, discos o cualquier medio procesable de almacenamiento de datos que les permitan facilitar el registro y la fiscalización de sus </w:t>
            </w:r>
            <w:r w:rsidRPr="009A0010">
              <w:rPr>
                <w:rFonts w:ascii="Century Gothic" w:eastAsiaTheme="minorEastAsia" w:hAnsi="Century Gothic" w:cs="Century Gothic"/>
                <w:b/>
                <w:color w:val="000000"/>
              </w:rPr>
              <w:lastRenderedPageBreak/>
              <w:t>activos, pasivos, ingresos y gastos y, en general, contribuir a medir la eficacia, economía y eficiencia del gasto e ingresos y la administración de la deuda;</w:t>
            </w:r>
          </w:p>
          <w:p w14:paraId="786CA678"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b) Generar estados financieros confiables, oportunos, comprensibles, periódicos, comparables y homogéneos, los cuales serán expresados en términos monetarios;</w:t>
            </w:r>
          </w:p>
          <w:p w14:paraId="7B3B5076"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c) Seguir las mejores prácticas contables en apoyo a las tareas de planeación financiera, control de recursos, análisis y fiscalización;</w:t>
            </w:r>
          </w:p>
          <w:p w14:paraId="2D8ABD46"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d) Contar con manuales de contabilidad, así como con otros instrumentos contables que defina el Consejo General del Instituto;</w:t>
            </w:r>
          </w:p>
          <w:p w14:paraId="3E8BEA64"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e) Conservar la información contable por un término mínimo de cinco años, y</w:t>
            </w:r>
          </w:p>
          <w:p w14:paraId="18ABCE81"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f) Entregar al Consejo General del Instituto la información siguiente:</w:t>
            </w:r>
          </w:p>
          <w:p w14:paraId="121DEBFB"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I. En un plazo de setenta y dos horas, contado a partir de que surta efectos la notificación del requerimiento, sus estados financieros con un corte de información al momento de la solicitud;</w:t>
            </w:r>
          </w:p>
          <w:p w14:paraId="20F2A9BE" w14:textId="77777777" w:rsidR="009A0010" w:rsidRPr="009A0010"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II. Fuera de procesos electorales, el informe de los contratos será presentado de manera trimestral del periodo inmediato anterior, y</w:t>
            </w:r>
          </w:p>
          <w:p w14:paraId="1866A249" w14:textId="77777777" w:rsidR="00784C81" w:rsidRPr="00E334C9" w:rsidRDefault="009A0010" w:rsidP="009A0010">
            <w:pPr>
              <w:pStyle w:val="NormalWeb"/>
              <w:jc w:val="both"/>
              <w:rPr>
                <w:rFonts w:ascii="Century Gothic" w:eastAsiaTheme="minorEastAsia" w:hAnsi="Century Gothic" w:cs="Century Gothic"/>
                <w:b/>
                <w:color w:val="000000"/>
              </w:rPr>
            </w:pPr>
            <w:r w:rsidRPr="009A0010">
              <w:rPr>
                <w:rFonts w:ascii="Century Gothic" w:eastAsiaTheme="minorEastAsia" w:hAnsi="Century Gothic" w:cs="Century Gothic"/>
                <w:b/>
                <w:color w:val="000000"/>
              </w:rPr>
              <w:t>III. La información de carácter financiero, la relativa al gasto y condiciones de ejecución, de los contratos que celebren durante las precampañas y campañas, en un plazo máximo de tres días posteriores a su suscripción, previa entrega de los bienes o la prestación de servicios de que se trate, dicha información podrá ser notificada al Instituto por medios electrónicos con base en los lineamientos que éste emita.</w:t>
            </w:r>
          </w:p>
        </w:tc>
      </w:tr>
      <w:tr w:rsidR="00784C81" w:rsidRPr="000D3841" w14:paraId="3F6A4ABE" w14:textId="77777777" w:rsidTr="007828AA">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43E4F1E2" w14:textId="77777777" w:rsidR="00784C81" w:rsidRPr="00E334C9" w:rsidRDefault="009B30E1" w:rsidP="00ED28D9">
            <w:pPr>
              <w:jc w:val="center"/>
              <w:rPr>
                <w:rFonts w:ascii="Century Gothic" w:eastAsiaTheme="minorEastAsia" w:hAnsi="Century Gothic" w:cs="Century Gothic"/>
                <w:b/>
                <w:sz w:val="24"/>
                <w:szCs w:val="24"/>
              </w:rPr>
            </w:pPr>
            <w:r w:rsidRPr="009B30E1">
              <w:rPr>
                <w:rFonts w:ascii="Century Gothic" w:eastAsiaTheme="minorEastAsia" w:hAnsi="Century Gothic" w:cs="Century Gothic"/>
                <w:b/>
                <w:sz w:val="24"/>
                <w:szCs w:val="24"/>
              </w:rPr>
              <w:lastRenderedPageBreak/>
              <w:t>Artículo 63.</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41204085" w14:textId="77777777" w:rsidR="009B30E1" w:rsidRPr="009B30E1" w:rsidRDefault="009B30E1" w:rsidP="009B30E1">
            <w:pPr>
              <w:pStyle w:val="NormalWeb"/>
              <w:tabs>
                <w:tab w:val="left" w:pos="1245"/>
              </w:tabs>
              <w:jc w:val="both"/>
              <w:rPr>
                <w:rFonts w:ascii="Century Gothic" w:eastAsiaTheme="minorEastAsia" w:hAnsi="Century Gothic" w:cs="Century Gothic"/>
                <w:b/>
                <w:color w:val="000000"/>
              </w:rPr>
            </w:pPr>
            <w:r w:rsidRPr="009B30E1">
              <w:rPr>
                <w:rFonts w:ascii="Century Gothic" w:eastAsiaTheme="minorEastAsia" w:hAnsi="Century Gothic" w:cs="Century Gothic"/>
                <w:b/>
                <w:color w:val="000000"/>
              </w:rPr>
              <w:t>1. Los gastos que realicen los partidos políticos, las coaliciones y los candidatos deberán reunir los siguientes requisitos:</w:t>
            </w:r>
          </w:p>
          <w:p w14:paraId="0D580ADB" w14:textId="77777777" w:rsidR="009B30E1" w:rsidRPr="009B30E1" w:rsidRDefault="009B30E1" w:rsidP="009B30E1">
            <w:pPr>
              <w:pStyle w:val="NormalWeb"/>
              <w:tabs>
                <w:tab w:val="left" w:pos="1245"/>
              </w:tabs>
              <w:jc w:val="both"/>
              <w:rPr>
                <w:rFonts w:ascii="Century Gothic" w:eastAsiaTheme="minorEastAsia" w:hAnsi="Century Gothic" w:cs="Century Gothic"/>
                <w:b/>
                <w:color w:val="000000"/>
              </w:rPr>
            </w:pPr>
            <w:r w:rsidRPr="009B30E1">
              <w:rPr>
                <w:rFonts w:ascii="Century Gothic" w:eastAsiaTheme="minorEastAsia" w:hAnsi="Century Gothic" w:cs="Century Gothic"/>
                <w:b/>
                <w:color w:val="000000"/>
              </w:rPr>
              <w:t>a) Estar amparados con un comprobante que cumpla los requisitos fiscales;</w:t>
            </w:r>
          </w:p>
          <w:p w14:paraId="07CF808A" w14:textId="77777777" w:rsidR="001965E0" w:rsidRPr="001965E0" w:rsidRDefault="001965E0" w:rsidP="001965E0">
            <w:pPr>
              <w:pStyle w:val="NormalWeb"/>
              <w:tabs>
                <w:tab w:val="left" w:pos="1245"/>
              </w:tabs>
              <w:jc w:val="both"/>
              <w:rPr>
                <w:rFonts w:ascii="Century Gothic" w:eastAsiaTheme="minorEastAsia" w:hAnsi="Century Gothic" w:cs="Century Gothic"/>
                <w:b/>
                <w:color w:val="000000"/>
              </w:rPr>
            </w:pPr>
            <w:r w:rsidRPr="001965E0">
              <w:rPr>
                <w:rFonts w:ascii="Century Gothic" w:eastAsiaTheme="minorEastAsia" w:hAnsi="Century Gothic" w:cs="Century Gothic"/>
                <w:b/>
                <w:color w:val="000000"/>
              </w:rPr>
              <w:t>(Reformado mediante el Decreto publicado el 2 de marzo de 2023)</w:t>
            </w:r>
          </w:p>
          <w:p w14:paraId="24F99BFF" w14:textId="3C866152" w:rsidR="001965E0" w:rsidRDefault="001965E0" w:rsidP="001965E0">
            <w:pPr>
              <w:pStyle w:val="NormalWeb"/>
              <w:tabs>
                <w:tab w:val="left" w:pos="1245"/>
              </w:tabs>
              <w:jc w:val="both"/>
              <w:rPr>
                <w:rFonts w:ascii="Century Gothic" w:eastAsiaTheme="minorEastAsia" w:hAnsi="Century Gothic" w:cs="Century Gothic"/>
                <w:b/>
                <w:color w:val="000000"/>
              </w:rPr>
            </w:pPr>
            <w:r w:rsidRPr="001965E0">
              <w:rPr>
                <w:rFonts w:ascii="Century Gothic" w:eastAsiaTheme="minorEastAsia" w:hAnsi="Century Gothic" w:cs="Century Gothic"/>
                <w:b/>
                <w:color w:val="000000"/>
              </w:rPr>
              <w:t>b) Efectuar, mediante transferencia electrónica o cheque nominativo para abono en cuenta del beneficiario, los pagos cuyo monto exceda de noventa Unidades de Medida y Actualización vigente;</w:t>
            </w:r>
          </w:p>
          <w:p w14:paraId="2DB76058" w14:textId="77777777" w:rsidR="009B30E1" w:rsidRPr="009B30E1" w:rsidRDefault="009B30E1" w:rsidP="009B30E1">
            <w:pPr>
              <w:pStyle w:val="NormalWeb"/>
              <w:tabs>
                <w:tab w:val="left" w:pos="1245"/>
              </w:tabs>
              <w:jc w:val="both"/>
              <w:rPr>
                <w:rFonts w:ascii="Century Gothic" w:eastAsiaTheme="minorEastAsia" w:hAnsi="Century Gothic" w:cs="Century Gothic"/>
                <w:b/>
                <w:color w:val="000000"/>
              </w:rPr>
            </w:pPr>
            <w:r w:rsidRPr="009B30E1">
              <w:rPr>
                <w:rFonts w:ascii="Century Gothic" w:eastAsiaTheme="minorEastAsia" w:hAnsi="Century Gothic" w:cs="Century Gothic"/>
                <w:b/>
                <w:color w:val="000000"/>
              </w:rPr>
              <w:t>c) Estar debidamente registrados en la contabilidad;</w:t>
            </w:r>
          </w:p>
          <w:p w14:paraId="6EF7EBAE" w14:textId="77777777" w:rsidR="009B30E1" w:rsidRPr="009B30E1" w:rsidRDefault="009B30E1" w:rsidP="009B30E1">
            <w:pPr>
              <w:pStyle w:val="NormalWeb"/>
              <w:tabs>
                <w:tab w:val="left" w:pos="1245"/>
              </w:tabs>
              <w:jc w:val="both"/>
              <w:rPr>
                <w:rFonts w:ascii="Century Gothic" w:eastAsiaTheme="minorEastAsia" w:hAnsi="Century Gothic" w:cs="Century Gothic"/>
                <w:b/>
                <w:color w:val="000000"/>
              </w:rPr>
            </w:pPr>
            <w:r w:rsidRPr="009B30E1">
              <w:rPr>
                <w:rFonts w:ascii="Century Gothic" w:eastAsiaTheme="minorEastAsia" w:hAnsi="Century Gothic" w:cs="Century Gothic"/>
                <w:b/>
                <w:color w:val="000000"/>
              </w:rPr>
              <w:t>d) Cumplir con las obligaciones establecidas en materia de retenciones y entero de impuestos a cargo de terceros, y</w:t>
            </w:r>
          </w:p>
          <w:p w14:paraId="381958A4" w14:textId="77777777" w:rsidR="00784C81" w:rsidRPr="00E334C9" w:rsidRDefault="009B30E1" w:rsidP="009B30E1">
            <w:pPr>
              <w:pStyle w:val="NormalWeb"/>
              <w:tabs>
                <w:tab w:val="left" w:pos="1245"/>
              </w:tabs>
              <w:jc w:val="both"/>
              <w:rPr>
                <w:rFonts w:ascii="Century Gothic" w:eastAsiaTheme="minorEastAsia" w:hAnsi="Century Gothic" w:cs="Century Gothic"/>
                <w:b/>
                <w:color w:val="000000"/>
              </w:rPr>
            </w:pPr>
            <w:r w:rsidRPr="009B30E1">
              <w:rPr>
                <w:rFonts w:ascii="Century Gothic" w:eastAsiaTheme="minorEastAsia" w:hAnsi="Century Gothic" w:cs="Century Gothic"/>
                <w:b/>
                <w:color w:val="000000"/>
              </w:rPr>
              <w:t>e) Sujetar los gastos asociados a adquisiciones, a los criterios de legalidad, honestidad, eficiencia, eficacia, economía, racionalidad, austeridad, transparencia, control y rendición de cuentas.</w:t>
            </w:r>
          </w:p>
        </w:tc>
      </w:tr>
      <w:tr w:rsidR="00784C81" w:rsidRPr="000D3841" w14:paraId="604AE2ED"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BC23995" w14:textId="77777777" w:rsidR="00784C81" w:rsidRPr="00E334C9" w:rsidRDefault="00056011" w:rsidP="00ED28D9">
            <w:pPr>
              <w:jc w:val="center"/>
              <w:rPr>
                <w:rFonts w:ascii="Century Gothic" w:eastAsiaTheme="minorEastAsia" w:hAnsi="Century Gothic" w:cs="Century Gothic"/>
                <w:b/>
                <w:sz w:val="24"/>
                <w:szCs w:val="24"/>
              </w:rPr>
            </w:pPr>
            <w:r w:rsidRPr="00056011">
              <w:rPr>
                <w:rFonts w:ascii="Century Gothic" w:eastAsiaTheme="minorEastAsia" w:hAnsi="Century Gothic" w:cs="Century Gothic"/>
                <w:b/>
                <w:sz w:val="24"/>
                <w:szCs w:val="24"/>
              </w:rPr>
              <w:t>Artículo 64.</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0EDACE7E" w14:textId="47B6F02A"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(Reformado mediante el Decreto publicado el 2 de marzo de 2023)</w:t>
            </w:r>
          </w:p>
          <w:p w14:paraId="0AEE4F2B" w14:textId="50284D27"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1. Los partidos políticos pueden optar por realizar los pagos relativos a sus actividades ordinarias permanentes, a las precampañas y campañas, o bien únicamente los relativos a propaganda en vía pública durante el periodo de precampaña y campaña, por conducto de la Dirección Ejecutiva.</w:t>
            </w:r>
          </w:p>
          <w:p w14:paraId="735FD865" w14:textId="77777777"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2. Se entiende por propaganda en vía pública toda propaganda que se contrate o difunda en espectaculares, buzones, cajas de luz, carteleras, marquesinas, muebles urbanos de publicidad con o sin movimiento, muros, panorámicos, para buses, puentes, vallas, vehículos o cualquier otro medio similar.</w:t>
            </w:r>
          </w:p>
          <w:p w14:paraId="4DB1FCA4" w14:textId="3524BF77"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lastRenderedPageBreak/>
              <w:t>(Reformado mediante el Decreto publicado el 2 de marzo de 2023)</w:t>
            </w:r>
          </w:p>
          <w:p w14:paraId="71F90C2E" w14:textId="704D1750"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3. En el supuesto que el partido opte porque el Instituto a través de la Dirección Ejecutiva pague la totalidad de las obligaciones contractuales contraídas por el partido en la etapa de campaña, la Dirección Ejecutiva tendrá en todo momento a lo largo de la campaña el uso exclusivo de las chequeras.</w:t>
            </w:r>
          </w:p>
          <w:p w14:paraId="2F07D80A" w14:textId="5884459B"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(Reformado mediante el Decreto publicado el 2 de marzo de 2023)</w:t>
            </w:r>
          </w:p>
          <w:p w14:paraId="6CE48664" w14:textId="656F3ABA"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4. Para el caso de que el partido político opte por que el Instituto, a través de la Dirección Ejecutiva, pague únicamente la propaganda en vía pública se utilizará una cuenta para tal fin cuya chequera será exclusiva de la autoridad.</w:t>
            </w:r>
          </w:p>
          <w:p w14:paraId="485A5FD5" w14:textId="772CCF3A" w:rsidR="001E7EB6" w:rsidRPr="001E7EB6"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(Reformado mediante el Decreto publicado el 2 de marzo de 2023)</w:t>
            </w:r>
          </w:p>
          <w:p w14:paraId="1EA5F8EA" w14:textId="057DD73D" w:rsidR="00784C81" w:rsidRPr="00E334C9" w:rsidRDefault="001E7EB6" w:rsidP="001E7EB6">
            <w:pPr>
              <w:pStyle w:val="NormalWeb"/>
              <w:tabs>
                <w:tab w:val="left" w:pos="1560"/>
              </w:tabs>
              <w:jc w:val="both"/>
              <w:rPr>
                <w:rFonts w:ascii="Century Gothic" w:eastAsiaTheme="minorEastAsia" w:hAnsi="Century Gothic" w:cs="Century Gothic"/>
                <w:b/>
                <w:color w:val="000000"/>
              </w:rPr>
            </w:pPr>
            <w:r w:rsidRPr="001E7EB6">
              <w:rPr>
                <w:rFonts w:ascii="Century Gothic" w:eastAsiaTheme="minorEastAsia" w:hAnsi="Century Gothic" w:cs="Century Gothic"/>
                <w:b/>
                <w:color w:val="000000"/>
              </w:rPr>
              <w:t>5. El Consejo General expedirá los lineamientos para la realización de los pagos por conducto de la Dirección Ejecutiva, los cuales deberán garantizar, entre otros aspectos, la transparencia en el uso de los recursos; la realización de los pagos en forma oportuna; el cumplimiento de las disposiciones en materia fiscal, y la conciliación de saldos.</w:t>
            </w:r>
            <w:r>
              <w:rPr>
                <w:rFonts w:ascii="Century Gothic" w:eastAsiaTheme="minorEastAsia" w:hAnsi="Century Gothic" w:cs="Century Gothic"/>
                <w:b/>
                <w:color w:val="000000"/>
              </w:rPr>
              <w:t xml:space="preserve"> </w:t>
            </w:r>
          </w:p>
        </w:tc>
      </w:tr>
      <w:tr w:rsidR="006803F2" w:rsidRPr="000D3841" w14:paraId="59BB5B75" w14:textId="77777777" w:rsidTr="006803F2">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3F08799" w14:textId="77777777" w:rsidR="006803F2" w:rsidRPr="00BE1200" w:rsidRDefault="002C457C" w:rsidP="00ED28D9">
            <w:pPr>
              <w:jc w:val="center"/>
              <w:rPr>
                <w:rFonts w:ascii="Century Gothic" w:eastAsiaTheme="minorEastAsia" w:hAnsi="Century Gothic" w:cs="Century Gothic"/>
                <w:b/>
                <w:sz w:val="24"/>
                <w:szCs w:val="24"/>
              </w:rPr>
            </w:pPr>
            <w:r w:rsidRPr="002C457C">
              <w:rPr>
                <w:rFonts w:ascii="Century Gothic" w:eastAsiaTheme="minorEastAsia" w:hAnsi="Century Gothic" w:cs="Century Gothic"/>
                <w:b/>
                <w:sz w:val="24"/>
                <w:szCs w:val="24"/>
              </w:rPr>
              <w:lastRenderedPageBreak/>
              <w:t>Artículo 65.</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2D8EC8D5" w14:textId="77777777" w:rsidR="006803F2" w:rsidRPr="00BE1200" w:rsidRDefault="002C457C" w:rsidP="002C457C">
            <w:pPr>
              <w:pStyle w:val="NormalWeb"/>
              <w:tabs>
                <w:tab w:val="left" w:pos="975"/>
              </w:tabs>
              <w:jc w:val="both"/>
              <w:rPr>
                <w:rFonts w:ascii="Century Gothic" w:eastAsiaTheme="minorEastAsia" w:hAnsi="Century Gothic" w:cs="Century Gothic"/>
                <w:b/>
                <w:color w:val="000000"/>
              </w:rPr>
            </w:pPr>
            <w:r w:rsidRPr="002C457C">
              <w:rPr>
                <w:rFonts w:ascii="Century Gothic" w:eastAsiaTheme="minorEastAsia" w:hAnsi="Century Gothic" w:cs="Century Gothic"/>
                <w:b/>
                <w:color w:val="000000"/>
              </w:rPr>
              <w:t>1. El Instituto emitirá los lineamientos para asegurar la máxima publicidad de los registros y movimientos contables, avisos previos de contratación y requerimientos de validación de contrataciones respecto de los partidos políticos, coaliciones y candidatos.</w:t>
            </w:r>
          </w:p>
        </w:tc>
      </w:tr>
      <w:tr w:rsidR="006803F2" w:rsidRPr="000D3841" w14:paraId="2B629EF7"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03B08DAB" w14:textId="77777777" w:rsidR="006803F2" w:rsidRPr="00BE1200" w:rsidRDefault="008B331E" w:rsidP="00ED28D9">
            <w:pPr>
              <w:jc w:val="center"/>
              <w:rPr>
                <w:rFonts w:ascii="Century Gothic" w:eastAsiaTheme="minorEastAsia" w:hAnsi="Century Gothic" w:cs="Century Gothic"/>
                <w:b/>
                <w:sz w:val="24"/>
                <w:szCs w:val="24"/>
              </w:rPr>
            </w:pPr>
            <w:r w:rsidRPr="008B331E">
              <w:rPr>
                <w:rFonts w:ascii="Century Gothic" w:eastAsiaTheme="minorEastAsia" w:hAnsi="Century Gothic" w:cs="Century Gothic"/>
                <w:b/>
                <w:sz w:val="24"/>
                <w:szCs w:val="24"/>
              </w:rPr>
              <w:t>Artículo 68</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27379DC2" w14:textId="77777777" w:rsidR="008B331E" w:rsidRPr="008B331E" w:rsidRDefault="008B331E" w:rsidP="008B331E">
            <w:pPr>
              <w:pStyle w:val="NormalWeb"/>
              <w:jc w:val="both"/>
              <w:rPr>
                <w:rFonts w:ascii="Century Gothic" w:eastAsiaTheme="minorEastAsia" w:hAnsi="Century Gothic" w:cs="Century Gothic"/>
                <w:b/>
                <w:color w:val="000000"/>
              </w:rPr>
            </w:pPr>
            <w:r w:rsidRPr="008B331E">
              <w:rPr>
                <w:rFonts w:ascii="Century Gothic" w:eastAsiaTheme="minorEastAsia" w:hAnsi="Century Gothic" w:cs="Century Gothic"/>
                <w:b/>
                <w:color w:val="000000"/>
              </w:rPr>
              <w:t>1. El régimen fiscal a que se refiere el artículo 66 de esta Ley, no releva a los partidos políticos del cumplimiento de otras obligaciones fiscales.</w:t>
            </w:r>
          </w:p>
          <w:p w14:paraId="1BABDDA4" w14:textId="77777777" w:rsidR="006803F2" w:rsidRPr="00BE1200" w:rsidRDefault="008B331E" w:rsidP="008B331E">
            <w:pPr>
              <w:pStyle w:val="NormalWeb"/>
              <w:jc w:val="both"/>
              <w:rPr>
                <w:rFonts w:ascii="Century Gothic" w:eastAsiaTheme="minorEastAsia" w:hAnsi="Century Gothic" w:cs="Century Gothic"/>
                <w:b/>
                <w:color w:val="000000"/>
              </w:rPr>
            </w:pPr>
            <w:r w:rsidRPr="008B331E">
              <w:rPr>
                <w:rFonts w:ascii="Century Gothic" w:eastAsiaTheme="minorEastAsia" w:hAnsi="Century Gothic" w:cs="Century Gothic"/>
                <w:b/>
                <w:color w:val="000000"/>
              </w:rPr>
              <w:t xml:space="preserve">2. 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Comisión de Fiscalización de los Recursos </w:t>
            </w:r>
            <w:r w:rsidRPr="008B331E">
              <w:rPr>
                <w:rFonts w:ascii="Century Gothic" w:eastAsiaTheme="minorEastAsia" w:hAnsi="Century Gothic" w:cs="Century Gothic"/>
                <w:b/>
                <w:color w:val="000000"/>
              </w:rPr>
              <w:lastRenderedPageBreak/>
              <w:t>de los Partidos Políticos dará aviso a las autoridades fiscales competentes de la omisión en el pago de impuestos y otras contribuciones en que incurran los partidos políticos.</w:t>
            </w:r>
          </w:p>
        </w:tc>
      </w:tr>
      <w:tr w:rsidR="006803F2" w:rsidRPr="000D3841" w14:paraId="01A3E9FA" w14:textId="77777777" w:rsidTr="006803F2">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01794107" w14:textId="77777777" w:rsidR="006803F2" w:rsidRPr="00BE1200" w:rsidRDefault="00E778BF" w:rsidP="00E778BF">
            <w:pPr>
              <w:jc w:val="center"/>
              <w:rPr>
                <w:rFonts w:ascii="Century Gothic" w:eastAsiaTheme="minorEastAsia" w:hAnsi="Century Gothic" w:cs="Century Gothic"/>
                <w:b/>
                <w:sz w:val="24"/>
                <w:szCs w:val="24"/>
              </w:rPr>
            </w:pPr>
            <w:r w:rsidRPr="00E778BF">
              <w:rPr>
                <w:rFonts w:ascii="Century Gothic" w:eastAsiaTheme="minorEastAsia" w:hAnsi="Century Gothic" w:cs="Century Gothic"/>
                <w:b/>
                <w:sz w:val="24"/>
                <w:szCs w:val="24"/>
              </w:rPr>
              <w:lastRenderedPageBreak/>
              <w:t>Artículo 72.</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23C04E1C"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1. Los partidos políticos deberán reportar los ingresos y gastos del financiamiento para actividades ordinarias.</w:t>
            </w:r>
          </w:p>
          <w:p w14:paraId="2381543A"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2. Se entiende como rubros de gasto ordinario:</w:t>
            </w:r>
          </w:p>
          <w:p w14:paraId="3389020F"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a) El gasto programado que comprende los recursos utilizados por el partido político con el objetivo de conseguir la participación ciudadana en la vida democrática, la difusión de la cultura política y el liderazgo político de la mujer;</w:t>
            </w:r>
          </w:p>
          <w:p w14:paraId="2A20D87F"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b) Los gastos de estructura partidista de campaña realizados dentro de los procesos electorales;3</w:t>
            </w:r>
          </w:p>
          <w:p w14:paraId="491E5691"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c) El gasto de los procesos internos de selección de candidatos, el cual no podrá ser mayor al dos por ciento del gasto ordinario establecido para el año en el cual se desarrolle el proceso interno;</w:t>
            </w:r>
          </w:p>
          <w:p w14:paraId="2BEBD361"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d) Los sueldos y salarios del personal, arrendamiento de bienes muebles e inmuebles, papelería, energía eléctrica, combustible, viáticos y otros similares;</w:t>
            </w:r>
          </w:p>
          <w:p w14:paraId="1118F22E"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e) La propaganda de carácter institucional que lleven a cabo únicamente podrá difundir el emblema del partido político, así como las diferentes campañas de consolidación democrática, sin que en las mismas se establezca algún tipo de frase o leyenda que sugiera posicionamiento político alguno, y</w:t>
            </w:r>
          </w:p>
          <w:p w14:paraId="050F7C32"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f) Los gastos relativos a estructuras electorales que comprenden el conjunto de erogaciones necesarias para el sostenimiento y funcionamiento del personal que participa a nombre o beneficio del partido político en el ámbito sectorial, distrital, municipal, estatal o nacional de los partidos políticos en las campañas.</w:t>
            </w:r>
          </w:p>
          <w:p w14:paraId="3E1C4775"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lastRenderedPageBreak/>
              <w:t>3. Los gastos de estructuras electorales comprenderán los realizados para el pago de viáticos y alimentos de:</w:t>
            </w:r>
          </w:p>
          <w:p w14:paraId="5DEE1D4F"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a) Los integrantes de los órganos internos de los partidos políticos en sus actividades estatutarias ordinarias y extraordinarias;</w:t>
            </w:r>
          </w:p>
          <w:p w14:paraId="12E73652"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b) Los integrantes de los comités o equivalentes en las entidades federativas, previstos en el párrafo 2 del artículo 43 de esta Ley, en actividades ante los órganos internos de los partidos políticos nacionales;</w:t>
            </w:r>
          </w:p>
          <w:p w14:paraId="4B1B9A5E"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c) Los integrantes de los órganos internos de los partidos políticos nacionales ante los comités o equivalentes en las entidades federativas previstos en el párrafo 2 del artículo 43 de esta Ley;</w:t>
            </w:r>
          </w:p>
          <w:p w14:paraId="7CFDD2EC"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d) Los representantes de los partidos políticos ante el Instituto o ante los Organismos Públicos Locales;</w:t>
            </w:r>
          </w:p>
          <w:p w14:paraId="3091B294"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e) Los representantes de los partidos políticos en las casillas de recepción del voto;</w:t>
            </w:r>
          </w:p>
          <w:p w14:paraId="607CA191" w14:textId="77777777" w:rsidR="00E778BF" w:rsidRPr="00E778BF"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f) Los que deriven del acuerdo emitido por el Consejo General a propuesta de la Comisión de Fiscalización, previo a la entrega de los informes de gastos ordinarios de cada uno de los ejercicios, y</w:t>
            </w:r>
          </w:p>
          <w:p w14:paraId="284F34A8" w14:textId="77777777" w:rsidR="006803F2" w:rsidRPr="00BE1200" w:rsidRDefault="00E778BF" w:rsidP="00E778BF">
            <w:pPr>
              <w:pStyle w:val="NormalWeb"/>
              <w:tabs>
                <w:tab w:val="left" w:pos="2520"/>
              </w:tabs>
              <w:jc w:val="both"/>
              <w:rPr>
                <w:rFonts w:ascii="Century Gothic" w:eastAsiaTheme="minorEastAsia" w:hAnsi="Century Gothic" w:cs="Century Gothic"/>
                <w:b/>
                <w:color w:val="000000"/>
              </w:rPr>
            </w:pPr>
            <w:r w:rsidRPr="00E778BF">
              <w:rPr>
                <w:rFonts w:ascii="Century Gothic" w:eastAsiaTheme="minorEastAsia" w:hAnsi="Century Gothic" w:cs="Century Gothic"/>
                <w:b/>
                <w:color w:val="000000"/>
              </w:rPr>
              <w:t>g) La propaganda institucional que difunda los logros de gobierno de cada uno de los partidos políticos o coaliciones.</w:t>
            </w:r>
          </w:p>
        </w:tc>
      </w:tr>
      <w:tr w:rsidR="006803F2" w:rsidRPr="000D3841" w14:paraId="55B98600"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0853C03D" w14:textId="77777777" w:rsidR="006803F2" w:rsidRPr="00BE1200" w:rsidRDefault="005A60E3" w:rsidP="00ED28D9">
            <w:pPr>
              <w:jc w:val="center"/>
              <w:rPr>
                <w:rFonts w:ascii="Century Gothic" w:eastAsiaTheme="minorEastAsia" w:hAnsi="Century Gothic" w:cs="Century Gothic"/>
                <w:b/>
                <w:sz w:val="24"/>
                <w:szCs w:val="24"/>
              </w:rPr>
            </w:pPr>
            <w:r w:rsidRPr="005A60E3">
              <w:rPr>
                <w:rFonts w:ascii="Century Gothic" w:eastAsiaTheme="minorEastAsia" w:hAnsi="Century Gothic" w:cs="Century Gothic"/>
                <w:b/>
                <w:sz w:val="24"/>
                <w:szCs w:val="24"/>
              </w:rPr>
              <w:lastRenderedPageBreak/>
              <w:t>Artículo 73.</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1002A248"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1. Los partidos políticos podrán aplicar los recursos destinados para la capacitación, promoción y el desarrollo del liderazgo político de las mujeres, en los rubros siguientes:</w:t>
            </w:r>
          </w:p>
          <w:p w14:paraId="50185306"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a) La realización de investigaciones que tengan como finalidad informar a la ciudadanía de la evolución, desarrollo, avances, y cualquier tema de interés relacionado con el liderazgo político de la mujer;</w:t>
            </w:r>
          </w:p>
          <w:p w14:paraId="5035EB7A"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lastRenderedPageBreak/>
              <w:t>b) La elaboración, publicación y distribución de libros, revistas, folletos o cualquier forma de difusión de temas de interés relacionados con la paridad de género;</w:t>
            </w:r>
          </w:p>
          <w:p w14:paraId="3F9784D5"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c) La organización de mesas de trabajo, conferencias, talleres, eventos y proyecciones que permitan difundir temas relacionados con el desarrollo de la mujer en su incorporación a la vida política;</w:t>
            </w:r>
          </w:p>
          <w:p w14:paraId="32CFAD3B"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(Adicionado [N. E. Reformado] mediante el Decreto publicado el 13 de abril de 2020)</w:t>
            </w:r>
          </w:p>
          <w:p w14:paraId="64357FB5"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d) La creación o fortalecimiento de mecanismos para prevenir, atender, sancionar y erradicar la violencia política contra las mujeres en razón de género;</w:t>
            </w:r>
          </w:p>
          <w:p w14:paraId="73712355" w14:textId="77777777" w:rsidR="004435C4" w:rsidRP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(Reformado y reubicado, antes inciso d), mediante el Decreto publicado el 13 de abril de 2020)</w:t>
            </w:r>
          </w:p>
          <w:p w14:paraId="56657940" w14:textId="2EC37964" w:rsidR="004435C4"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e) La realización de propaganda y publicidad relacionada con la ejecución y desarrollo de las acciones en la materia, y</w:t>
            </w:r>
          </w:p>
          <w:p w14:paraId="19C854C0" w14:textId="69243121" w:rsidR="00B82BAE" w:rsidRDefault="00B82BAE" w:rsidP="004435C4">
            <w:pPr>
              <w:pStyle w:val="NormalWeb"/>
              <w:tabs>
                <w:tab w:val="left" w:pos="1575"/>
              </w:tabs>
              <w:jc w:val="both"/>
              <w:rPr>
                <w:rFonts w:ascii="Century Gothic" w:eastAsiaTheme="minorEastAsia" w:hAnsi="Century Gothic" w:cs="Century Gothic"/>
                <w:b/>
                <w:color w:val="000000"/>
              </w:rPr>
            </w:pPr>
            <w:r w:rsidRPr="00B82BAE">
              <w:rPr>
                <w:rFonts w:ascii="Century Gothic" w:eastAsiaTheme="minorEastAsia" w:hAnsi="Century Gothic" w:cs="Century Gothic"/>
                <w:b/>
                <w:color w:val="000000"/>
              </w:rPr>
              <w:t>(Reformado y reubicado, antes inciso e) [N. E. Adicionado] mediante el Decreto publicado el 13 de abril de 2020)</w:t>
            </w:r>
          </w:p>
          <w:p w14:paraId="4FD5BCD1" w14:textId="713F05A4" w:rsidR="006803F2" w:rsidRPr="00BE1200" w:rsidRDefault="004435C4" w:rsidP="004435C4">
            <w:pPr>
              <w:pStyle w:val="NormalWeb"/>
              <w:tabs>
                <w:tab w:val="left" w:pos="1575"/>
              </w:tabs>
              <w:jc w:val="both"/>
              <w:rPr>
                <w:rFonts w:ascii="Century Gothic" w:eastAsiaTheme="minorEastAsia" w:hAnsi="Century Gothic" w:cs="Century Gothic"/>
                <w:b/>
                <w:color w:val="000000"/>
              </w:rPr>
            </w:pPr>
            <w:r w:rsidRPr="004435C4">
              <w:rPr>
                <w:rFonts w:ascii="Century Gothic" w:eastAsiaTheme="minorEastAsia" w:hAnsi="Century Gothic" w:cs="Century Gothic"/>
                <w:b/>
                <w:color w:val="000000"/>
              </w:rPr>
              <w:t>f) Todo gasto necesario para la organización y difusión de las acciones referidas.</w:t>
            </w:r>
          </w:p>
        </w:tc>
      </w:tr>
      <w:tr w:rsidR="006803F2" w:rsidRPr="000D3841" w14:paraId="19BED3E0" w14:textId="77777777" w:rsidTr="006803F2">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4956934E" w14:textId="77777777" w:rsidR="006803F2" w:rsidRPr="00BE1200" w:rsidRDefault="005C67CE" w:rsidP="005C67CE">
            <w:pPr>
              <w:jc w:val="center"/>
              <w:rPr>
                <w:rFonts w:ascii="Century Gothic" w:eastAsiaTheme="minorEastAsia" w:hAnsi="Century Gothic" w:cs="Century Gothic"/>
                <w:b/>
                <w:sz w:val="24"/>
                <w:szCs w:val="24"/>
              </w:rPr>
            </w:pPr>
            <w:r w:rsidRPr="005C67CE">
              <w:rPr>
                <w:rFonts w:ascii="Century Gothic" w:eastAsiaTheme="minorEastAsia" w:hAnsi="Century Gothic" w:cs="Century Gothic"/>
                <w:b/>
                <w:sz w:val="24"/>
                <w:szCs w:val="24"/>
              </w:rPr>
              <w:lastRenderedPageBreak/>
              <w:t>Artículo 74.</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95DE0FE" w14:textId="77777777" w:rsidR="005C67CE" w:rsidRPr="005C67CE" w:rsidRDefault="005C67CE" w:rsidP="005C67CE">
            <w:pPr>
              <w:pStyle w:val="NormalWeb"/>
              <w:jc w:val="both"/>
              <w:rPr>
                <w:rFonts w:ascii="Century Gothic" w:eastAsiaTheme="minorEastAsia" w:hAnsi="Century Gothic" w:cs="Century Gothic"/>
                <w:b/>
                <w:color w:val="000000"/>
              </w:rPr>
            </w:pPr>
            <w:r w:rsidRPr="005C67CE">
              <w:rPr>
                <w:rFonts w:ascii="Century Gothic" w:eastAsiaTheme="minorEastAsia" w:hAnsi="Century Gothic" w:cs="Century Gothic"/>
                <w:b/>
                <w:color w:val="000000"/>
              </w:rPr>
              <w:t>1. Los partidos políticos podrán reportar en sus informes actividades específicas que desarrollan como entidades de interés público, entendiéndose como tales las siguientes:</w:t>
            </w:r>
          </w:p>
          <w:p w14:paraId="418D38F4" w14:textId="77777777" w:rsidR="005C67CE" w:rsidRPr="005C67CE" w:rsidRDefault="005C67CE" w:rsidP="005C67CE">
            <w:pPr>
              <w:pStyle w:val="NormalWeb"/>
              <w:jc w:val="both"/>
              <w:rPr>
                <w:rFonts w:ascii="Century Gothic" w:eastAsiaTheme="minorEastAsia" w:hAnsi="Century Gothic" w:cs="Century Gothic"/>
                <w:b/>
                <w:color w:val="000000"/>
              </w:rPr>
            </w:pPr>
            <w:r w:rsidRPr="005C67CE">
              <w:rPr>
                <w:rFonts w:ascii="Century Gothic" w:eastAsiaTheme="minorEastAsia" w:hAnsi="Century Gothic" w:cs="Century Gothic"/>
                <w:b/>
                <w:color w:val="000000"/>
              </w:rPr>
              <w:t>a) La educación y capacitación política, que implica la realización de todo tipo de evento o acción que promueva la participación política, los valores cívicos y el respeto a los derechos humanos, entre la ciudadanía;</w:t>
            </w:r>
          </w:p>
          <w:p w14:paraId="61CEC9D2" w14:textId="77777777" w:rsidR="005C67CE" w:rsidRPr="005C67CE" w:rsidRDefault="005C67CE" w:rsidP="005C67CE">
            <w:pPr>
              <w:pStyle w:val="NormalWeb"/>
              <w:jc w:val="both"/>
              <w:rPr>
                <w:rFonts w:ascii="Century Gothic" w:eastAsiaTheme="minorEastAsia" w:hAnsi="Century Gothic" w:cs="Century Gothic"/>
                <w:b/>
                <w:color w:val="000000"/>
              </w:rPr>
            </w:pPr>
            <w:r w:rsidRPr="005C67CE">
              <w:rPr>
                <w:rFonts w:ascii="Century Gothic" w:eastAsiaTheme="minorEastAsia" w:hAnsi="Century Gothic" w:cs="Century Gothic"/>
                <w:b/>
                <w:color w:val="000000"/>
              </w:rPr>
              <w:lastRenderedPageBreak/>
              <w:t>b) La realización de investigaciones socioeconómicas y políticas;</w:t>
            </w:r>
          </w:p>
          <w:p w14:paraId="55216DAE" w14:textId="77777777" w:rsidR="005C67CE" w:rsidRPr="005C67CE" w:rsidRDefault="005C67CE" w:rsidP="005C67CE">
            <w:pPr>
              <w:pStyle w:val="NormalWeb"/>
              <w:jc w:val="both"/>
              <w:rPr>
                <w:rFonts w:ascii="Century Gothic" w:eastAsiaTheme="minorEastAsia" w:hAnsi="Century Gothic" w:cs="Century Gothic"/>
                <w:b/>
                <w:color w:val="000000"/>
              </w:rPr>
            </w:pPr>
            <w:r w:rsidRPr="005C67CE">
              <w:rPr>
                <w:rFonts w:ascii="Century Gothic" w:eastAsiaTheme="minorEastAsia" w:hAnsi="Century Gothic" w:cs="Century Gothic"/>
                <w:b/>
                <w:color w:val="000000"/>
              </w:rPr>
              <w:t>c) La elaboración, publicación y distribución, a través de cualquier medio de difusión, de información de interés del partido, de los militantes y simpatizantes, y</w:t>
            </w:r>
          </w:p>
          <w:p w14:paraId="7E7997BB" w14:textId="77777777" w:rsidR="006803F2" w:rsidRPr="00BE1200" w:rsidRDefault="005C67CE" w:rsidP="005C67CE">
            <w:pPr>
              <w:pStyle w:val="NormalWeb"/>
              <w:jc w:val="both"/>
              <w:rPr>
                <w:rFonts w:ascii="Century Gothic" w:eastAsiaTheme="minorEastAsia" w:hAnsi="Century Gothic" w:cs="Century Gothic"/>
                <w:b/>
                <w:color w:val="000000"/>
              </w:rPr>
            </w:pPr>
            <w:r w:rsidRPr="005C67CE">
              <w:rPr>
                <w:rFonts w:ascii="Century Gothic" w:eastAsiaTheme="minorEastAsia" w:hAnsi="Century Gothic" w:cs="Century Gothic"/>
                <w:b/>
                <w:color w:val="000000"/>
              </w:rPr>
              <w:t>d) Todo gasto necesario para la organización y difusión de las acciones referidas.</w:t>
            </w:r>
          </w:p>
        </w:tc>
      </w:tr>
      <w:tr w:rsidR="006803F2" w:rsidRPr="000D3841" w14:paraId="3F6D592D"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48D3046D" w14:textId="77777777" w:rsidR="006803F2" w:rsidRPr="00BE1200" w:rsidRDefault="001B0753" w:rsidP="001B0753">
            <w:pPr>
              <w:jc w:val="center"/>
              <w:rPr>
                <w:rFonts w:ascii="Century Gothic" w:eastAsiaTheme="minorEastAsia" w:hAnsi="Century Gothic" w:cs="Century Gothic"/>
                <w:b/>
                <w:sz w:val="24"/>
                <w:szCs w:val="24"/>
              </w:rPr>
            </w:pPr>
            <w:r w:rsidRPr="001B0753">
              <w:rPr>
                <w:rFonts w:ascii="Century Gothic" w:eastAsiaTheme="minorEastAsia" w:hAnsi="Century Gothic" w:cs="Century Gothic"/>
                <w:b/>
                <w:sz w:val="24"/>
                <w:szCs w:val="24"/>
              </w:rPr>
              <w:lastRenderedPageBreak/>
              <w:t>Artículo 75.</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25DB172" w14:textId="77777777" w:rsidR="006803F2" w:rsidRPr="00BE1200" w:rsidRDefault="001B0753" w:rsidP="00DC6090">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1. El Consejo General a propuesta de la Comisión de Fiscalización y previo al inicio de las precampañas determinará el tipo de gastos que serán estimados como de precampaña de acuerdo a la naturaleza de las convocatorias emitidas por los partidos políticos.</w:t>
            </w:r>
          </w:p>
        </w:tc>
      </w:tr>
      <w:tr w:rsidR="00323C0B" w:rsidRPr="000D3841" w14:paraId="07FF2045" w14:textId="77777777" w:rsidTr="00323C0B">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6102E95D" w14:textId="77777777" w:rsidR="00323C0B" w:rsidRPr="00BE1200" w:rsidRDefault="001B0753" w:rsidP="00A86538">
            <w:pPr>
              <w:jc w:val="center"/>
              <w:rPr>
                <w:rFonts w:ascii="Century Gothic" w:eastAsiaTheme="minorEastAsia" w:hAnsi="Century Gothic" w:cs="Century Gothic"/>
                <w:b/>
                <w:sz w:val="24"/>
                <w:szCs w:val="24"/>
              </w:rPr>
            </w:pPr>
            <w:r w:rsidRPr="001B0753">
              <w:rPr>
                <w:rFonts w:ascii="Century Gothic" w:eastAsiaTheme="minorEastAsia" w:hAnsi="Century Gothic" w:cs="Century Gothic"/>
                <w:b/>
                <w:sz w:val="24"/>
                <w:szCs w:val="24"/>
              </w:rPr>
              <w:t>Artículo 76.</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47BF82B4"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1. Para los efectos de este Capítulo se entienden como gastos de campaña:</w:t>
            </w:r>
          </w:p>
          <w:p w14:paraId="19061F24"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a) Gastos de propaganda: Comprenden los realizados en bardas, mantas, volantes, pancartas, equipos de sonido, eventos políticos realizados en lugares alquilados, propaganda utilitaria y otros similares;</w:t>
            </w:r>
          </w:p>
          <w:p w14:paraId="1AE56333"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b) Gastos operativos de la campaña: Comprenden los sueldos y salarios del personal eventual, arrendamiento eventual de bienes muebles e inmuebles, gastos de transporte de material y personal, viáticos y otros similares;</w:t>
            </w:r>
          </w:p>
          <w:p w14:paraId="6D1B5B10"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c) Gastos de propaganda en diarios, revistas y otros medios impresos: Comprenden los realizados en cualquiera de esos medios, tales como inserciones pagadas, anuncios publicitarios y sus similares, tendentes a la obtención del voto. En todo caso, tanto el partido y candidato contratante, como el medio impreso, deberán identificar con toda claridad que se trata de propaganda o inserción pagada;</w:t>
            </w:r>
          </w:p>
          <w:p w14:paraId="4D817637"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lastRenderedPageBreak/>
              <w:t>d) Gastos de producción de los mensajes para radio y televisión: Comprenden los realizados para el pago de servicios profesionales; uso de equipo técnico, locaciones o estudios de grabación y producción, así como los demás inherentes al mismo objetivo;</w:t>
            </w:r>
          </w:p>
          <w:p w14:paraId="7AA0EA21"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e) Los gastos que tengan como propósito presentar a la ciudadanía las candidaturas registradas del partido y su respectiva promoción;</w:t>
            </w:r>
          </w:p>
          <w:p w14:paraId="0A42DF24"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f) Los gastos que tengan como finalidad el propiciar la exposición, desarrollo y discusión ante la ciudadanía de los programas y acciones de los candidatos registrados, así como la plataforma electoral;</w:t>
            </w:r>
          </w:p>
          <w:p w14:paraId="427711F7"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g) Cualquier gasto que difunda la imagen, nombre o plataforma de gobierno de algún candidato o de un partido político en el periodo que transita de la conclusión de la precampaña y hasta el inicio de la campaña electoral, y</w:t>
            </w:r>
          </w:p>
          <w:p w14:paraId="6CF8F8CF"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h) Los gastos que el Consejo General a propuesta de la Comisión de Fiscalización y previo inicio de la campaña electoral determine.</w:t>
            </w:r>
          </w:p>
          <w:p w14:paraId="266E135D" w14:textId="77777777" w:rsidR="001B0753" w:rsidRPr="001B0753"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2. No se considerarán dentro de los gastos de campaña los gastos que realicen los partidos para su operación ordinaria, para el cumplimiento de sus obligaciones estatutarias y para el sostenimiento de sus órganos directivos y de sus organizaciones.</w:t>
            </w:r>
          </w:p>
          <w:p w14:paraId="67E99B7E" w14:textId="77777777" w:rsidR="00323C0B" w:rsidRPr="00BE1200" w:rsidRDefault="001B0753" w:rsidP="001B0753">
            <w:pPr>
              <w:pStyle w:val="NormalWeb"/>
              <w:jc w:val="both"/>
              <w:rPr>
                <w:rFonts w:ascii="Century Gothic" w:eastAsiaTheme="minorEastAsia" w:hAnsi="Century Gothic" w:cs="Century Gothic"/>
                <w:b/>
                <w:color w:val="000000"/>
              </w:rPr>
            </w:pPr>
            <w:r w:rsidRPr="001B0753">
              <w:rPr>
                <w:rFonts w:ascii="Century Gothic" w:eastAsiaTheme="minorEastAsia" w:hAnsi="Century Gothic" w:cs="Century Gothic"/>
                <w:b/>
                <w:color w:val="000000"/>
              </w:rPr>
              <w:t>3. Todos los bienes o servicios que se destinen a la campaña deberán tener como propósito directo la obtención del voto en las elecciones federales o locales; con excepción del gasto relativo a estructuras electorales mismo que será estimado como un gasto operativo ordinario.</w:t>
            </w:r>
          </w:p>
        </w:tc>
      </w:tr>
      <w:tr w:rsidR="00323C0B" w:rsidRPr="000D3841" w14:paraId="1A844584"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185B555" w14:textId="77777777" w:rsidR="00323C0B" w:rsidRPr="00BE1200" w:rsidRDefault="00225E7E" w:rsidP="00351A29">
            <w:pPr>
              <w:jc w:val="center"/>
              <w:rPr>
                <w:rFonts w:ascii="Century Gothic" w:eastAsiaTheme="minorEastAsia" w:hAnsi="Century Gothic" w:cs="Century Gothic"/>
                <w:b/>
                <w:sz w:val="24"/>
                <w:szCs w:val="24"/>
              </w:rPr>
            </w:pPr>
            <w:r w:rsidRPr="00225E7E">
              <w:rPr>
                <w:rFonts w:ascii="Century Gothic" w:eastAsiaTheme="minorEastAsia" w:hAnsi="Century Gothic" w:cs="Century Gothic"/>
                <w:b/>
                <w:sz w:val="24"/>
                <w:szCs w:val="24"/>
              </w:rPr>
              <w:lastRenderedPageBreak/>
              <w:t>Artículo 77.</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18A558B"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 xml:space="preserve">1. El órgano interno de los partidos políticos previsto en el artículo 43, inciso c), de esta Ley, será el responsable de la administración de su patrimonio y de sus recursos generales, de precampaña y campaña, así como de la presentación de los informes a que se </w:t>
            </w:r>
            <w:r w:rsidRPr="00225E7E">
              <w:rPr>
                <w:rFonts w:ascii="Century Gothic" w:eastAsiaTheme="minorEastAsia" w:hAnsi="Century Gothic" w:cs="Century Gothic"/>
                <w:b/>
                <w:color w:val="000000"/>
              </w:rPr>
              <w:lastRenderedPageBreak/>
              <w:t>refiere el presente Capítulo. Dicho órgano se constituirá en los términos y con las modalidades y características que cada partido libremente determine.</w:t>
            </w:r>
          </w:p>
          <w:p w14:paraId="1300A345" w14:textId="77777777" w:rsidR="00323C0B" w:rsidRPr="00BE1200"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2. La revisión de los informes que los partidos políticos presenten sobre el origen y destino de sus recursos ordinarios y de campaña, según corresponda, así como la práctica de auditorías sobre el manejo de sus recursos y su situación contable y financiera estará a cargo del Consejo General del Instituto, a través de la Comisión de Fiscalización la cual estará a cargo de la elaboración y presentación al Consejo General del dictamen consolidado y proyecto de resolución de los diversos informes que están obligados a presentar los partidos políticos.</w:t>
            </w:r>
          </w:p>
        </w:tc>
      </w:tr>
      <w:tr w:rsidR="00323C0B" w:rsidRPr="000D3841" w14:paraId="6BC944AF" w14:textId="77777777" w:rsidTr="00105609">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5F6B9C50" w14:textId="77777777" w:rsidR="00323C0B" w:rsidRPr="00BE1200" w:rsidRDefault="00225E7E" w:rsidP="00ED28D9">
            <w:pPr>
              <w:jc w:val="center"/>
              <w:rPr>
                <w:rFonts w:ascii="Century Gothic" w:eastAsiaTheme="minorEastAsia" w:hAnsi="Century Gothic" w:cs="Century Gothic"/>
                <w:b/>
                <w:sz w:val="24"/>
                <w:szCs w:val="24"/>
              </w:rPr>
            </w:pPr>
            <w:r w:rsidRPr="00225E7E">
              <w:rPr>
                <w:rFonts w:ascii="Century Gothic" w:eastAsiaTheme="minorEastAsia" w:hAnsi="Century Gothic" w:cs="Century Gothic"/>
                <w:b/>
                <w:sz w:val="24"/>
                <w:szCs w:val="24"/>
              </w:rPr>
              <w:lastRenderedPageBreak/>
              <w:t>Artículo 78.</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E588E37"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1. Los partidos políticos deberán de presentar sus informes trimestrales y de gastos ordinarios bajo las directrices siguientes:</w:t>
            </w:r>
          </w:p>
          <w:p w14:paraId="6654B60F"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a) Informes trimestrales de avance del ejercicio:</w:t>
            </w:r>
          </w:p>
          <w:p w14:paraId="5AD954BC"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 Serán presentados a más tardar dentro de los treinta días siguientes a la conclusión del trimestre que corresponda;</w:t>
            </w:r>
          </w:p>
          <w:p w14:paraId="5E9490BA"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 En el informe será reportado el resultado de los ingresos y gastos ordinarios que los partidos hayan obtenido y realizado durante el periodo que corresponda;</w:t>
            </w:r>
          </w:p>
          <w:p w14:paraId="04812703" w14:textId="2C7DAC03" w:rsid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III. Durante el año del proceso electoral federal se suspenderá la obligación establecida en este inciso, y</w:t>
            </w:r>
          </w:p>
          <w:p w14:paraId="3D605A9D" w14:textId="569B6E99" w:rsidR="00B82BAE" w:rsidRPr="00B82BAE" w:rsidRDefault="00B82BAE" w:rsidP="00B82BAE">
            <w:pPr>
              <w:pStyle w:val="NormalWeb"/>
              <w:tabs>
                <w:tab w:val="left" w:pos="1665"/>
              </w:tabs>
              <w:jc w:val="both"/>
              <w:rPr>
                <w:rFonts w:ascii="Century Gothic" w:eastAsiaTheme="minorEastAsia" w:hAnsi="Century Gothic" w:cs="Century Gothic"/>
                <w:b/>
                <w:color w:val="000000"/>
              </w:rPr>
            </w:pPr>
            <w:r w:rsidRPr="00B82BAE">
              <w:rPr>
                <w:rFonts w:ascii="Century Gothic" w:eastAsiaTheme="minorEastAsia" w:hAnsi="Century Gothic" w:cs="Century Gothic"/>
                <w:b/>
                <w:color w:val="000000"/>
              </w:rPr>
              <w:t>Reformada mediante el Decreto publicado el 2 de marzo de 2023)</w:t>
            </w:r>
          </w:p>
          <w:p w14:paraId="6C3CAD94" w14:textId="348111FA" w:rsidR="00B82BAE" w:rsidRPr="00225E7E" w:rsidRDefault="00B82BAE" w:rsidP="00B82BAE">
            <w:pPr>
              <w:pStyle w:val="NormalWeb"/>
              <w:tabs>
                <w:tab w:val="left" w:pos="1665"/>
              </w:tabs>
              <w:jc w:val="both"/>
              <w:rPr>
                <w:rFonts w:ascii="Century Gothic" w:eastAsiaTheme="minorEastAsia" w:hAnsi="Century Gothic" w:cs="Century Gothic"/>
                <w:b/>
                <w:color w:val="000000"/>
              </w:rPr>
            </w:pPr>
            <w:r w:rsidRPr="00B82BAE">
              <w:rPr>
                <w:rFonts w:ascii="Century Gothic" w:eastAsiaTheme="minorEastAsia" w:hAnsi="Century Gothic" w:cs="Century Gothic"/>
                <w:b/>
                <w:color w:val="000000"/>
              </w:rPr>
              <w:t>IV. Si de la revisión que realice la Comisión a través de la Dirección Ejecutiva se encuentran anomalías, errores u omisiones, se debe notificar al Partido Político con el fin de que las subsane o realice las aclaraciones conducentes. Los informes constituyen un precedente para la revisión anual que realizará la autoridad.</w:t>
            </w:r>
          </w:p>
          <w:p w14:paraId="5C13D820"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lastRenderedPageBreak/>
              <w:t>b) Informes anuales de gasto ordinario:</w:t>
            </w:r>
          </w:p>
          <w:p w14:paraId="005732BF"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 Serán presentados a más tardar dentro de los sesenta días siguientes al último día de diciembre del año del ejercicio que se reporte;</w:t>
            </w:r>
          </w:p>
          <w:p w14:paraId="2C428B2D"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 En el informe de gastos ordinarios serán reportados los ingresos totales y gastos ordinarios que los partidos hayan realizado durante el ejercicio objeto del informe;</w:t>
            </w:r>
          </w:p>
          <w:p w14:paraId="0FE20343"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III. Junto con el informe anual se presentará el estado consolidado de situación patrimonial en el que se manifiesten los activos, pasivos y patrimonio, así como un informe detallado de los bienes inmuebles propiedad del partido que corresponda, y</w:t>
            </w:r>
          </w:p>
          <w:p w14:paraId="6CA3CEE5" w14:textId="77777777" w:rsidR="00225E7E" w:rsidRPr="00225E7E"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IV. Los informes a que se refiere este inciso deberán estar autorizados y firmados por el auditor externo que cada partido designe para tal efecto.</w:t>
            </w:r>
          </w:p>
          <w:p w14:paraId="634511D0" w14:textId="77777777" w:rsidR="00323C0B" w:rsidRPr="00BE1200" w:rsidRDefault="00225E7E" w:rsidP="00225E7E">
            <w:pPr>
              <w:pStyle w:val="NormalWeb"/>
              <w:tabs>
                <w:tab w:val="left" w:pos="1665"/>
              </w:tabs>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2. Las agrupaciones políticas nacionales presentarán un informe anual de ingresos y egresos, dentro del mismo plazo señalado en la fracción I del inciso a) del párrafo 1 de este artículo y siguiendo los lineamientos establecidos en el reglamento aplicable.</w:t>
            </w:r>
          </w:p>
        </w:tc>
      </w:tr>
      <w:tr w:rsidR="00323C0B" w:rsidRPr="000D3841" w14:paraId="6DAD3440"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235CCB89" w14:textId="77777777" w:rsidR="00323C0B" w:rsidRPr="00BE1200" w:rsidRDefault="00225E7E" w:rsidP="00B47575">
            <w:pPr>
              <w:jc w:val="center"/>
              <w:rPr>
                <w:rFonts w:ascii="Century Gothic" w:eastAsiaTheme="minorEastAsia" w:hAnsi="Century Gothic" w:cs="Century Gothic"/>
                <w:b/>
                <w:sz w:val="24"/>
                <w:szCs w:val="24"/>
              </w:rPr>
            </w:pPr>
            <w:r w:rsidRPr="00225E7E">
              <w:rPr>
                <w:rFonts w:ascii="Century Gothic" w:eastAsiaTheme="minorEastAsia" w:hAnsi="Century Gothic" w:cs="Century Gothic"/>
                <w:b/>
                <w:sz w:val="24"/>
                <w:szCs w:val="24"/>
              </w:rPr>
              <w:lastRenderedPageBreak/>
              <w:t>Artículo 79.</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39F91838"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1. Los partidos políticos deberán presentar informes de precampaña y de campaña, conforme a las reglas siguientes:</w:t>
            </w:r>
          </w:p>
          <w:p w14:paraId="2422E0D5"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a) Informes de precampaña:</w:t>
            </w:r>
          </w:p>
          <w:p w14:paraId="6917FF9A"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 Deberán ser presentados por los partidos políticos para cada uno de los precandidatos a candidatos a cargo de elección popular, registrados para cada tipo de precampaña, especificando el origen y monto de los ingresos, así como los gastos realizados;</w:t>
            </w:r>
          </w:p>
          <w:p w14:paraId="58B5A7F0"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lastRenderedPageBreak/>
              <w:t>II. Los candidatos y precandidatos son responsables solidarios del cumplimiento de los informes de campaña y precampaña. Para tales efectos, se analizará de manera separada las infracciones en que incurran;</w:t>
            </w:r>
          </w:p>
          <w:p w14:paraId="4BF878BB"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III. Los informes deberán presentarse a más tardar dentro de los diez días siguientes al de la conclusión de las precampañas;</w:t>
            </w:r>
          </w:p>
          <w:p w14:paraId="163C6FE8"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IV. Los gastos de organización de los procesos internos para la selección de precandidatos que realicen los partidos políticos serán reportados en el informe anual que corresponda, y</w:t>
            </w:r>
          </w:p>
          <w:p w14:paraId="279DE62F"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V. Toda propaganda que sea colocada en el periodo en que se lleven a cabo las precampañas y que permanezcan en la vía pública una vez concluido dicho proceso o, en su caso, una vez que el partido postule a sus candidatos, especialmente los que contengan la imagen, nombre, apellidos, apelativo o sobrenombre del precandidato triunfador de la contienda interna, serán considerados para efectos de los gastos de campaña de éste, los cuales deberán ser reportados en los informes correspondientes.</w:t>
            </w:r>
          </w:p>
          <w:p w14:paraId="6F9456D0"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b) Informes de Campaña:</w:t>
            </w:r>
          </w:p>
          <w:p w14:paraId="28D35D2E" w14:textId="77777777" w:rsidR="00225E7E" w:rsidRP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 Deberán ser presentados por los partidos políticos, para cada una de las campañas en las elecciones respectivas, especificando los gastos que el partido político y el candidato hayan realizado en el ámbito territorial correspondiente;</w:t>
            </w:r>
          </w:p>
          <w:p w14:paraId="4FAA6BAD" w14:textId="352ADE45" w:rsidR="00225E7E" w:rsidRDefault="00225E7E" w:rsidP="00225E7E">
            <w:pPr>
              <w:pStyle w:val="NormalWeb"/>
              <w:jc w:val="both"/>
              <w:rPr>
                <w:rFonts w:ascii="Century Gothic" w:eastAsiaTheme="minorEastAsia" w:hAnsi="Century Gothic" w:cs="Century Gothic"/>
                <w:b/>
                <w:color w:val="000000"/>
              </w:rPr>
            </w:pPr>
            <w:r w:rsidRPr="00225E7E">
              <w:rPr>
                <w:rFonts w:ascii="Century Gothic" w:eastAsiaTheme="minorEastAsia" w:hAnsi="Century Gothic" w:cs="Century Gothic"/>
                <w:b/>
                <w:color w:val="000000"/>
              </w:rPr>
              <w:t>II. El candidato es responsable solidario del cumplimiento de los informes de gastos que se refieren en el inciso anterior, y</w:t>
            </w:r>
          </w:p>
          <w:p w14:paraId="2486F8FE" w14:textId="3610EEB8"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489DBEB4" w14:textId="690AE351" w:rsidR="00C1122B" w:rsidRPr="00225E7E"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III. Los Partidos Políticos presentarán informes de ingresos y gastos por periodos de treinta días contados a partir de que dé inicio la etapa de campaña, los cuales deben entregar a la Dirección Ejecutiva dentro de los siguientes tres días concluido cada periodo.</w:t>
            </w:r>
          </w:p>
          <w:p w14:paraId="57F1AE01" w14:textId="42A2CB4E" w:rsidR="00323C0B" w:rsidRPr="00BE1200" w:rsidRDefault="00323C0B" w:rsidP="00225E7E">
            <w:pPr>
              <w:pStyle w:val="NormalWeb"/>
              <w:jc w:val="both"/>
              <w:rPr>
                <w:rFonts w:ascii="Century Gothic" w:eastAsiaTheme="minorEastAsia" w:hAnsi="Century Gothic" w:cs="Century Gothic"/>
                <w:b/>
                <w:color w:val="000000"/>
              </w:rPr>
            </w:pPr>
          </w:p>
        </w:tc>
      </w:tr>
      <w:tr w:rsidR="00323C0B" w:rsidRPr="000D3841" w14:paraId="60B2BD7D" w14:textId="77777777" w:rsidTr="00105609">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28BA7DED" w14:textId="77777777" w:rsidR="00323C0B" w:rsidRPr="00BE1200" w:rsidRDefault="009B51DE" w:rsidP="009B51DE">
            <w:pPr>
              <w:jc w:val="center"/>
              <w:rPr>
                <w:rFonts w:ascii="Century Gothic" w:eastAsiaTheme="minorEastAsia" w:hAnsi="Century Gothic" w:cs="Century Gothic"/>
                <w:b/>
                <w:sz w:val="24"/>
                <w:szCs w:val="24"/>
              </w:rPr>
            </w:pPr>
            <w:r w:rsidRPr="009B51DE">
              <w:rPr>
                <w:rFonts w:ascii="Century Gothic" w:eastAsiaTheme="minorEastAsia" w:hAnsi="Century Gothic" w:cs="Century Gothic"/>
                <w:b/>
                <w:sz w:val="24"/>
                <w:szCs w:val="24"/>
              </w:rPr>
              <w:lastRenderedPageBreak/>
              <w:t>Artículo 80.</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00B53DB7"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1. El procedimiento para la presentación y revisión de los informes de los partidos políticos se sujetará a las siguientes reglas:</w:t>
            </w:r>
          </w:p>
          <w:p w14:paraId="4978D5EC"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a) Informes trimestrales de avance del ejercicio:</w:t>
            </w:r>
          </w:p>
          <w:p w14:paraId="753BA233"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705315C9"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 Una vez entregados los informes trimestrales, si de la revisión que realice la Dirección Ejecutiva se encuentran anomalías, errores u omisiones, se notificará al Partido Político con el fin de que las subsane o realice las aclaraciones conducentes, y</w:t>
            </w:r>
          </w:p>
          <w:p w14:paraId="1386377D"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 En todo caso los informes trimestrales tienen carácter exclusivamente informativo para la autoridad.</w:t>
            </w:r>
          </w:p>
          <w:p w14:paraId="14D89068"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b) Informes anuales:</w:t>
            </w:r>
          </w:p>
          <w:p w14:paraId="57F6A5DD"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11216165"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 Una vez entregados los informes anuales, la Dirección Ejecutiva tendrá un término de sesenta días para su revisión y está facultado en todo momento para solicitar al órgano previsto en el artículo 43, inciso c) de esta Ley de cada partido, la documentación necesaria para comprobar la veracidad de lo reportado en los informes;</w:t>
            </w:r>
          </w:p>
          <w:p w14:paraId="48996568" w14:textId="72127ECE"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3FD41BFA"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 Si durante la revisión de los informes la Dirección Ejecutiva advierte la existencia de errores u omisiones técnicas, prevendrá al Partido Político que haya incurrido en ellos para que en un plazo de diez días, contados a partir de dicha prevención, presente las aclaraciones o rectificaciones que considere pertinentes;</w:t>
            </w:r>
          </w:p>
          <w:p w14:paraId="4C0AE77E"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lastRenderedPageBreak/>
              <w:t>(Reformada mediante el Decreto publicado el 2 de marzo de 2023)</w:t>
            </w:r>
          </w:p>
          <w:p w14:paraId="3F00B801" w14:textId="4A979A40"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III. La Dirección Ejecutiva está obligada a informar al Partido Político si las aclaraciones o rectificaciones realizadas por éste subsanan los errores u omisiones encontrados, en su caso, un plazo improrrogable de cinco días para que los subsane. La Dirección Ejecutiva informará igualmente del resultado antes del vencimiento del plazo para la elaboración del dictamen consolidado a que se refiere la fracción siguiente;</w:t>
            </w:r>
          </w:p>
          <w:p w14:paraId="251C0A38" w14:textId="35055501"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IV. Una vez concluido el plazo referido en la fracción I de este inciso o, en su caso, el concedido para la rectificación de errores u omisiones, contará con un plazo de veinte días para emitir el dictamen consolidado, así como el proyecto de resolución respectivo, para someterlos a consideración de la Comisión de Fiscalización;</w:t>
            </w:r>
          </w:p>
          <w:p w14:paraId="61EA24D6" w14:textId="289AD358"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406A35A9" w14:textId="56AA917D"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V. La Comisión de Fiscalización contará con diez días para aprobar los proyectos emitidos por la Dirección Ejecutiva, y</w:t>
            </w:r>
          </w:p>
          <w:p w14:paraId="2AB0BF43" w14:textId="689C3CED"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VI. Una vez concluido el plazo a que se refiere la fracción anterior, la Comisión de Fiscalización presentará en un término de setenta y dos horas, el proyecto ante el Consejo General, el cual contará con diez días para su discusión y aprobación.</w:t>
            </w:r>
          </w:p>
          <w:p w14:paraId="5A0E4C81" w14:textId="4CDA4C1B"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c) Informes de Precampaña:</w:t>
            </w:r>
          </w:p>
          <w:p w14:paraId="354F9E10" w14:textId="6DA672E2"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4A6F93AB"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 Una vez entregados los informes de gastos de precampaña, la Dirección Ejecutiva tendrá un término de quince días para la revisión de dichos informes;</w:t>
            </w:r>
          </w:p>
          <w:p w14:paraId="48DFBF33" w14:textId="25924875"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lastRenderedPageBreak/>
              <w:t>(Reformada mediante el Decreto publicado el 2 de marzo de 2023)</w:t>
            </w:r>
          </w:p>
          <w:p w14:paraId="63023B10" w14:textId="77F269D2"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 La Dirección Ejecutiva informará a los partidos políticos, en su caso, la existencia de errores u omisiones técnicas y los prevendrá para que en el término de siete días contados a partir de dicha notificación, presente las aclaraciones o rectificaciones que considere pertinentes;</w:t>
            </w:r>
          </w:p>
          <w:p w14:paraId="1D052F90" w14:textId="29D29BC5"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3D5AAD1F" w14:textId="0FAE9F6C"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III. Una vez concluido el término referido en la fracción anterior, la Dirección Ejecutiva contará con un término de diez días para emitir el dictamen consolidado, así como el proyecto de resolución respectivo y para someterlo a consideración de la Comisión de Fiscalización;</w:t>
            </w:r>
          </w:p>
          <w:p w14:paraId="38FA3D16" w14:textId="3926B752"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51AF6E35" w14:textId="1D538A66"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IV. La Comisión de Fiscalización contará con seis días para aprobar los proyectos emitidos por la Dirección Ejecutiva, y</w:t>
            </w:r>
          </w:p>
          <w:p w14:paraId="43D8632E" w14:textId="28F13B14"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V. Una vez concluido el periodo de seis días, la Comisión de Fiscalización presentará en un plazo de setenta y dos horas el proyecto ante el Consejo General, el cual contará con un plazo de seis días, para su discusión y aprobación.</w:t>
            </w:r>
          </w:p>
          <w:p w14:paraId="41FA79D8" w14:textId="497447CE"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d) Informes de Campaña:</w:t>
            </w:r>
          </w:p>
          <w:p w14:paraId="306C8607" w14:textId="0CF38600"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4E5E8ED6" w14:textId="7777777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 La Dirección Ejecutiva revisará y auditará, simultáneamente al desarrollo de la campaña, el destino que le den los Partidos Políticos a los recursos de campaña;</w:t>
            </w:r>
          </w:p>
          <w:p w14:paraId="32A98283" w14:textId="75687182"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lastRenderedPageBreak/>
              <w:t>(Reformada mediante el Decreto publicado el 2 de marzo de 2023)</w:t>
            </w:r>
          </w:p>
          <w:p w14:paraId="2EF5B466" w14:textId="42D77B51"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 Una vez entregados los informes de campaña, la Dirección Ejecutiva contará con diez días para revisar la documentación soporte y la contabilidad presentada;</w:t>
            </w:r>
          </w:p>
          <w:p w14:paraId="2E8D3B8B" w14:textId="5FA2AC43"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III. En el caso que la autoridad se percate de la existencia de errores u omisiones técnicas en la documentación soporte y contabilidad presentada, otorgará un plazo de cinco días contados a partir de la notificación que al respecto realice al partido, para que éste presente las aclaraciones o rectificaciones que considere pertinentes;</w:t>
            </w:r>
          </w:p>
          <w:p w14:paraId="49606329" w14:textId="7EB77E5F"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6520839F" w14:textId="60780243"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IV. Una vez concluida la revisión del último informe, la Dirección Ejecutiva contará con un término de diez días para realizar el dictamen consolidado y la propuesta de resolución, así como para someterlos a consideración de la Comisión de Fiscalización;</w:t>
            </w:r>
          </w:p>
          <w:p w14:paraId="124DA0FA" w14:textId="76FBB900"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(Reformada mediante el Decreto publicado el 2 de marzo de 2023)</w:t>
            </w:r>
          </w:p>
          <w:p w14:paraId="7C441B6B" w14:textId="31F52E16"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V. Una vez que la Dirección Ejecutiva someta a consideración de la Comisión de Fiscalización el dictamen consolidado y la propuesta de resolución, ésta última tendrá un término de seis días para votar dichos proyectos y presentarlos al Consejo General, y</w:t>
            </w:r>
          </w:p>
          <w:p w14:paraId="0D390CF5" w14:textId="3F0D08AC" w:rsidR="00323C0B" w:rsidRPr="00BE1200"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VI. Una vez aprobado el dictamen consolidado así como el proyecto de resolución respectivo, la Comisión de Fiscalización, a través de su Presidente, someterá a consideración del Consejo General los proyectos para que éstos sean votados en un término improrrogable de seis días.</w:t>
            </w:r>
            <w:r>
              <w:rPr>
                <w:rFonts w:ascii="Century Gothic" w:eastAsiaTheme="minorEastAsia" w:hAnsi="Century Gothic" w:cs="Century Gothic"/>
                <w:b/>
                <w:color w:val="000000"/>
              </w:rPr>
              <w:t xml:space="preserve"> </w:t>
            </w:r>
          </w:p>
        </w:tc>
      </w:tr>
      <w:tr w:rsidR="00323C0B" w:rsidRPr="000D3841" w14:paraId="4EB947DF"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441C3DE0" w14:textId="77777777" w:rsidR="00323C0B" w:rsidRPr="00BE1200" w:rsidRDefault="009B51DE" w:rsidP="009B51DE">
            <w:pPr>
              <w:jc w:val="center"/>
              <w:rPr>
                <w:rFonts w:ascii="Century Gothic" w:eastAsiaTheme="minorEastAsia" w:hAnsi="Century Gothic" w:cs="Century Gothic"/>
                <w:b/>
                <w:sz w:val="24"/>
                <w:szCs w:val="24"/>
              </w:rPr>
            </w:pPr>
            <w:r w:rsidRPr="009B51DE">
              <w:rPr>
                <w:rFonts w:ascii="Century Gothic" w:eastAsiaTheme="minorEastAsia" w:hAnsi="Century Gothic" w:cs="Century Gothic"/>
                <w:b/>
                <w:sz w:val="24"/>
                <w:szCs w:val="24"/>
              </w:rPr>
              <w:lastRenderedPageBreak/>
              <w:t>Artículo 81.</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7768E2A3" w14:textId="77777777" w:rsidR="003370F8"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(Reformado mediante el Decreto publicado el 2 de marzo de 2023)</w:t>
            </w:r>
          </w:p>
          <w:p w14:paraId="3139DC7B" w14:textId="0DCB8672"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lastRenderedPageBreak/>
              <w:t>1. Todos los dictámenes y proyectos de resolución emitidos por la Dirección Ejecutiva deberán contener como mínimo:</w:t>
            </w:r>
          </w:p>
          <w:p w14:paraId="1C21A931" w14:textId="207D3327"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a) El resultado y las conclusiones de la revisión de los informes que hayan presentado los partidos políticos;</w:t>
            </w:r>
          </w:p>
          <w:p w14:paraId="7253C40A" w14:textId="3C410348" w:rsidR="00C1122B" w:rsidRPr="00C1122B"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b) En su caso, la mención de los errores o irregularidades encontrados en los mismos, y</w:t>
            </w:r>
          </w:p>
          <w:p w14:paraId="5F4AAC1A" w14:textId="1294AC6C" w:rsidR="00323C0B" w:rsidRPr="00BE1200" w:rsidRDefault="00C1122B" w:rsidP="00C1122B">
            <w:pPr>
              <w:pStyle w:val="NormalWeb"/>
              <w:jc w:val="both"/>
              <w:rPr>
                <w:rFonts w:ascii="Century Gothic" w:eastAsiaTheme="minorEastAsia" w:hAnsi="Century Gothic" w:cs="Century Gothic"/>
                <w:b/>
                <w:color w:val="000000"/>
              </w:rPr>
            </w:pPr>
            <w:r w:rsidRPr="00C1122B">
              <w:rPr>
                <w:rFonts w:ascii="Century Gothic" w:eastAsiaTheme="minorEastAsia" w:hAnsi="Century Gothic" w:cs="Century Gothic"/>
                <w:b/>
                <w:color w:val="000000"/>
              </w:rPr>
              <w:t>c) El señalamiento de las aclaraciones o rectificaciones que presentaron los partidos políticos después de haberles notificado con ese fin.</w:t>
            </w:r>
          </w:p>
        </w:tc>
      </w:tr>
      <w:tr w:rsidR="00323C0B" w:rsidRPr="000D3841" w14:paraId="1AA03C53" w14:textId="77777777" w:rsidTr="00105609">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5071B77" w14:textId="77777777" w:rsidR="00323C0B" w:rsidRPr="00BE1200" w:rsidRDefault="00CE37AB" w:rsidP="00005BE9">
            <w:pPr>
              <w:jc w:val="center"/>
              <w:rPr>
                <w:rFonts w:ascii="Century Gothic" w:eastAsiaTheme="minorEastAsia" w:hAnsi="Century Gothic" w:cs="Century Gothic"/>
                <w:b/>
                <w:sz w:val="24"/>
                <w:szCs w:val="24"/>
              </w:rPr>
            </w:pPr>
            <w:r w:rsidRPr="00CE37AB">
              <w:rPr>
                <w:rFonts w:ascii="Century Gothic" w:eastAsiaTheme="minorEastAsia" w:hAnsi="Century Gothic" w:cs="Century Gothic"/>
                <w:b/>
                <w:sz w:val="24"/>
                <w:szCs w:val="24"/>
              </w:rPr>
              <w:lastRenderedPageBreak/>
              <w:t>Artículo 82.</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62F7BD15" w14:textId="038F7002" w:rsidR="00CF2247" w:rsidRPr="00CF2247" w:rsidRDefault="00CF2247" w:rsidP="00CF2247">
            <w:pPr>
              <w:pStyle w:val="NormalWeb"/>
              <w:tabs>
                <w:tab w:val="left" w:pos="1320"/>
              </w:tabs>
              <w:jc w:val="both"/>
              <w:rPr>
                <w:rFonts w:ascii="Century Gothic" w:eastAsiaTheme="minorEastAsia" w:hAnsi="Century Gothic" w:cs="Century Gothic"/>
                <w:b/>
                <w:color w:val="000000"/>
              </w:rPr>
            </w:pPr>
            <w:r w:rsidRPr="00CF2247">
              <w:rPr>
                <w:rFonts w:ascii="Century Gothic" w:eastAsiaTheme="minorEastAsia" w:hAnsi="Century Gothic" w:cs="Century Gothic"/>
                <w:b/>
                <w:color w:val="000000"/>
              </w:rPr>
              <w:t>1. Los partidos políticos podrán impugnar ante el Tribunal el dictamen consolidado y resolución que emita el Consejo General, en la forma y términos previstos en la ley de la materia, en cuyo caso, el Consejo General del Instituto deberá:</w:t>
            </w:r>
          </w:p>
          <w:p w14:paraId="6F674328" w14:textId="30C8A63D" w:rsidR="00CF2247" w:rsidRPr="00CF2247" w:rsidRDefault="00CF2247" w:rsidP="00CF2247">
            <w:pPr>
              <w:pStyle w:val="NormalWeb"/>
              <w:tabs>
                <w:tab w:val="left" w:pos="1320"/>
              </w:tabs>
              <w:jc w:val="both"/>
              <w:rPr>
                <w:rFonts w:ascii="Century Gothic" w:eastAsiaTheme="minorEastAsia" w:hAnsi="Century Gothic" w:cs="Century Gothic"/>
                <w:b/>
                <w:color w:val="000000"/>
              </w:rPr>
            </w:pPr>
            <w:r w:rsidRPr="00CF2247">
              <w:rPr>
                <w:rFonts w:ascii="Century Gothic" w:eastAsiaTheme="minorEastAsia" w:hAnsi="Century Gothic" w:cs="Century Gothic"/>
                <w:b/>
                <w:color w:val="000000"/>
              </w:rPr>
              <w:t>(Reformado mediante el Decreto publicado el 2 de marzo de 2023)</w:t>
            </w:r>
          </w:p>
          <w:p w14:paraId="74032267" w14:textId="1C9E3DC4" w:rsidR="00CF2247" w:rsidRPr="00CF2247" w:rsidRDefault="00CF2247" w:rsidP="00CF2247">
            <w:pPr>
              <w:pStyle w:val="NormalWeb"/>
              <w:tabs>
                <w:tab w:val="left" w:pos="1320"/>
              </w:tabs>
              <w:jc w:val="both"/>
              <w:rPr>
                <w:rFonts w:ascii="Century Gothic" w:eastAsiaTheme="minorEastAsia" w:hAnsi="Century Gothic" w:cs="Century Gothic"/>
                <w:b/>
                <w:color w:val="000000"/>
              </w:rPr>
            </w:pPr>
            <w:r w:rsidRPr="00CF2247">
              <w:rPr>
                <w:rFonts w:ascii="Century Gothic" w:eastAsiaTheme="minorEastAsia" w:hAnsi="Century Gothic" w:cs="Century Gothic"/>
                <w:b/>
                <w:color w:val="000000"/>
              </w:rPr>
              <w:t>a) Remitir al Tribunal, junto con el recurso, el dictamen consolidado de la Dirección Ejecutiva y el informe respectivo;</w:t>
            </w:r>
          </w:p>
          <w:p w14:paraId="714C0CE3" w14:textId="7DB4463E" w:rsidR="00CF2247" w:rsidRPr="00CF2247" w:rsidRDefault="00CF2247" w:rsidP="00CF2247">
            <w:pPr>
              <w:pStyle w:val="NormalWeb"/>
              <w:tabs>
                <w:tab w:val="left" w:pos="1320"/>
              </w:tabs>
              <w:jc w:val="both"/>
              <w:rPr>
                <w:rFonts w:ascii="Century Gothic" w:eastAsiaTheme="minorEastAsia" w:hAnsi="Century Gothic" w:cs="Century Gothic"/>
                <w:b/>
                <w:color w:val="000000"/>
              </w:rPr>
            </w:pPr>
            <w:r w:rsidRPr="00CF2247">
              <w:rPr>
                <w:rFonts w:ascii="Century Gothic" w:eastAsiaTheme="minorEastAsia" w:hAnsi="Century Gothic" w:cs="Century Gothic"/>
                <w:b/>
                <w:color w:val="000000"/>
              </w:rPr>
              <w:t>b) Remitir al Diario Oficial de la Federación para su publicación, una vez cumplido el plazo para la interposición del recurso, o presentado éste una vez que el Tribunal emita la resolución correspondiente, una sinopsis del dictamen, de la resolución aprobada por el Consejo General y, en su caso, la resolución recaída al recurso, y</w:t>
            </w:r>
          </w:p>
          <w:p w14:paraId="1E1B5BDF" w14:textId="0D9761CB" w:rsidR="00323C0B" w:rsidRPr="00BE1200" w:rsidRDefault="00CF2247" w:rsidP="00CF2247">
            <w:pPr>
              <w:pStyle w:val="NormalWeb"/>
              <w:tabs>
                <w:tab w:val="left" w:pos="1320"/>
              </w:tabs>
              <w:jc w:val="both"/>
              <w:rPr>
                <w:rFonts w:ascii="Century Gothic" w:eastAsiaTheme="minorEastAsia" w:hAnsi="Century Gothic" w:cs="Century Gothic"/>
                <w:b/>
                <w:color w:val="000000"/>
              </w:rPr>
            </w:pPr>
            <w:r w:rsidRPr="00CF2247">
              <w:rPr>
                <w:rFonts w:ascii="Century Gothic" w:eastAsiaTheme="minorEastAsia" w:hAnsi="Century Gothic" w:cs="Century Gothic"/>
                <w:b/>
                <w:color w:val="000000"/>
              </w:rPr>
              <w:t>c) Publicar en la página de Internet del Instituto el dictamen completo, así como la resolución aprobada por el Consejo General y, en su caso, las resoluciones emitidas por el Tribunal.</w:t>
            </w:r>
          </w:p>
        </w:tc>
      </w:tr>
      <w:tr w:rsidR="00005BE9" w:rsidRPr="000D3841" w14:paraId="3ACD7ECE"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10370C7B" w14:textId="77777777" w:rsidR="00005BE9" w:rsidRPr="00BE1200" w:rsidRDefault="00317A96" w:rsidP="00317A96">
            <w:pPr>
              <w:jc w:val="center"/>
              <w:rPr>
                <w:rFonts w:ascii="Century Gothic" w:eastAsiaTheme="minorEastAsia" w:hAnsi="Century Gothic" w:cs="Century Gothic"/>
                <w:b/>
                <w:sz w:val="24"/>
                <w:szCs w:val="24"/>
              </w:rPr>
            </w:pPr>
            <w:r w:rsidRPr="00317A96">
              <w:rPr>
                <w:rFonts w:ascii="Century Gothic" w:eastAsiaTheme="minorEastAsia" w:hAnsi="Century Gothic" w:cs="Century Gothic"/>
                <w:b/>
                <w:sz w:val="24"/>
                <w:szCs w:val="24"/>
              </w:rPr>
              <w:t>Artículo 83.</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2AE6735F"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1. Los gastos genéricos de campaña serán prorrateados entre las campañas beneficiadas, de acuerdo con lo siguiente:</w:t>
            </w:r>
          </w:p>
          <w:p w14:paraId="65E4CF30"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lastRenderedPageBreak/>
              <w:t>a) Como gastos genéricos de campaña, se entenderá los realizados en actos de campaña y de propaganda, en la que el partido o la coalición promueva o invite a votar por un conjunto de candidatos a cargos de elección popular que postulen, siempre y cuando no se especifique el candidato o el tipo de campaña;</w:t>
            </w:r>
          </w:p>
          <w:p w14:paraId="15ED4FD0"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b) Los gastos genéricos en los que no se identifique algún candidato o tipo de campaña, pero se difunda alguna política pública o propuesta del partido o coalición, y</w:t>
            </w:r>
          </w:p>
          <w:p w14:paraId="4C1B9D34"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c) En los casos en los que se publique o difunda el emblema o la mención de lemas con los que se identifique al partido, coalición o sus candidatos o los contenidos de sus plataformas electorales.</w:t>
            </w:r>
          </w:p>
          <w:p w14:paraId="5A6AA809"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2. En los casos en los que se promocione a dos o más candidatos a cargos de elección popular, los gastos de campaña se distribuirán de la siguiente forma:</w:t>
            </w:r>
          </w:p>
          <w:p w14:paraId="48BD3A6F"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a) En el caso de candidato a Presidente de la República y un candidato a Senador, se distribuirá el gasto en un cuarenta por ciento para Presidente de la República y un sesenta por ciento al candidato a Senador;</w:t>
            </w:r>
          </w:p>
          <w:p w14:paraId="1E779403"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b) En el caso de candidato a Presidente de la República y un candidato a Diputado Federal, se distribuirá en un sesenta por ciento al candidato a Presidente de la República, y un cuarenta por ciento al candidato a Diputado Federal;</w:t>
            </w:r>
          </w:p>
          <w:p w14:paraId="6C75E8D7"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c) En el caso de los candidatos a Presidente de la República, Senador y Diputado Federal, se distribuirá el gasto en un veinte por ciento al Presidente de la República, cincuenta al candidato a Senador, y en un treinta por ciento al candidato a Diputado Federal;</w:t>
            </w:r>
          </w:p>
          <w:p w14:paraId="02727154"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 xml:space="preserve">d) En caso de que los gastos de campaña estén integrados para los candidatos a Presidente de la República, Senador, Diputado Federal y una campaña local, el gasto será distribuido en un quince por ciento al candidato a Presidente de la República; un </w:t>
            </w:r>
            <w:r w:rsidRPr="00317A96">
              <w:rPr>
                <w:rFonts w:ascii="Century Gothic" w:eastAsiaTheme="minorEastAsia" w:hAnsi="Century Gothic" w:cs="Century Gothic"/>
                <w:b/>
                <w:color w:val="000000"/>
              </w:rPr>
              <w:lastRenderedPageBreak/>
              <w:t>treinta y cinco por ciento al candidato a Senador; en un veinticinco por ciento al Diputado Federal y un veinticinco por ciento a la campaña local respectiva;</w:t>
            </w:r>
          </w:p>
          <w:p w14:paraId="7B72424F"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e) En los casos en los que intervenga el candidato a Presidente de la República y una campaña local, se distribuirán en un cuarenta por ciento al candidato a Presidente de la República y en un sesenta por ciento a la campaña local;</w:t>
            </w:r>
          </w:p>
          <w:p w14:paraId="6966C3A4"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f) En los casos en que estén integrados por los candidatos a Presidente de la República, Senador y una campaña local; se distribuirá en un veinte por ciento al candidato a Presidente de la República; sesenta por ciento al candidato a Senador y un veinte por ciento al candidato de la elección local respectivo;</w:t>
            </w:r>
          </w:p>
          <w:p w14:paraId="266C4D8F"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g) En el caso en el cual intervengan los candidatos a Presidente de la República, Diputado Federal y un candidato en materia local, se distribuirá en un cuarenta por ciento al candidato a Presidente, en un treinta y cinco al candidato a Diputado Federal y en un veinticinco al candidato de la elección local;</w:t>
            </w:r>
          </w:p>
          <w:p w14:paraId="23E83EC4"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h) En el caso donde participe un candidato a Senador y un candidato a Diputado Federal, se distribuirá el gasto en un setenta por ciento al candidato a Senador y un treinta por ciento al candidato a Diputado Federal;</w:t>
            </w:r>
          </w:p>
          <w:p w14:paraId="1FBCBA8C"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i) En el supuesto en el que participe un candidato a Senador, un candidato a Diputado Federal y un candidato en materia local, se distribuirá en un cincuenta por ciento al candidato a Senador, un treinta por ciento al candidato a Diputado Federal y un veinte por ciento al candidato a la campaña local;</w:t>
            </w:r>
          </w:p>
          <w:p w14:paraId="264D626E"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j) En el caso en que participen un candidato a Senador, y un candidato de índole local; se distribuirá, en un setenta y cinco por ciento al candidato a Senador y un veinticinco al candidato de la elección local respectiva;</w:t>
            </w:r>
          </w:p>
          <w:p w14:paraId="01C5DA13"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lastRenderedPageBreak/>
              <w:t>k) En el caso en el que participe un candidato a Diputado Federal y un candidato relacionado con una campaña local; se distribuirá en un cincuenta por ciento, respectivamente, y</w:t>
            </w:r>
          </w:p>
          <w:p w14:paraId="1E4BC2A7"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l) En los casos de campaña federal, si se suman más de dos candidatos a Senadores o Diputados que coincidan en el mismo ámbito geográfico, el porcentaje se dividirá entre los que se involucren según la campaña que corresponda. Este mismo supuesto será aplicable al caso de las campañas locales.</w:t>
            </w:r>
          </w:p>
          <w:p w14:paraId="5B77398A"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3. Se entenderá que un gasto beneficia a un candidato cuando concurra alguno de los siguientes supuestos:</w:t>
            </w:r>
          </w:p>
          <w:p w14:paraId="07E74ECF"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a) Se mencione el nombre del candidato postulado por el partido o coalición;</w:t>
            </w:r>
          </w:p>
          <w:p w14:paraId="4FC70F59"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b) Se difunda la imagen del candidato, o</w:t>
            </w:r>
          </w:p>
          <w:p w14:paraId="22A4B35C" w14:textId="77777777" w:rsidR="00317A96" w:rsidRPr="00317A96"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c) Se promueva el voto a favor de dicha campaña de manera expresa.</w:t>
            </w:r>
          </w:p>
          <w:p w14:paraId="238184B9" w14:textId="77777777" w:rsidR="00005BE9" w:rsidRPr="00BE1200" w:rsidRDefault="00317A96" w:rsidP="00317A96">
            <w:pPr>
              <w:pStyle w:val="NormalWeb"/>
              <w:tabs>
                <w:tab w:val="left" w:pos="1515"/>
              </w:tabs>
              <w:jc w:val="both"/>
              <w:rPr>
                <w:rFonts w:ascii="Century Gothic" w:eastAsiaTheme="minorEastAsia" w:hAnsi="Century Gothic" w:cs="Century Gothic"/>
                <w:b/>
                <w:color w:val="000000"/>
              </w:rPr>
            </w:pPr>
            <w:r w:rsidRPr="00317A96">
              <w:rPr>
                <w:rFonts w:ascii="Century Gothic" w:eastAsiaTheme="minorEastAsia" w:hAnsi="Century Gothic" w:cs="Century Gothic"/>
                <w:b/>
                <w:color w:val="000000"/>
              </w:rPr>
              <w:t>4. El Reglamento de Fiscalización desarrollará las normas anteriores y establecerá las reglas para el registro contable y comprobación de los gastos a los que se refiere el presente artículo.</w:t>
            </w:r>
          </w:p>
        </w:tc>
      </w:tr>
      <w:tr w:rsidR="00005BE9" w:rsidRPr="000D3841" w14:paraId="01DBB8C8" w14:textId="77777777" w:rsidTr="00105609">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78867741" w14:textId="77777777" w:rsidR="00005BE9" w:rsidRPr="00BE1200" w:rsidRDefault="00EA2436" w:rsidP="00DA787D">
            <w:pPr>
              <w:jc w:val="center"/>
              <w:rPr>
                <w:rFonts w:ascii="Century Gothic" w:eastAsiaTheme="minorEastAsia" w:hAnsi="Century Gothic" w:cs="Century Gothic"/>
                <w:b/>
                <w:sz w:val="24"/>
                <w:szCs w:val="24"/>
              </w:rPr>
            </w:pPr>
            <w:r w:rsidRPr="00EA2436">
              <w:rPr>
                <w:rFonts w:ascii="Century Gothic" w:eastAsiaTheme="minorEastAsia" w:hAnsi="Century Gothic" w:cs="Century Gothic"/>
                <w:b/>
                <w:sz w:val="24"/>
                <w:szCs w:val="24"/>
              </w:rPr>
              <w:lastRenderedPageBreak/>
              <w:t>Artículo 84.</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5999F152" w14:textId="77777777" w:rsidR="00EA2436" w:rsidRPr="00EA2436" w:rsidRDefault="00EA2436" w:rsidP="00EA2436">
            <w:pPr>
              <w:pStyle w:val="NormalWeb"/>
              <w:tabs>
                <w:tab w:val="left" w:pos="1395"/>
              </w:tabs>
              <w:jc w:val="both"/>
              <w:rPr>
                <w:rFonts w:ascii="Century Gothic" w:eastAsiaTheme="minorEastAsia" w:hAnsi="Century Gothic" w:cs="Century Gothic"/>
                <w:b/>
                <w:color w:val="000000"/>
              </w:rPr>
            </w:pPr>
            <w:r w:rsidRPr="00EA2436">
              <w:rPr>
                <w:rFonts w:ascii="Century Gothic" w:eastAsiaTheme="minorEastAsia" w:hAnsi="Century Gothic" w:cs="Century Gothic"/>
                <w:b/>
                <w:color w:val="000000"/>
              </w:rPr>
              <w:t>1. El Consejero Presidente, los Consejeros Electorales y el Secretario Ejecutivo podrán solicitar en todo momento informes sobre los gastos ordinarios de los partidos políticos nacionales y locales a la Comisión de Fiscalización.</w:t>
            </w:r>
          </w:p>
          <w:p w14:paraId="01CBC89C" w14:textId="77777777" w:rsidR="00005BE9" w:rsidRPr="00BE1200" w:rsidRDefault="00EA2436" w:rsidP="00EA2436">
            <w:pPr>
              <w:pStyle w:val="NormalWeb"/>
              <w:tabs>
                <w:tab w:val="left" w:pos="1395"/>
              </w:tabs>
              <w:jc w:val="both"/>
              <w:rPr>
                <w:rFonts w:ascii="Century Gothic" w:eastAsiaTheme="minorEastAsia" w:hAnsi="Century Gothic" w:cs="Century Gothic"/>
                <w:b/>
                <w:color w:val="000000"/>
              </w:rPr>
            </w:pPr>
            <w:r w:rsidRPr="00EA2436">
              <w:rPr>
                <w:rFonts w:ascii="Century Gothic" w:eastAsiaTheme="minorEastAsia" w:hAnsi="Century Gothic" w:cs="Century Gothic"/>
                <w:b/>
                <w:color w:val="000000"/>
              </w:rPr>
              <w:t>2. En cuanto a los informes de precampaña y campaña, la Comisión de Fiscalización dará en sesión privada a los Consejeros Electorales un informe cada veinticinco días de los avances de las revisiones.</w:t>
            </w:r>
          </w:p>
        </w:tc>
      </w:tr>
      <w:tr w:rsidR="00005BE9" w:rsidRPr="000D3841" w14:paraId="427263F5" w14:textId="77777777" w:rsidTr="00F86401">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654C754C" w14:textId="77777777" w:rsidR="00005BE9" w:rsidRPr="00BE1200" w:rsidRDefault="00EE43BA" w:rsidP="00C64F1C">
            <w:pPr>
              <w:jc w:val="center"/>
              <w:rPr>
                <w:rFonts w:ascii="Century Gothic" w:eastAsiaTheme="minorEastAsia" w:hAnsi="Century Gothic" w:cs="Century Gothic"/>
                <w:b/>
                <w:sz w:val="24"/>
                <w:szCs w:val="24"/>
              </w:rPr>
            </w:pPr>
            <w:r w:rsidRPr="00EE43BA">
              <w:rPr>
                <w:rFonts w:ascii="Century Gothic" w:eastAsiaTheme="minorEastAsia" w:hAnsi="Century Gothic" w:cs="Century Gothic"/>
                <w:b/>
                <w:sz w:val="24"/>
                <w:szCs w:val="24"/>
              </w:rPr>
              <w:t>Artículo 96.</w:t>
            </w:r>
          </w:p>
        </w:tc>
        <w:tc>
          <w:tcPr>
            <w:tcW w:w="15276" w:type="dxa"/>
            <w:tcBorders>
              <w:top w:val="single" w:sz="4" w:space="0" w:color="BFBFBF"/>
              <w:left w:val="single" w:sz="4" w:space="0" w:color="BFBFBF"/>
              <w:bottom w:val="single" w:sz="4" w:space="0" w:color="BFBFBF"/>
              <w:right w:val="single" w:sz="4" w:space="0" w:color="BFBFBF"/>
            </w:tcBorders>
            <w:shd w:val="clear" w:color="auto" w:fill="7F7F7F" w:themeFill="text1" w:themeFillTint="80"/>
          </w:tcPr>
          <w:p w14:paraId="413CCEA1" w14:textId="77777777" w:rsidR="00EE43BA" w:rsidRPr="00EE43BA" w:rsidRDefault="00EE43BA" w:rsidP="00EE43BA">
            <w:pPr>
              <w:pStyle w:val="NormalWeb"/>
              <w:jc w:val="both"/>
              <w:rPr>
                <w:rFonts w:ascii="Century Gothic" w:eastAsiaTheme="minorEastAsia" w:hAnsi="Century Gothic" w:cs="Century Gothic"/>
                <w:b/>
                <w:color w:val="000000"/>
              </w:rPr>
            </w:pPr>
            <w:r w:rsidRPr="00EE43BA">
              <w:rPr>
                <w:rFonts w:ascii="Century Gothic" w:eastAsiaTheme="minorEastAsia" w:hAnsi="Century Gothic" w:cs="Century Gothic"/>
                <w:b/>
                <w:color w:val="000000"/>
              </w:rPr>
              <w:t>1. Al partido político que pierda su registro le será cancelado el mismo y perderá todos los derechos y prerrogativas que establece esta Ley o las leyes locales respectivas, según corresponda.</w:t>
            </w:r>
          </w:p>
          <w:p w14:paraId="54CFC982" w14:textId="77777777" w:rsidR="00005BE9" w:rsidRPr="00BE1200" w:rsidRDefault="00EE43BA" w:rsidP="00EE43BA">
            <w:pPr>
              <w:pStyle w:val="NormalWeb"/>
              <w:jc w:val="both"/>
              <w:rPr>
                <w:rFonts w:ascii="Century Gothic" w:eastAsiaTheme="minorEastAsia" w:hAnsi="Century Gothic" w:cs="Century Gothic"/>
                <w:b/>
                <w:color w:val="000000"/>
              </w:rPr>
            </w:pPr>
            <w:r w:rsidRPr="00EE43BA">
              <w:rPr>
                <w:rFonts w:ascii="Century Gothic" w:eastAsiaTheme="minorEastAsia" w:hAnsi="Century Gothic" w:cs="Century Gothic"/>
                <w:b/>
                <w:color w:val="000000"/>
              </w:rPr>
              <w:lastRenderedPageBreak/>
              <w:t>2. La cancelación o pérdida del registro extinguirá la personalidad jurídica del partido político, pero quienes hayan sido sus dirigentes y candidatos deberán cumplir las obligaciones que en materia de fiscalización establece esta Ley, hasta la conclusión de los procedimientos respectivos y de liquidación de su patrimonio.</w:t>
            </w:r>
          </w:p>
        </w:tc>
      </w:tr>
      <w:tr w:rsidR="009B51DE" w:rsidRPr="000D3841" w14:paraId="38A65265" w14:textId="77777777" w:rsidTr="009B51DE">
        <w:tblPrEx>
          <w:tblCellMar>
            <w:right w:w="57" w:type="dxa"/>
          </w:tblCellMar>
        </w:tblPrEx>
        <w:trPr>
          <w:gridAfter w:val="1"/>
          <w:wAfter w:w="356" w:type="dxa"/>
          <w:trHeight w:val="479"/>
        </w:trPr>
        <w:tc>
          <w:tcPr>
            <w:tcW w:w="2099"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39717EC7" w14:textId="77777777" w:rsidR="009B51DE" w:rsidRPr="00BE1200" w:rsidRDefault="00E91DAA" w:rsidP="00C64F1C">
            <w:pPr>
              <w:jc w:val="center"/>
              <w:rPr>
                <w:rFonts w:ascii="Century Gothic" w:eastAsiaTheme="minorEastAsia" w:hAnsi="Century Gothic" w:cs="Century Gothic"/>
                <w:b/>
                <w:sz w:val="24"/>
                <w:szCs w:val="24"/>
              </w:rPr>
            </w:pPr>
            <w:r w:rsidRPr="00E91DAA">
              <w:rPr>
                <w:rFonts w:ascii="Century Gothic" w:eastAsiaTheme="minorEastAsia" w:hAnsi="Century Gothic" w:cs="Century Gothic"/>
                <w:b/>
                <w:sz w:val="24"/>
                <w:szCs w:val="24"/>
              </w:rPr>
              <w:lastRenderedPageBreak/>
              <w:t>Artículo 97.</w:t>
            </w:r>
          </w:p>
        </w:tc>
        <w:tc>
          <w:tcPr>
            <w:tcW w:w="15276"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52196ACA" w14:textId="77777777" w:rsidR="00E91DAA" w:rsidRPr="00E91DAA" w:rsidRDefault="00E91DAA" w:rsidP="00E91DAA">
            <w:pPr>
              <w:pStyle w:val="NormalWeb"/>
              <w:tabs>
                <w:tab w:val="left" w:pos="1830"/>
              </w:tabs>
              <w:jc w:val="both"/>
              <w:rPr>
                <w:rFonts w:ascii="Century Gothic" w:eastAsiaTheme="minorEastAsia" w:hAnsi="Century Gothic" w:cs="Century Gothic"/>
                <w:b/>
                <w:color w:val="000000"/>
              </w:rPr>
            </w:pPr>
            <w:r w:rsidRPr="00E91DAA">
              <w:rPr>
                <w:rFonts w:ascii="Century Gothic" w:eastAsiaTheme="minorEastAsia" w:hAnsi="Century Gothic" w:cs="Century Gothic"/>
                <w:b/>
                <w:color w:val="000000"/>
              </w:rPr>
              <w:t>1. De conformidad a lo dispuesto por el último párrafo de la Base II del Artículo 41 de la Constitución, el Instituto dispondrá lo necesario para que sean adjudicados a la Federación los recursos y bienes remanentes de los partidos políticos nacionales que pierdan su registro legal; para tal efecto se estará a lo siguiente, y a lo que determine en reglas de carácter general el Consejo General del Instituto:</w:t>
            </w:r>
          </w:p>
          <w:p w14:paraId="42C76276" w14:textId="77777777" w:rsidR="00CF2247" w:rsidRDefault="00E91DAA" w:rsidP="00CF2247">
            <w:pPr>
              <w:pStyle w:val="NormalWeb"/>
              <w:tabs>
                <w:tab w:val="left" w:pos="1830"/>
              </w:tabs>
              <w:jc w:val="both"/>
              <w:rPr>
                <w:rFonts w:ascii="Century Gothic" w:eastAsiaTheme="minorEastAsia" w:hAnsi="Century Gothic" w:cs="Century Gothic"/>
                <w:b/>
                <w:color w:val="000000"/>
              </w:rPr>
            </w:pPr>
            <w:r w:rsidRPr="00E91DAA">
              <w:rPr>
                <w:rFonts w:ascii="Century Gothic" w:eastAsiaTheme="minorEastAsia" w:hAnsi="Century Gothic" w:cs="Century Gothic"/>
                <w:b/>
                <w:color w:val="000000"/>
              </w:rPr>
              <w:t>a) Si de los cómputos que realicen los consejos distritales del Instituto se desprende que un partido político nacional no obtiene el porcentaje mínimo de votos establecido en el inciso b) del párrafo 1 del artículo 94 de esta Ley, la Comisión de Fiscalización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esta Ley;</w:t>
            </w:r>
          </w:p>
          <w:p w14:paraId="3AEE271A" w14:textId="77777777" w:rsidR="00E91DAA" w:rsidRDefault="00E91DAA" w:rsidP="00CF2247">
            <w:pPr>
              <w:pStyle w:val="NormalWeb"/>
              <w:tabs>
                <w:tab w:val="left" w:pos="1830"/>
              </w:tabs>
              <w:jc w:val="both"/>
              <w:rPr>
                <w:rFonts w:ascii="Century Gothic" w:eastAsiaTheme="minorEastAsia" w:hAnsi="Century Gothic" w:cs="Century Gothic"/>
                <w:b/>
                <w:color w:val="000000"/>
              </w:rPr>
            </w:pPr>
            <w:r>
              <w:rPr>
                <w:rFonts w:ascii="Century Gothic" w:eastAsiaTheme="minorEastAsia" w:hAnsi="Century Gothic" w:cs="Century Gothic"/>
                <w:b/>
                <w:color w:val="000000"/>
              </w:rPr>
              <w:t>…</w:t>
            </w:r>
          </w:p>
          <w:p w14:paraId="2F7BBA49" w14:textId="761912AB" w:rsidR="00CF2247" w:rsidRPr="00BE1200" w:rsidRDefault="00CF2247" w:rsidP="00CF2247">
            <w:pPr>
              <w:pStyle w:val="NormalWeb"/>
              <w:tabs>
                <w:tab w:val="left" w:pos="1830"/>
              </w:tabs>
              <w:jc w:val="both"/>
              <w:rPr>
                <w:rFonts w:ascii="Century Gothic" w:eastAsiaTheme="minorEastAsia" w:hAnsi="Century Gothic" w:cs="Century Gothic"/>
                <w:b/>
                <w:color w:val="000000"/>
              </w:rPr>
            </w:pPr>
          </w:p>
        </w:tc>
      </w:tr>
    </w:tbl>
    <w:p w14:paraId="5FB3B84B" w14:textId="77777777" w:rsidR="004F35DF" w:rsidRPr="000D3841" w:rsidRDefault="004F35DF" w:rsidP="00F86401">
      <w:pPr>
        <w:spacing w:after="0"/>
        <w:jc w:val="both"/>
        <w:rPr>
          <w:rFonts w:ascii="Century Gothic" w:eastAsiaTheme="minorEastAsia" w:hAnsi="Century Gothic" w:cs="Century Gothic"/>
          <w:b/>
          <w:sz w:val="24"/>
          <w:szCs w:val="24"/>
        </w:rPr>
      </w:pPr>
    </w:p>
    <w:sectPr w:rsidR="004F35DF" w:rsidRPr="000D3841">
      <w:headerReference w:type="even" r:id="rId8"/>
      <w:headerReference w:type="default" r:id="rId9"/>
      <w:headerReference w:type="first" r:id="rId10"/>
      <w:pgSz w:w="20160" w:h="12240" w:orient="landscape"/>
      <w:pgMar w:top="1440" w:right="1440" w:bottom="6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74BF" w14:textId="77777777" w:rsidR="004C2A6A" w:rsidRDefault="004C2A6A">
      <w:pPr>
        <w:spacing w:after="0" w:line="240" w:lineRule="auto"/>
      </w:pPr>
      <w:r>
        <w:separator/>
      </w:r>
    </w:p>
  </w:endnote>
  <w:endnote w:type="continuationSeparator" w:id="0">
    <w:p w14:paraId="00B72D5F" w14:textId="77777777" w:rsidR="004C2A6A" w:rsidRDefault="004C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8A71" w14:textId="77777777" w:rsidR="004C2A6A" w:rsidRDefault="004C2A6A">
      <w:pPr>
        <w:spacing w:after="0" w:line="240" w:lineRule="auto"/>
      </w:pPr>
      <w:r>
        <w:separator/>
      </w:r>
    </w:p>
  </w:footnote>
  <w:footnote w:type="continuationSeparator" w:id="0">
    <w:p w14:paraId="1E2A26E9" w14:textId="77777777" w:rsidR="004C2A6A" w:rsidRDefault="004C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8C07" w14:textId="77777777" w:rsidR="004F35DF" w:rsidRDefault="00FA18E9">
    <w:pPr>
      <w:spacing w:after="95"/>
      <w:ind w:right="80"/>
      <w:jc w:val="right"/>
    </w:pPr>
    <w:r>
      <w:rPr>
        <w:rFonts w:ascii="Malgun Gothic" w:eastAsia="Malgun Gothic" w:hAnsi="Malgun Gothic" w:cs="Malgun Gothic"/>
        <w:b/>
        <w:sz w:val="10"/>
      </w:rPr>
      <w:t xml:space="preserve"> </w:t>
    </w:r>
  </w:p>
  <w:p w14:paraId="3C12B07A"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3408FA2F" w14:textId="77777777" w:rsidR="004F35DF" w:rsidRDefault="00FA18E9">
    <w:r>
      <w:rPr>
        <w:noProof/>
      </w:rPr>
      <mc:AlternateContent>
        <mc:Choice Requires="wpg">
          <w:drawing>
            <wp:anchor distT="0" distB="0" distL="114300" distR="114300" simplePos="0" relativeHeight="251658240" behindDoc="1" locked="0" layoutInCell="1" allowOverlap="1" wp14:anchorId="32C11EF6" wp14:editId="35CD95DD">
              <wp:simplePos x="0" y="0"/>
              <wp:positionH relativeFrom="page">
                <wp:posOffset>987552</wp:posOffset>
              </wp:positionH>
              <wp:positionV relativeFrom="page">
                <wp:posOffset>449580</wp:posOffset>
              </wp:positionV>
              <wp:extent cx="1162812" cy="1178052"/>
              <wp:effectExtent l="0" t="0" r="0" b="0"/>
              <wp:wrapNone/>
              <wp:docPr id="5341" name="Group 5341"/>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42" name="Picture 5342"/>
                        <pic:cNvPicPr/>
                      </pic:nvPicPr>
                      <pic:blipFill>
                        <a:blip r:embed="rId1"/>
                        <a:stretch>
                          <a:fillRect/>
                        </a:stretch>
                      </pic:blipFill>
                      <pic:spPr>
                        <a:xfrm>
                          <a:off x="0" y="0"/>
                          <a:ext cx="1162812" cy="1178052"/>
                        </a:xfrm>
                        <a:prstGeom prst="rect">
                          <a:avLst/>
                        </a:prstGeom>
                      </pic:spPr>
                    </pic:pic>
                  </wpg:wgp>
                </a:graphicData>
              </a:graphic>
            </wp:anchor>
          </w:drawing>
        </mc:Choice>
        <mc:Fallback>
          <w:pict>
            <v:group w14:anchorId="1469960F" id="Group 5341" o:spid="_x0000_s1026" style="position:absolute;margin-left:77.75pt;margin-top:35.4pt;width:91.55pt;height:92.75pt;z-index:-251658240;mso-position-horizontal-relative:page;mso-position-vertical-relative:page" coordsize="11628,11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2" o:spid="_x0000_s1027" type="#_x0000_t75" style="position:absolute;width:11628;height:1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2A74" w14:textId="7BD4853E" w:rsidR="00501DEE" w:rsidRDefault="00FA18E9" w:rsidP="005A09CA">
    <w:pPr>
      <w:spacing w:after="95"/>
      <w:ind w:right="80"/>
      <w:jc w:val="right"/>
      <w:rPr>
        <w:rFonts w:ascii="Arial" w:eastAsia="Arial" w:hAnsi="Arial" w:cs="Arial"/>
        <w:b/>
        <w:i/>
      </w:rPr>
    </w:pPr>
    <w:r>
      <w:rPr>
        <w:rFonts w:ascii="Malgun Gothic" w:eastAsia="Malgun Gothic" w:hAnsi="Malgun Gothic" w:cs="Malgun Gothic"/>
        <w:b/>
        <w:sz w:val="10"/>
      </w:rPr>
      <w:t xml:space="preserve"> </w:t>
    </w:r>
  </w:p>
  <w:p w14:paraId="1A84D4C1" w14:textId="77777777" w:rsidR="005A09CA" w:rsidRPr="00F53F14" w:rsidRDefault="005A09CA" w:rsidP="005A09CA">
    <w:pPr>
      <w:jc w:val="right"/>
      <w:rPr>
        <w:rFonts w:ascii="Arial" w:hAnsi="Arial" w:cs="Arial"/>
        <w:b/>
        <w:sz w:val="28"/>
        <w:szCs w:val="28"/>
      </w:rPr>
    </w:pPr>
    <w:r w:rsidRPr="00F53F14">
      <w:rPr>
        <w:rFonts w:ascii="Arial" w:hAnsi="Arial" w:cs="Arial"/>
        <w:b/>
        <w:noProof/>
        <w:sz w:val="28"/>
        <w:szCs w:val="28"/>
      </w:rPr>
      <w:drawing>
        <wp:anchor distT="0" distB="0" distL="114300" distR="114300" simplePos="0" relativeHeight="251662336" behindDoc="0" locked="0" layoutInCell="1" allowOverlap="1" wp14:anchorId="75B171CD" wp14:editId="3367B02C">
          <wp:simplePos x="0" y="0"/>
          <wp:positionH relativeFrom="margin">
            <wp:posOffset>400050</wp:posOffset>
          </wp:positionH>
          <wp:positionV relativeFrom="paragraph">
            <wp:posOffset>0</wp:posOffset>
          </wp:positionV>
          <wp:extent cx="1276350" cy="11072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bolo.jpg"/>
                  <pic:cNvPicPr/>
                </pic:nvPicPr>
                <pic:blipFill>
                  <a:blip r:embed="rId1">
                    <a:extLst>
                      <a:ext uri="{28A0092B-C50C-407E-A947-70E740481C1C}">
                        <a14:useLocalDpi xmlns:a14="http://schemas.microsoft.com/office/drawing/2010/main" val="0"/>
                      </a:ext>
                    </a:extLst>
                  </a:blip>
                  <a:stretch>
                    <a:fillRect/>
                  </a:stretch>
                </pic:blipFill>
                <pic:spPr>
                  <a:xfrm>
                    <a:off x="0" y="0"/>
                    <a:ext cx="1278390" cy="1109014"/>
                  </a:xfrm>
                  <a:prstGeom prst="rect">
                    <a:avLst/>
                  </a:prstGeom>
                </pic:spPr>
              </pic:pic>
            </a:graphicData>
          </a:graphic>
          <wp14:sizeRelH relativeFrom="margin">
            <wp14:pctWidth>0</wp14:pctWidth>
          </wp14:sizeRelH>
          <wp14:sizeRelV relativeFrom="margin">
            <wp14:pctHeight>0</wp14:pctHeight>
          </wp14:sizeRelV>
        </wp:anchor>
      </w:drawing>
    </w:r>
  </w:p>
  <w:p w14:paraId="74E2A90E" w14:textId="77777777" w:rsidR="005A09CA" w:rsidRPr="00F53F14" w:rsidRDefault="005A09CA" w:rsidP="005A09CA">
    <w:pPr>
      <w:pStyle w:val="Encabezado"/>
      <w:tabs>
        <w:tab w:val="clear" w:pos="4419"/>
        <w:tab w:val="clear" w:pos="8838"/>
        <w:tab w:val="left" w:pos="5790"/>
      </w:tabs>
      <w:jc w:val="right"/>
      <w:rPr>
        <w:rFonts w:ascii="Arial" w:hAnsi="Arial" w:cs="Arial"/>
        <w:b/>
        <w:sz w:val="28"/>
        <w:szCs w:val="24"/>
      </w:rPr>
    </w:pPr>
    <w:r>
      <w:rPr>
        <w:rFonts w:ascii="Arial" w:hAnsi="Arial" w:cs="Arial"/>
        <w:b/>
        <w:sz w:val="28"/>
        <w:szCs w:val="24"/>
      </w:rPr>
      <w:t>Dirección G</w:t>
    </w:r>
    <w:r w:rsidRPr="00F53F14">
      <w:rPr>
        <w:rFonts w:ascii="Arial" w:hAnsi="Arial" w:cs="Arial"/>
        <w:b/>
        <w:sz w:val="28"/>
        <w:szCs w:val="24"/>
      </w:rPr>
      <w:t>eneral de Jurisprudencia, Seguimiento y Consulta</w:t>
    </w:r>
  </w:p>
  <w:p w14:paraId="367C8016" w14:textId="77777777" w:rsidR="005A09CA" w:rsidRDefault="005A09CA" w:rsidP="005A09CA">
    <w:pPr>
      <w:jc w:val="right"/>
      <w:rPr>
        <w:rFonts w:ascii="Arial" w:hAnsi="Arial" w:cs="Arial"/>
        <w:i/>
        <w:sz w:val="28"/>
        <w:szCs w:val="28"/>
      </w:rPr>
    </w:pPr>
  </w:p>
  <w:p w14:paraId="614AAB86" w14:textId="77777777" w:rsidR="005A09CA" w:rsidRDefault="005A09CA" w:rsidP="005A09CA">
    <w:pPr>
      <w:jc w:val="right"/>
      <w:rPr>
        <w:rFonts w:ascii="Arial" w:hAnsi="Arial" w:cs="Arial"/>
        <w:i/>
        <w:sz w:val="28"/>
        <w:szCs w:val="28"/>
      </w:rPr>
    </w:pPr>
  </w:p>
  <w:p w14:paraId="08A3243A" w14:textId="77777777" w:rsidR="005A09CA" w:rsidRPr="00F53F14" w:rsidRDefault="005A09CA" w:rsidP="005A09CA">
    <w:pPr>
      <w:jc w:val="right"/>
      <w:rPr>
        <w:rFonts w:ascii="Arial" w:hAnsi="Arial" w:cs="Arial"/>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B6E3" w14:textId="77777777" w:rsidR="004F35DF" w:rsidRDefault="00FA18E9">
    <w:pPr>
      <w:spacing w:after="95"/>
      <w:ind w:right="80"/>
      <w:jc w:val="right"/>
    </w:pPr>
    <w:r>
      <w:rPr>
        <w:rFonts w:ascii="Malgun Gothic" w:eastAsia="Malgun Gothic" w:hAnsi="Malgun Gothic" w:cs="Malgun Gothic"/>
        <w:b/>
        <w:sz w:val="10"/>
      </w:rPr>
      <w:t xml:space="preserve"> </w:t>
    </w:r>
  </w:p>
  <w:p w14:paraId="082E2020" w14:textId="77777777" w:rsidR="004F35DF" w:rsidRDefault="00FA18E9">
    <w:pPr>
      <w:spacing w:after="0"/>
      <w:ind w:right="115"/>
      <w:jc w:val="right"/>
    </w:pPr>
    <w:r>
      <w:rPr>
        <w:rFonts w:ascii="Arial" w:eastAsia="Arial" w:hAnsi="Arial" w:cs="Arial"/>
        <w:b/>
        <w:i/>
      </w:rPr>
      <w:t>C</w:t>
    </w:r>
    <w:r>
      <w:rPr>
        <w:rFonts w:ascii="Arial" w:eastAsia="Arial" w:hAnsi="Arial" w:cs="Arial"/>
        <w:b/>
        <w:i/>
        <w:sz w:val="18"/>
      </w:rPr>
      <w:t xml:space="preserve">OORDINACIÓN 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r>
      <w:rPr>
        <w:rFonts w:ascii="Arial" w:eastAsia="Arial" w:hAnsi="Arial" w:cs="Arial"/>
        <w:b/>
        <w:i/>
      </w:rPr>
      <w:t xml:space="preserve"> </w:t>
    </w:r>
  </w:p>
  <w:p w14:paraId="6C931043" w14:textId="77777777" w:rsidR="004F35DF" w:rsidRDefault="00FA18E9">
    <w:r>
      <w:rPr>
        <w:noProof/>
      </w:rPr>
      <mc:AlternateContent>
        <mc:Choice Requires="wpg">
          <w:drawing>
            <wp:anchor distT="0" distB="0" distL="114300" distR="114300" simplePos="0" relativeHeight="251660288" behindDoc="1" locked="0" layoutInCell="1" allowOverlap="1" wp14:anchorId="517B01C3" wp14:editId="76FF87F4">
              <wp:simplePos x="0" y="0"/>
              <wp:positionH relativeFrom="page">
                <wp:posOffset>987552</wp:posOffset>
              </wp:positionH>
              <wp:positionV relativeFrom="page">
                <wp:posOffset>449580</wp:posOffset>
              </wp:positionV>
              <wp:extent cx="1162812" cy="1178052"/>
              <wp:effectExtent l="0" t="0" r="0" b="0"/>
              <wp:wrapNone/>
              <wp:docPr id="5303" name="Group 5303"/>
              <wp:cNvGraphicFramePr/>
              <a:graphic xmlns:a="http://schemas.openxmlformats.org/drawingml/2006/main">
                <a:graphicData uri="http://schemas.microsoft.com/office/word/2010/wordprocessingGroup">
                  <wpg:wgp>
                    <wpg:cNvGrpSpPr/>
                    <wpg:grpSpPr>
                      <a:xfrm>
                        <a:off x="0" y="0"/>
                        <a:ext cx="1162812" cy="1178052"/>
                        <a:chOff x="0" y="0"/>
                        <a:chExt cx="1162812" cy="1178052"/>
                      </a:xfrm>
                    </wpg:grpSpPr>
                    <pic:pic xmlns:pic="http://schemas.openxmlformats.org/drawingml/2006/picture">
                      <pic:nvPicPr>
                        <pic:cNvPr id="5304" name="Picture 5304"/>
                        <pic:cNvPicPr/>
                      </pic:nvPicPr>
                      <pic:blipFill>
                        <a:blip r:embed="rId1"/>
                        <a:stretch>
                          <a:fillRect/>
                        </a:stretch>
                      </pic:blipFill>
                      <pic:spPr>
                        <a:xfrm>
                          <a:off x="0" y="0"/>
                          <a:ext cx="1162812" cy="1178052"/>
                        </a:xfrm>
                        <a:prstGeom prst="rect">
                          <a:avLst/>
                        </a:prstGeom>
                      </pic:spPr>
                    </pic:pic>
                  </wpg:wgp>
                </a:graphicData>
              </a:graphic>
            </wp:anchor>
          </w:drawing>
        </mc:Choice>
        <mc:Fallback>
          <w:pict>
            <v:group w14:anchorId="2765A6E0" id="Group 5303" o:spid="_x0000_s1026" style="position:absolute;margin-left:77.75pt;margin-top:35.4pt;width:91.55pt;height:92.75pt;z-index:-251656192;mso-position-horizontal-relative:page;mso-position-vertical-relative:page" coordsize="11628,11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4" o:spid="_x0000_s1027" type="#_x0000_t75" style="position:absolute;width:11628;height:1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5B"/>
    <w:multiLevelType w:val="hybridMultilevel"/>
    <w:tmpl w:val="15BC2004"/>
    <w:lvl w:ilvl="0" w:tplc="8508EE76">
      <w:start w:val="3"/>
      <w:numFmt w:val="upperRoman"/>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362B00">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2F09B26">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5D87364">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39A83EA">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1225AD6">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3A8ED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0646FEE">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9A1FB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856658"/>
    <w:multiLevelType w:val="hybridMultilevel"/>
    <w:tmpl w:val="2D22F3CA"/>
    <w:lvl w:ilvl="0" w:tplc="17E637EC">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B04A1DE">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49A8004">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1F67ED2">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7F7C">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B1013B2">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8EA7E60">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41875EA">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8C8BD4A">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8D1298"/>
    <w:multiLevelType w:val="hybridMultilevel"/>
    <w:tmpl w:val="2F9CFD2A"/>
    <w:lvl w:ilvl="0" w:tplc="CBB6B01E">
      <w:start w:val="1"/>
      <w:numFmt w:val="decimal"/>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A6F656">
      <w:start w:val="1"/>
      <w:numFmt w:val="lowerLetter"/>
      <w:lvlText w:val="%2"/>
      <w:lvlJc w:val="left"/>
      <w:pPr>
        <w:ind w:left="11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5BC650A">
      <w:start w:val="1"/>
      <w:numFmt w:val="lowerRoman"/>
      <w:lvlText w:val="%3"/>
      <w:lvlJc w:val="left"/>
      <w:pPr>
        <w:ind w:left="19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0B6EF66">
      <w:start w:val="1"/>
      <w:numFmt w:val="decimal"/>
      <w:lvlText w:val="%4"/>
      <w:lvlJc w:val="left"/>
      <w:pPr>
        <w:ind w:left="26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C881838">
      <w:start w:val="1"/>
      <w:numFmt w:val="lowerLetter"/>
      <w:lvlText w:val="%5"/>
      <w:lvlJc w:val="left"/>
      <w:pPr>
        <w:ind w:left="33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10286EE">
      <w:start w:val="1"/>
      <w:numFmt w:val="lowerRoman"/>
      <w:lvlText w:val="%6"/>
      <w:lvlJc w:val="left"/>
      <w:pPr>
        <w:ind w:left="40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8C8E80A">
      <w:start w:val="1"/>
      <w:numFmt w:val="decimal"/>
      <w:lvlText w:val="%7"/>
      <w:lvlJc w:val="left"/>
      <w:pPr>
        <w:ind w:left="4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CCB84C">
      <w:start w:val="1"/>
      <w:numFmt w:val="lowerLetter"/>
      <w:lvlText w:val="%8"/>
      <w:lvlJc w:val="left"/>
      <w:pPr>
        <w:ind w:left="5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EC25470">
      <w:start w:val="1"/>
      <w:numFmt w:val="lowerRoman"/>
      <w:lvlText w:val="%9"/>
      <w:lvlJc w:val="left"/>
      <w:pPr>
        <w:ind w:left="6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137672"/>
    <w:multiLevelType w:val="hybridMultilevel"/>
    <w:tmpl w:val="B5B8F5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DF23122"/>
    <w:multiLevelType w:val="hybridMultilevel"/>
    <w:tmpl w:val="29E48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3239273">
    <w:abstractNumId w:val="1"/>
  </w:num>
  <w:num w:numId="2" w16cid:durableId="601257871">
    <w:abstractNumId w:val="0"/>
  </w:num>
  <w:num w:numId="3" w16cid:durableId="1611276452">
    <w:abstractNumId w:val="2"/>
  </w:num>
  <w:num w:numId="4" w16cid:durableId="985164838">
    <w:abstractNumId w:val="4"/>
  </w:num>
  <w:num w:numId="5" w16cid:durableId="881095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DF"/>
    <w:rsid w:val="00005BE9"/>
    <w:rsid w:val="00052C0F"/>
    <w:rsid w:val="00056011"/>
    <w:rsid w:val="00063301"/>
    <w:rsid w:val="00073212"/>
    <w:rsid w:val="000D3841"/>
    <w:rsid w:val="000E4F94"/>
    <w:rsid w:val="00103009"/>
    <w:rsid w:val="00104A02"/>
    <w:rsid w:val="00105609"/>
    <w:rsid w:val="0010728E"/>
    <w:rsid w:val="00136A1A"/>
    <w:rsid w:val="00155697"/>
    <w:rsid w:val="001965E0"/>
    <w:rsid w:val="001B0753"/>
    <w:rsid w:val="001E716A"/>
    <w:rsid w:val="001E7EB6"/>
    <w:rsid w:val="001F406A"/>
    <w:rsid w:val="00225E7E"/>
    <w:rsid w:val="00247584"/>
    <w:rsid w:val="00296B76"/>
    <w:rsid w:val="002C457C"/>
    <w:rsid w:val="002D649F"/>
    <w:rsid w:val="00300E34"/>
    <w:rsid w:val="00317A96"/>
    <w:rsid w:val="00323C0B"/>
    <w:rsid w:val="003370F8"/>
    <w:rsid w:val="003464E8"/>
    <w:rsid w:val="00351A29"/>
    <w:rsid w:val="00365A70"/>
    <w:rsid w:val="00377A99"/>
    <w:rsid w:val="003A5E89"/>
    <w:rsid w:val="003B029D"/>
    <w:rsid w:val="003F462C"/>
    <w:rsid w:val="004100F5"/>
    <w:rsid w:val="004435C4"/>
    <w:rsid w:val="004479D3"/>
    <w:rsid w:val="00452C62"/>
    <w:rsid w:val="00471A98"/>
    <w:rsid w:val="004A6A73"/>
    <w:rsid w:val="004B3288"/>
    <w:rsid w:val="004C2A6A"/>
    <w:rsid w:val="004D2EE7"/>
    <w:rsid w:val="004F35DF"/>
    <w:rsid w:val="00501DEE"/>
    <w:rsid w:val="005023E6"/>
    <w:rsid w:val="005118F5"/>
    <w:rsid w:val="00511E81"/>
    <w:rsid w:val="00530597"/>
    <w:rsid w:val="005352DD"/>
    <w:rsid w:val="00560850"/>
    <w:rsid w:val="005662E8"/>
    <w:rsid w:val="005A09CA"/>
    <w:rsid w:val="005A4A6E"/>
    <w:rsid w:val="005A60E3"/>
    <w:rsid w:val="005B664E"/>
    <w:rsid w:val="005B6688"/>
    <w:rsid w:val="005C67CE"/>
    <w:rsid w:val="006404D9"/>
    <w:rsid w:val="00654522"/>
    <w:rsid w:val="006803F2"/>
    <w:rsid w:val="00694A7B"/>
    <w:rsid w:val="006B2291"/>
    <w:rsid w:val="006B3317"/>
    <w:rsid w:val="006E40F3"/>
    <w:rsid w:val="006F5AA4"/>
    <w:rsid w:val="0075406E"/>
    <w:rsid w:val="007828AA"/>
    <w:rsid w:val="007833E6"/>
    <w:rsid w:val="00784C81"/>
    <w:rsid w:val="007C2455"/>
    <w:rsid w:val="007C2E4C"/>
    <w:rsid w:val="007D1938"/>
    <w:rsid w:val="007D3275"/>
    <w:rsid w:val="007D629B"/>
    <w:rsid w:val="007D6F67"/>
    <w:rsid w:val="007E3358"/>
    <w:rsid w:val="00830E0C"/>
    <w:rsid w:val="00896685"/>
    <w:rsid w:val="008A612D"/>
    <w:rsid w:val="008B331E"/>
    <w:rsid w:val="008B47FB"/>
    <w:rsid w:val="008B4ACD"/>
    <w:rsid w:val="00907107"/>
    <w:rsid w:val="0091353C"/>
    <w:rsid w:val="00926D01"/>
    <w:rsid w:val="0093473E"/>
    <w:rsid w:val="00954131"/>
    <w:rsid w:val="00954269"/>
    <w:rsid w:val="0096209B"/>
    <w:rsid w:val="0097674E"/>
    <w:rsid w:val="009A0010"/>
    <w:rsid w:val="009B30E1"/>
    <w:rsid w:val="009B3450"/>
    <w:rsid w:val="009B51DE"/>
    <w:rsid w:val="009C5309"/>
    <w:rsid w:val="009D3F24"/>
    <w:rsid w:val="00A37F48"/>
    <w:rsid w:val="00A461A4"/>
    <w:rsid w:val="00A86538"/>
    <w:rsid w:val="00AB2A4E"/>
    <w:rsid w:val="00AD3DDC"/>
    <w:rsid w:val="00B06A40"/>
    <w:rsid w:val="00B078C6"/>
    <w:rsid w:val="00B1020A"/>
    <w:rsid w:val="00B47575"/>
    <w:rsid w:val="00B82BAE"/>
    <w:rsid w:val="00B87487"/>
    <w:rsid w:val="00BE09F8"/>
    <w:rsid w:val="00BE1200"/>
    <w:rsid w:val="00BE182D"/>
    <w:rsid w:val="00C1031C"/>
    <w:rsid w:val="00C1122B"/>
    <w:rsid w:val="00C26013"/>
    <w:rsid w:val="00C45D5E"/>
    <w:rsid w:val="00C54E92"/>
    <w:rsid w:val="00C64F1C"/>
    <w:rsid w:val="00C655C5"/>
    <w:rsid w:val="00C70BE5"/>
    <w:rsid w:val="00C83DDC"/>
    <w:rsid w:val="00C97D76"/>
    <w:rsid w:val="00CA4D8F"/>
    <w:rsid w:val="00CD1722"/>
    <w:rsid w:val="00CE37AB"/>
    <w:rsid w:val="00CE6584"/>
    <w:rsid w:val="00CF2247"/>
    <w:rsid w:val="00CF7B6C"/>
    <w:rsid w:val="00D01508"/>
    <w:rsid w:val="00D049C6"/>
    <w:rsid w:val="00DA787D"/>
    <w:rsid w:val="00DC6090"/>
    <w:rsid w:val="00E144CB"/>
    <w:rsid w:val="00E334C9"/>
    <w:rsid w:val="00E52EE0"/>
    <w:rsid w:val="00E778BF"/>
    <w:rsid w:val="00E77FBA"/>
    <w:rsid w:val="00E878D4"/>
    <w:rsid w:val="00E91DAA"/>
    <w:rsid w:val="00EA2436"/>
    <w:rsid w:val="00ED28D9"/>
    <w:rsid w:val="00EE43BA"/>
    <w:rsid w:val="00F07BBB"/>
    <w:rsid w:val="00F16EDF"/>
    <w:rsid w:val="00F20F0A"/>
    <w:rsid w:val="00F56439"/>
    <w:rsid w:val="00F67478"/>
    <w:rsid w:val="00F86401"/>
    <w:rsid w:val="00F869E4"/>
    <w:rsid w:val="00F90AC5"/>
    <w:rsid w:val="00FA18E9"/>
    <w:rsid w:val="00FB6E06"/>
    <w:rsid w:val="00FE0B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B738"/>
  <w15:docId w15:val="{FE05B40C-7C4B-4514-8C01-0A239BE2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92"/>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C45D5E"/>
    <w:rPr>
      <w:color w:val="0563C1" w:themeColor="hyperlink"/>
      <w:u w:val="single"/>
    </w:rPr>
  </w:style>
  <w:style w:type="character" w:styleId="Hipervnculovisitado">
    <w:name w:val="FollowedHyperlink"/>
    <w:basedOn w:val="Fuentedeprrafopredeter"/>
    <w:uiPriority w:val="99"/>
    <w:semiHidden/>
    <w:unhideWhenUsed/>
    <w:rsid w:val="00C45D5E"/>
    <w:rPr>
      <w:color w:val="954F72" w:themeColor="followedHyperlink"/>
      <w:u w:val="single"/>
    </w:rPr>
  </w:style>
  <w:style w:type="paragraph" w:styleId="Prrafodelista">
    <w:name w:val="List Paragraph"/>
    <w:basedOn w:val="Normal"/>
    <w:uiPriority w:val="34"/>
    <w:qFormat/>
    <w:rsid w:val="00896685"/>
    <w:pPr>
      <w:ind w:left="720"/>
      <w:contextualSpacing/>
    </w:pPr>
  </w:style>
  <w:style w:type="paragraph" w:styleId="Piedepgina">
    <w:name w:val="footer"/>
    <w:basedOn w:val="Normal"/>
    <w:link w:val="PiedepginaCar"/>
    <w:uiPriority w:val="99"/>
    <w:unhideWhenUsed/>
    <w:rsid w:val="00501D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DEE"/>
    <w:rPr>
      <w:rFonts w:ascii="Calibri" w:eastAsia="Calibri" w:hAnsi="Calibri" w:cs="Calibri"/>
      <w:color w:val="000000"/>
    </w:rPr>
  </w:style>
  <w:style w:type="character" w:styleId="Mencinsinresolver">
    <w:name w:val="Unresolved Mention"/>
    <w:basedOn w:val="Fuentedeprrafopredeter"/>
    <w:uiPriority w:val="99"/>
    <w:semiHidden/>
    <w:unhideWhenUsed/>
    <w:rsid w:val="00BE09F8"/>
    <w:rPr>
      <w:color w:val="605E5C"/>
      <w:shd w:val="clear" w:color="auto" w:fill="E1DFDD"/>
    </w:rPr>
  </w:style>
  <w:style w:type="paragraph" w:customStyle="1" w:styleId="Default">
    <w:name w:val="Default"/>
    <w:rsid w:val="00560850"/>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stilo">
    <w:name w:val="Estilo"/>
    <w:basedOn w:val="Sinespaciado"/>
    <w:link w:val="EstiloCar"/>
    <w:qFormat/>
    <w:rsid w:val="00452C62"/>
    <w:pPr>
      <w:jc w:val="both"/>
    </w:pPr>
    <w:rPr>
      <w:rFonts w:ascii="Arial" w:eastAsiaTheme="minorHAnsi" w:hAnsi="Arial" w:cstheme="minorBidi"/>
      <w:color w:val="auto"/>
      <w:sz w:val="24"/>
      <w:lang w:eastAsia="en-US"/>
    </w:rPr>
  </w:style>
  <w:style w:type="character" w:customStyle="1" w:styleId="EstiloCar">
    <w:name w:val="Estilo Car"/>
    <w:basedOn w:val="Fuentedeprrafopredeter"/>
    <w:link w:val="Estilo"/>
    <w:rsid w:val="00452C62"/>
    <w:rPr>
      <w:rFonts w:ascii="Arial" w:eastAsiaTheme="minorHAnsi" w:hAnsi="Arial"/>
      <w:sz w:val="24"/>
      <w:lang w:eastAsia="en-US"/>
    </w:rPr>
  </w:style>
  <w:style w:type="paragraph" w:styleId="Sinespaciado">
    <w:name w:val="No Spacing"/>
    <w:uiPriority w:val="1"/>
    <w:qFormat/>
    <w:rsid w:val="00452C62"/>
    <w:pPr>
      <w:spacing w:after="0" w:line="240" w:lineRule="auto"/>
    </w:pPr>
    <w:rPr>
      <w:rFonts w:ascii="Calibri" w:eastAsia="Calibri" w:hAnsi="Calibri" w:cs="Calibri"/>
      <w:color w:val="000000"/>
    </w:rPr>
  </w:style>
  <w:style w:type="paragraph" w:styleId="NormalWeb">
    <w:name w:val="Normal (Web)"/>
    <w:basedOn w:val="Normal"/>
    <w:uiPriority w:val="99"/>
    <w:unhideWhenUsed/>
    <w:rsid w:val="000D384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unhideWhenUsed/>
    <w:rsid w:val="005A09CA"/>
    <w:pPr>
      <w:widowControl w:val="0"/>
      <w:tabs>
        <w:tab w:val="center" w:pos="4419"/>
        <w:tab w:val="right" w:pos="8838"/>
      </w:tabs>
      <w:autoSpaceDE w:val="0"/>
      <w:autoSpaceDN w:val="0"/>
      <w:spacing w:after="0" w:line="240" w:lineRule="auto"/>
    </w:pPr>
    <w:rPr>
      <w:rFonts w:ascii="Univers" w:eastAsia="Univers" w:hAnsi="Univers" w:cs="Univers"/>
      <w:color w:val="auto"/>
      <w:lang w:val="en-US" w:eastAsia="en-US"/>
    </w:rPr>
  </w:style>
  <w:style w:type="character" w:customStyle="1" w:styleId="EncabezadoCar">
    <w:name w:val="Encabezado Car"/>
    <w:basedOn w:val="Fuentedeprrafopredeter"/>
    <w:link w:val="Encabezado"/>
    <w:uiPriority w:val="99"/>
    <w:rsid w:val="005A09CA"/>
    <w:rPr>
      <w:rFonts w:ascii="Univers" w:eastAsia="Univers" w:hAnsi="Univers" w:cs="Univer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2647">
      <w:bodyDiv w:val="1"/>
      <w:marLeft w:val="0"/>
      <w:marRight w:val="0"/>
      <w:marTop w:val="0"/>
      <w:marBottom w:val="0"/>
      <w:divBdr>
        <w:top w:val="none" w:sz="0" w:space="0" w:color="auto"/>
        <w:left w:val="none" w:sz="0" w:space="0" w:color="auto"/>
        <w:bottom w:val="none" w:sz="0" w:space="0" w:color="auto"/>
        <w:right w:val="none" w:sz="0" w:space="0" w:color="auto"/>
      </w:divBdr>
    </w:div>
    <w:div w:id="117144280">
      <w:bodyDiv w:val="1"/>
      <w:marLeft w:val="0"/>
      <w:marRight w:val="0"/>
      <w:marTop w:val="0"/>
      <w:marBottom w:val="0"/>
      <w:divBdr>
        <w:top w:val="none" w:sz="0" w:space="0" w:color="auto"/>
        <w:left w:val="none" w:sz="0" w:space="0" w:color="auto"/>
        <w:bottom w:val="none" w:sz="0" w:space="0" w:color="auto"/>
        <w:right w:val="none" w:sz="0" w:space="0" w:color="auto"/>
      </w:divBdr>
    </w:div>
    <w:div w:id="160241338">
      <w:bodyDiv w:val="1"/>
      <w:marLeft w:val="0"/>
      <w:marRight w:val="0"/>
      <w:marTop w:val="0"/>
      <w:marBottom w:val="0"/>
      <w:divBdr>
        <w:top w:val="none" w:sz="0" w:space="0" w:color="auto"/>
        <w:left w:val="none" w:sz="0" w:space="0" w:color="auto"/>
        <w:bottom w:val="none" w:sz="0" w:space="0" w:color="auto"/>
        <w:right w:val="none" w:sz="0" w:space="0" w:color="auto"/>
      </w:divBdr>
    </w:div>
    <w:div w:id="207576314">
      <w:bodyDiv w:val="1"/>
      <w:marLeft w:val="0"/>
      <w:marRight w:val="0"/>
      <w:marTop w:val="0"/>
      <w:marBottom w:val="0"/>
      <w:divBdr>
        <w:top w:val="none" w:sz="0" w:space="0" w:color="auto"/>
        <w:left w:val="none" w:sz="0" w:space="0" w:color="auto"/>
        <w:bottom w:val="none" w:sz="0" w:space="0" w:color="auto"/>
        <w:right w:val="none" w:sz="0" w:space="0" w:color="auto"/>
      </w:divBdr>
    </w:div>
    <w:div w:id="221403482">
      <w:bodyDiv w:val="1"/>
      <w:marLeft w:val="0"/>
      <w:marRight w:val="0"/>
      <w:marTop w:val="0"/>
      <w:marBottom w:val="0"/>
      <w:divBdr>
        <w:top w:val="none" w:sz="0" w:space="0" w:color="auto"/>
        <w:left w:val="none" w:sz="0" w:space="0" w:color="auto"/>
        <w:bottom w:val="none" w:sz="0" w:space="0" w:color="auto"/>
        <w:right w:val="none" w:sz="0" w:space="0" w:color="auto"/>
      </w:divBdr>
    </w:div>
    <w:div w:id="223611800">
      <w:bodyDiv w:val="1"/>
      <w:marLeft w:val="0"/>
      <w:marRight w:val="0"/>
      <w:marTop w:val="0"/>
      <w:marBottom w:val="0"/>
      <w:divBdr>
        <w:top w:val="none" w:sz="0" w:space="0" w:color="auto"/>
        <w:left w:val="none" w:sz="0" w:space="0" w:color="auto"/>
        <w:bottom w:val="none" w:sz="0" w:space="0" w:color="auto"/>
        <w:right w:val="none" w:sz="0" w:space="0" w:color="auto"/>
      </w:divBdr>
    </w:div>
    <w:div w:id="225997128">
      <w:bodyDiv w:val="1"/>
      <w:marLeft w:val="0"/>
      <w:marRight w:val="0"/>
      <w:marTop w:val="0"/>
      <w:marBottom w:val="0"/>
      <w:divBdr>
        <w:top w:val="none" w:sz="0" w:space="0" w:color="auto"/>
        <w:left w:val="none" w:sz="0" w:space="0" w:color="auto"/>
        <w:bottom w:val="none" w:sz="0" w:space="0" w:color="auto"/>
        <w:right w:val="none" w:sz="0" w:space="0" w:color="auto"/>
      </w:divBdr>
    </w:div>
    <w:div w:id="278413456">
      <w:bodyDiv w:val="1"/>
      <w:marLeft w:val="0"/>
      <w:marRight w:val="0"/>
      <w:marTop w:val="0"/>
      <w:marBottom w:val="0"/>
      <w:divBdr>
        <w:top w:val="none" w:sz="0" w:space="0" w:color="auto"/>
        <w:left w:val="none" w:sz="0" w:space="0" w:color="auto"/>
        <w:bottom w:val="none" w:sz="0" w:space="0" w:color="auto"/>
        <w:right w:val="none" w:sz="0" w:space="0" w:color="auto"/>
      </w:divBdr>
    </w:div>
    <w:div w:id="334185738">
      <w:bodyDiv w:val="1"/>
      <w:marLeft w:val="0"/>
      <w:marRight w:val="0"/>
      <w:marTop w:val="0"/>
      <w:marBottom w:val="0"/>
      <w:divBdr>
        <w:top w:val="none" w:sz="0" w:space="0" w:color="auto"/>
        <w:left w:val="none" w:sz="0" w:space="0" w:color="auto"/>
        <w:bottom w:val="none" w:sz="0" w:space="0" w:color="auto"/>
        <w:right w:val="none" w:sz="0" w:space="0" w:color="auto"/>
      </w:divBdr>
    </w:div>
    <w:div w:id="356083476">
      <w:bodyDiv w:val="1"/>
      <w:marLeft w:val="0"/>
      <w:marRight w:val="0"/>
      <w:marTop w:val="0"/>
      <w:marBottom w:val="0"/>
      <w:divBdr>
        <w:top w:val="none" w:sz="0" w:space="0" w:color="auto"/>
        <w:left w:val="none" w:sz="0" w:space="0" w:color="auto"/>
        <w:bottom w:val="none" w:sz="0" w:space="0" w:color="auto"/>
        <w:right w:val="none" w:sz="0" w:space="0" w:color="auto"/>
      </w:divBdr>
    </w:div>
    <w:div w:id="371883750">
      <w:bodyDiv w:val="1"/>
      <w:marLeft w:val="0"/>
      <w:marRight w:val="0"/>
      <w:marTop w:val="0"/>
      <w:marBottom w:val="0"/>
      <w:divBdr>
        <w:top w:val="none" w:sz="0" w:space="0" w:color="auto"/>
        <w:left w:val="none" w:sz="0" w:space="0" w:color="auto"/>
        <w:bottom w:val="none" w:sz="0" w:space="0" w:color="auto"/>
        <w:right w:val="none" w:sz="0" w:space="0" w:color="auto"/>
      </w:divBdr>
    </w:div>
    <w:div w:id="392584247">
      <w:bodyDiv w:val="1"/>
      <w:marLeft w:val="0"/>
      <w:marRight w:val="0"/>
      <w:marTop w:val="0"/>
      <w:marBottom w:val="0"/>
      <w:divBdr>
        <w:top w:val="none" w:sz="0" w:space="0" w:color="auto"/>
        <w:left w:val="none" w:sz="0" w:space="0" w:color="auto"/>
        <w:bottom w:val="none" w:sz="0" w:space="0" w:color="auto"/>
        <w:right w:val="none" w:sz="0" w:space="0" w:color="auto"/>
      </w:divBdr>
    </w:div>
    <w:div w:id="442044373">
      <w:bodyDiv w:val="1"/>
      <w:marLeft w:val="0"/>
      <w:marRight w:val="0"/>
      <w:marTop w:val="0"/>
      <w:marBottom w:val="0"/>
      <w:divBdr>
        <w:top w:val="none" w:sz="0" w:space="0" w:color="auto"/>
        <w:left w:val="none" w:sz="0" w:space="0" w:color="auto"/>
        <w:bottom w:val="none" w:sz="0" w:space="0" w:color="auto"/>
        <w:right w:val="none" w:sz="0" w:space="0" w:color="auto"/>
      </w:divBdr>
    </w:div>
    <w:div w:id="475799309">
      <w:bodyDiv w:val="1"/>
      <w:marLeft w:val="0"/>
      <w:marRight w:val="0"/>
      <w:marTop w:val="0"/>
      <w:marBottom w:val="0"/>
      <w:divBdr>
        <w:top w:val="none" w:sz="0" w:space="0" w:color="auto"/>
        <w:left w:val="none" w:sz="0" w:space="0" w:color="auto"/>
        <w:bottom w:val="none" w:sz="0" w:space="0" w:color="auto"/>
        <w:right w:val="none" w:sz="0" w:space="0" w:color="auto"/>
      </w:divBdr>
    </w:div>
    <w:div w:id="484933505">
      <w:bodyDiv w:val="1"/>
      <w:marLeft w:val="0"/>
      <w:marRight w:val="0"/>
      <w:marTop w:val="0"/>
      <w:marBottom w:val="0"/>
      <w:divBdr>
        <w:top w:val="none" w:sz="0" w:space="0" w:color="auto"/>
        <w:left w:val="none" w:sz="0" w:space="0" w:color="auto"/>
        <w:bottom w:val="none" w:sz="0" w:space="0" w:color="auto"/>
        <w:right w:val="none" w:sz="0" w:space="0" w:color="auto"/>
      </w:divBdr>
    </w:div>
    <w:div w:id="568467122">
      <w:bodyDiv w:val="1"/>
      <w:marLeft w:val="0"/>
      <w:marRight w:val="0"/>
      <w:marTop w:val="0"/>
      <w:marBottom w:val="0"/>
      <w:divBdr>
        <w:top w:val="none" w:sz="0" w:space="0" w:color="auto"/>
        <w:left w:val="none" w:sz="0" w:space="0" w:color="auto"/>
        <w:bottom w:val="none" w:sz="0" w:space="0" w:color="auto"/>
        <w:right w:val="none" w:sz="0" w:space="0" w:color="auto"/>
      </w:divBdr>
    </w:div>
    <w:div w:id="587277905">
      <w:bodyDiv w:val="1"/>
      <w:marLeft w:val="0"/>
      <w:marRight w:val="0"/>
      <w:marTop w:val="0"/>
      <w:marBottom w:val="0"/>
      <w:divBdr>
        <w:top w:val="none" w:sz="0" w:space="0" w:color="auto"/>
        <w:left w:val="none" w:sz="0" w:space="0" w:color="auto"/>
        <w:bottom w:val="none" w:sz="0" w:space="0" w:color="auto"/>
        <w:right w:val="none" w:sz="0" w:space="0" w:color="auto"/>
      </w:divBdr>
    </w:div>
    <w:div w:id="606960876">
      <w:bodyDiv w:val="1"/>
      <w:marLeft w:val="0"/>
      <w:marRight w:val="0"/>
      <w:marTop w:val="0"/>
      <w:marBottom w:val="0"/>
      <w:divBdr>
        <w:top w:val="none" w:sz="0" w:space="0" w:color="auto"/>
        <w:left w:val="none" w:sz="0" w:space="0" w:color="auto"/>
        <w:bottom w:val="none" w:sz="0" w:space="0" w:color="auto"/>
        <w:right w:val="none" w:sz="0" w:space="0" w:color="auto"/>
      </w:divBdr>
    </w:div>
    <w:div w:id="608241466">
      <w:bodyDiv w:val="1"/>
      <w:marLeft w:val="0"/>
      <w:marRight w:val="0"/>
      <w:marTop w:val="0"/>
      <w:marBottom w:val="0"/>
      <w:divBdr>
        <w:top w:val="none" w:sz="0" w:space="0" w:color="auto"/>
        <w:left w:val="none" w:sz="0" w:space="0" w:color="auto"/>
        <w:bottom w:val="none" w:sz="0" w:space="0" w:color="auto"/>
        <w:right w:val="none" w:sz="0" w:space="0" w:color="auto"/>
      </w:divBdr>
    </w:div>
    <w:div w:id="782458059">
      <w:bodyDiv w:val="1"/>
      <w:marLeft w:val="0"/>
      <w:marRight w:val="0"/>
      <w:marTop w:val="0"/>
      <w:marBottom w:val="0"/>
      <w:divBdr>
        <w:top w:val="none" w:sz="0" w:space="0" w:color="auto"/>
        <w:left w:val="none" w:sz="0" w:space="0" w:color="auto"/>
        <w:bottom w:val="none" w:sz="0" w:space="0" w:color="auto"/>
        <w:right w:val="none" w:sz="0" w:space="0" w:color="auto"/>
      </w:divBdr>
    </w:div>
    <w:div w:id="825247622">
      <w:bodyDiv w:val="1"/>
      <w:marLeft w:val="0"/>
      <w:marRight w:val="0"/>
      <w:marTop w:val="0"/>
      <w:marBottom w:val="0"/>
      <w:divBdr>
        <w:top w:val="none" w:sz="0" w:space="0" w:color="auto"/>
        <w:left w:val="none" w:sz="0" w:space="0" w:color="auto"/>
        <w:bottom w:val="none" w:sz="0" w:space="0" w:color="auto"/>
        <w:right w:val="none" w:sz="0" w:space="0" w:color="auto"/>
      </w:divBdr>
    </w:div>
    <w:div w:id="833911350">
      <w:bodyDiv w:val="1"/>
      <w:marLeft w:val="0"/>
      <w:marRight w:val="0"/>
      <w:marTop w:val="0"/>
      <w:marBottom w:val="0"/>
      <w:divBdr>
        <w:top w:val="none" w:sz="0" w:space="0" w:color="auto"/>
        <w:left w:val="none" w:sz="0" w:space="0" w:color="auto"/>
        <w:bottom w:val="none" w:sz="0" w:space="0" w:color="auto"/>
        <w:right w:val="none" w:sz="0" w:space="0" w:color="auto"/>
      </w:divBdr>
    </w:div>
    <w:div w:id="841119300">
      <w:bodyDiv w:val="1"/>
      <w:marLeft w:val="0"/>
      <w:marRight w:val="0"/>
      <w:marTop w:val="0"/>
      <w:marBottom w:val="0"/>
      <w:divBdr>
        <w:top w:val="none" w:sz="0" w:space="0" w:color="auto"/>
        <w:left w:val="none" w:sz="0" w:space="0" w:color="auto"/>
        <w:bottom w:val="none" w:sz="0" w:space="0" w:color="auto"/>
        <w:right w:val="none" w:sz="0" w:space="0" w:color="auto"/>
      </w:divBdr>
    </w:div>
    <w:div w:id="852453835">
      <w:bodyDiv w:val="1"/>
      <w:marLeft w:val="0"/>
      <w:marRight w:val="0"/>
      <w:marTop w:val="0"/>
      <w:marBottom w:val="0"/>
      <w:divBdr>
        <w:top w:val="none" w:sz="0" w:space="0" w:color="auto"/>
        <w:left w:val="none" w:sz="0" w:space="0" w:color="auto"/>
        <w:bottom w:val="none" w:sz="0" w:space="0" w:color="auto"/>
        <w:right w:val="none" w:sz="0" w:space="0" w:color="auto"/>
      </w:divBdr>
    </w:div>
    <w:div w:id="914051623">
      <w:bodyDiv w:val="1"/>
      <w:marLeft w:val="0"/>
      <w:marRight w:val="0"/>
      <w:marTop w:val="0"/>
      <w:marBottom w:val="0"/>
      <w:divBdr>
        <w:top w:val="none" w:sz="0" w:space="0" w:color="auto"/>
        <w:left w:val="none" w:sz="0" w:space="0" w:color="auto"/>
        <w:bottom w:val="none" w:sz="0" w:space="0" w:color="auto"/>
        <w:right w:val="none" w:sz="0" w:space="0" w:color="auto"/>
      </w:divBdr>
    </w:div>
    <w:div w:id="922028709">
      <w:bodyDiv w:val="1"/>
      <w:marLeft w:val="0"/>
      <w:marRight w:val="0"/>
      <w:marTop w:val="0"/>
      <w:marBottom w:val="0"/>
      <w:divBdr>
        <w:top w:val="none" w:sz="0" w:space="0" w:color="auto"/>
        <w:left w:val="none" w:sz="0" w:space="0" w:color="auto"/>
        <w:bottom w:val="none" w:sz="0" w:space="0" w:color="auto"/>
        <w:right w:val="none" w:sz="0" w:space="0" w:color="auto"/>
      </w:divBdr>
    </w:div>
    <w:div w:id="973944578">
      <w:bodyDiv w:val="1"/>
      <w:marLeft w:val="0"/>
      <w:marRight w:val="0"/>
      <w:marTop w:val="0"/>
      <w:marBottom w:val="0"/>
      <w:divBdr>
        <w:top w:val="none" w:sz="0" w:space="0" w:color="auto"/>
        <w:left w:val="none" w:sz="0" w:space="0" w:color="auto"/>
        <w:bottom w:val="none" w:sz="0" w:space="0" w:color="auto"/>
        <w:right w:val="none" w:sz="0" w:space="0" w:color="auto"/>
      </w:divBdr>
    </w:div>
    <w:div w:id="1042442528">
      <w:bodyDiv w:val="1"/>
      <w:marLeft w:val="0"/>
      <w:marRight w:val="0"/>
      <w:marTop w:val="0"/>
      <w:marBottom w:val="0"/>
      <w:divBdr>
        <w:top w:val="none" w:sz="0" w:space="0" w:color="auto"/>
        <w:left w:val="none" w:sz="0" w:space="0" w:color="auto"/>
        <w:bottom w:val="none" w:sz="0" w:space="0" w:color="auto"/>
        <w:right w:val="none" w:sz="0" w:space="0" w:color="auto"/>
      </w:divBdr>
    </w:div>
    <w:div w:id="1043678501">
      <w:bodyDiv w:val="1"/>
      <w:marLeft w:val="0"/>
      <w:marRight w:val="0"/>
      <w:marTop w:val="0"/>
      <w:marBottom w:val="0"/>
      <w:divBdr>
        <w:top w:val="none" w:sz="0" w:space="0" w:color="auto"/>
        <w:left w:val="none" w:sz="0" w:space="0" w:color="auto"/>
        <w:bottom w:val="none" w:sz="0" w:space="0" w:color="auto"/>
        <w:right w:val="none" w:sz="0" w:space="0" w:color="auto"/>
      </w:divBdr>
    </w:div>
    <w:div w:id="1071201150">
      <w:bodyDiv w:val="1"/>
      <w:marLeft w:val="0"/>
      <w:marRight w:val="0"/>
      <w:marTop w:val="0"/>
      <w:marBottom w:val="0"/>
      <w:divBdr>
        <w:top w:val="none" w:sz="0" w:space="0" w:color="auto"/>
        <w:left w:val="none" w:sz="0" w:space="0" w:color="auto"/>
        <w:bottom w:val="none" w:sz="0" w:space="0" w:color="auto"/>
        <w:right w:val="none" w:sz="0" w:space="0" w:color="auto"/>
      </w:divBdr>
    </w:div>
    <w:div w:id="1094590305">
      <w:bodyDiv w:val="1"/>
      <w:marLeft w:val="0"/>
      <w:marRight w:val="0"/>
      <w:marTop w:val="0"/>
      <w:marBottom w:val="0"/>
      <w:divBdr>
        <w:top w:val="none" w:sz="0" w:space="0" w:color="auto"/>
        <w:left w:val="none" w:sz="0" w:space="0" w:color="auto"/>
        <w:bottom w:val="none" w:sz="0" w:space="0" w:color="auto"/>
        <w:right w:val="none" w:sz="0" w:space="0" w:color="auto"/>
      </w:divBdr>
    </w:div>
    <w:div w:id="1114057609">
      <w:bodyDiv w:val="1"/>
      <w:marLeft w:val="0"/>
      <w:marRight w:val="0"/>
      <w:marTop w:val="0"/>
      <w:marBottom w:val="0"/>
      <w:divBdr>
        <w:top w:val="none" w:sz="0" w:space="0" w:color="auto"/>
        <w:left w:val="none" w:sz="0" w:space="0" w:color="auto"/>
        <w:bottom w:val="none" w:sz="0" w:space="0" w:color="auto"/>
        <w:right w:val="none" w:sz="0" w:space="0" w:color="auto"/>
      </w:divBdr>
    </w:div>
    <w:div w:id="1121656948">
      <w:bodyDiv w:val="1"/>
      <w:marLeft w:val="0"/>
      <w:marRight w:val="0"/>
      <w:marTop w:val="0"/>
      <w:marBottom w:val="0"/>
      <w:divBdr>
        <w:top w:val="none" w:sz="0" w:space="0" w:color="auto"/>
        <w:left w:val="none" w:sz="0" w:space="0" w:color="auto"/>
        <w:bottom w:val="none" w:sz="0" w:space="0" w:color="auto"/>
        <w:right w:val="none" w:sz="0" w:space="0" w:color="auto"/>
      </w:divBdr>
    </w:div>
    <w:div w:id="1122384706">
      <w:bodyDiv w:val="1"/>
      <w:marLeft w:val="0"/>
      <w:marRight w:val="0"/>
      <w:marTop w:val="0"/>
      <w:marBottom w:val="0"/>
      <w:divBdr>
        <w:top w:val="none" w:sz="0" w:space="0" w:color="auto"/>
        <w:left w:val="none" w:sz="0" w:space="0" w:color="auto"/>
        <w:bottom w:val="none" w:sz="0" w:space="0" w:color="auto"/>
        <w:right w:val="none" w:sz="0" w:space="0" w:color="auto"/>
      </w:divBdr>
    </w:div>
    <w:div w:id="1126042169">
      <w:bodyDiv w:val="1"/>
      <w:marLeft w:val="0"/>
      <w:marRight w:val="0"/>
      <w:marTop w:val="0"/>
      <w:marBottom w:val="0"/>
      <w:divBdr>
        <w:top w:val="none" w:sz="0" w:space="0" w:color="auto"/>
        <w:left w:val="none" w:sz="0" w:space="0" w:color="auto"/>
        <w:bottom w:val="none" w:sz="0" w:space="0" w:color="auto"/>
        <w:right w:val="none" w:sz="0" w:space="0" w:color="auto"/>
      </w:divBdr>
    </w:div>
    <w:div w:id="1177236871">
      <w:bodyDiv w:val="1"/>
      <w:marLeft w:val="0"/>
      <w:marRight w:val="0"/>
      <w:marTop w:val="0"/>
      <w:marBottom w:val="0"/>
      <w:divBdr>
        <w:top w:val="none" w:sz="0" w:space="0" w:color="auto"/>
        <w:left w:val="none" w:sz="0" w:space="0" w:color="auto"/>
        <w:bottom w:val="none" w:sz="0" w:space="0" w:color="auto"/>
        <w:right w:val="none" w:sz="0" w:space="0" w:color="auto"/>
      </w:divBdr>
    </w:div>
    <w:div w:id="1178622336">
      <w:bodyDiv w:val="1"/>
      <w:marLeft w:val="0"/>
      <w:marRight w:val="0"/>
      <w:marTop w:val="0"/>
      <w:marBottom w:val="0"/>
      <w:divBdr>
        <w:top w:val="none" w:sz="0" w:space="0" w:color="auto"/>
        <w:left w:val="none" w:sz="0" w:space="0" w:color="auto"/>
        <w:bottom w:val="none" w:sz="0" w:space="0" w:color="auto"/>
        <w:right w:val="none" w:sz="0" w:space="0" w:color="auto"/>
      </w:divBdr>
    </w:div>
    <w:div w:id="1178813990">
      <w:bodyDiv w:val="1"/>
      <w:marLeft w:val="0"/>
      <w:marRight w:val="0"/>
      <w:marTop w:val="0"/>
      <w:marBottom w:val="0"/>
      <w:divBdr>
        <w:top w:val="none" w:sz="0" w:space="0" w:color="auto"/>
        <w:left w:val="none" w:sz="0" w:space="0" w:color="auto"/>
        <w:bottom w:val="none" w:sz="0" w:space="0" w:color="auto"/>
        <w:right w:val="none" w:sz="0" w:space="0" w:color="auto"/>
      </w:divBdr>
    </w:div>
    <w:div w:id="1186167797">
      <w:bodyDiv w:val="1"/>
      <w:marLeft w:val="0"/>
      <w:marRight w:val="0"/>
      <w:marTop w:val="0"/>
      <w:marBottom w:val="0"/>
      <w:divBdr>
        <w:top w:val="none" w:sz="0" w:space="0" w:color="auto"/>
        <w:left w:val="none" w:sz="0" w:space="0" w:color="auto"/>
        <w:bottom w:val="none" w:sz="0" w:space="0" w:color="auto"/>
        <w:right w:val="none" w:sz="0" w:space="0" w:color="auto"/>
      </w:divBdr>
    </w:div>
    <w:div w:id="1208566690">
      <w:bodyDiv w:val="1"/>
      <w:marLeft w:val="0"/>
      <w:marRight w:val="0"/>
      <w:marTop w:val="0"/>
      <w:marBottom w:val="0"/>
      <w:divBdr>
        <w:top w:val="none" w:sz="0" w:space="0" w:color="auto"/>
        <w:left w:val="none" w:sz="0" w:space="0" w:color="auto"/>
        <w:bottom w:val="none" w:sz="0" w:space="0" w:color="auto"/>
        <w:right w:val="none" w:sz="0" w:space="0" w:color="auto"/>
      </w:divBdr>
    </w:div>
    <w:div w:id="1209297761">
      <w:bodyDiv w:val="1"/>
      <w:marLeft w:val="0"/>
      <w:marRight w:val="0"/>
      <w:marTop w:val="0"/>
      <w:marBottom w:val="0"/>
      <w:divBdr>
        <w:top w:val="none" w:sz="0" w:space="0" w:color="auto"/>
        <w:left w:val="none" w:sz="0" w:space="0" w:color="auto"/>
        <w:bottom w:val="none" w:sz="0" w:space="0" w:color="auto"/>
        <w:right w:val="none" w:sz="0" w:space="0" w:color="auto"/>
      </w:divBdr>
    </w:div>
    <w:div w:id="1227492439">
      <w:bodyDiv w:val="1"/>
      <w:marLeft w:val="0"/>
      <w:marRight w:val="0"/>
      <w:marTop w:val="0"/>
      <w:marBottom w:val="0"/>
      <w:divBdr>
        <w:top w:val="none" w:sz="0" w:space="0" w:color="auto"/>
        <w:left w:val="none" w:sz="0" w:space="0" w:color="auto"/>
        <w:bottom w:val="none" w:sz="0" w:space="0" w:color="auto"/>
        <w:right w:val="none" w:sz="0" w:space="0" w:color="auto"/>
      </w:divBdr>
    </w:div>
    <w:div w:id="1237788715">
      <w:bodyDiv w:val="1"/>
      <w:marLeft w:val="0"/>
      <w:marRight w:val="0"/>
      <w:marTop w:val="0"/>
      <w:marBottom w:val="0"/>
      <w:divBdr>
        <w:top w:val="none" w:sz="0" w:space="0" w:color="auto"/>
        <w:left w:val="none" w:sz="0" w:space="0" w:color="auto"/>
        <w:bottom w:val="none" w:sz="0" w:space="0" w:color="auto"/>
        <w:right w:val="none" w:sz="0" w:space="0" w:color="auto"/>
      </w:divBdr>
    </w:div>
    <w:div w:id="1395161041">
      <w:bodyDiv w:val="1"/>
      <w:marLeft w:val="0"/>
      <w:marRight w:val="0"/>
      <w:marTop w:val="0"/>
      <w:marBottom w:val="0"/>
      <w:divBdr>
        <w:top w:val="none" w:sz="0" w:space="0" w:color="auto"/>
        <w:left w:val="none" w:sz="0" w:space="0" w:color="auto"/>
        <w:bottom w:val="none" w:sz="0" w:space="0" w:color="auto"/>
        <w:right w:val="none" w:sz="0" w:space="0" w:color="auto"/>
      </w:divBdr>
    </w:div>
    <w:div w:id="1469283455">
      <w:bodyDiv w:val="1"/>
      <w:marLeft w:val="0"/>
      <w:marRight w:val="0"/>
      <w:marTop w:val="0"/>
      <w:marBottom w:val="0"/>
      <w:divBdr>
        <w:top w:val="none" w:sz="0" w:space="0" w:color="auto"/>
        <w:left w:val="none" w:sz="0" w:space="0" w:color="auto"/>
        <w:bottom w:val="none" w:sz="0" w:space="0" w:color="auto"/>
        <w:right w:val="none" w:sz="0" w:space="0" w:color="auto"/>
      </w:divBdr>
    </w:div>
    <w:div w:id="1492402061">
      <w:bodyDiv w:val="1"/>
      <w:marLeft w:val="0"/>
      <w:marRight w:val="0"/>
      <w:marTop w:val="0"/>
      <w:marBottom w:val="0"/>
      <w:divBdr>
        <w:top w:val="none" w:sz="0" w:space="0" w:color="auto"/>
        <w:left w:val="none" w:sz="0" w:space="0" w:color="auto"/>
        <w:bottom w:val="none" w:sz="0" w:space="0" w:color="auto"/>
        <w:right w:val="none" w:sz="0" w:space="0" w:color="auto"/>
      </w:divBdr>
    </w:div>
    <w:div w:id="1562444792">
      <w:bodyDiv w:val="1"/>
      <w:marLeft w:val="0"/>
      <w:marRight w:val="0"/>
      <w:marTop w:val="0"/>
      <w:marBottom w:val="0"/>
      <w:divBdr>
        <w:top w:val="none" w:sz="0" w:space="0" w:color="auto"/>
        <w:left w:val="none" w:sz="0" w:space="0" w:color="auto"/>
        <w:bottom w:val="none" w:sz="0" w:space="0" w:color="auto"/>
        <w:right w:val="none" w:sz="0" w:space="0" w:color="auto"/>
      </w:divBdr>
    </w:div>
    <w:div w:id="1602177009">
      <w:bodyDiv w:val="1"/>
      <w:marLeft w:val="0"/>
      <w:marRight w:val="0"/>
      <w:marTop w:val="0"/>
      <w:marBottom w:val="0"/>
      <w:divBdr>
        <w:top w:val="none" w:sz="0" w:space="0" w:color="auto"/>
        <w:left w:val="none" w:sz="0" w:space="0" w:color="auto"/>
        <w:bottom w:val="none" w:sz="0" w:space="0" w:color="auto"/>
        <w:right w:val="none" w:sz="0" w:space="0" w:color="auto"/>
      </w:divBdr>
    </w:div>
    <w:div w:id="1631788771">
      <w:bodyDiv w:val="1"/>
      <w:marLeft w:val="0"/>
      <w:marRight w:val="0"/>
      <w:marTop w:val="0"/>
      <w:marBottom w:val="0"/>
      <w:divBdr>
        <w:top w:val="none" w:sz="0" w:space="0" w:color="auto"/>
        <w:left w:val="none" w:sz="0" w:space="0" w:color="auto"/>
        <w:bottom w:val="none" w:sz="0" w:space="0" w:color="auto"/>
        <w:right w:val="none" w:sz="0" w:space="0" w:color="auto"/>
      </w:divBdr>
    </w:div>
    <w:div w:id="1643850982">
      <w:bodyDiv w:val="1"/>
      <w:marLeft w:val="0"/>
      <w:marRight w:val="0"/>
      <w:marTop w:val="0"/>
      <w:marBottom w:val="0"/>
      <w:divBdr>
        <w:top w:val="none" w:sz="0" w:space="0" w:color="auto"/>
        <w:left w:val="none" w:sz="0" w:space="0" w:color="auto"/>
        <w:bottom w:val="none" w:sz="0" w:space="0" w:color="auto"/>
        <w:right w:val="none" w:sz="0" w:space="0" w:color="auto"/>
      </w:divBdr>
    </w:div>
    <w:div w:id="1661689058">
      <w:bodyDiv w:val="1"/>
      <w:marLeft w:val="0"/>
      <w:marRight w:val="0"/>
      <w:marTop w:val="0"/>
      <w:marBottom w:val="0"/>
      <w:divBdr>
        <w:top w:val="none" w:sz="0" w:space="0" w:color="auto"/>
        <w:left w:val="none" w:sz="0" w:space="0" w:color="auto"/>
        <w:bottom w:val="none" w:sz="0" w:space="0" w:color="auto"/>
        <w:right w:val="none" w:sz="0" w:space="0" w:color="auto"/>
      </w:divBdr>
    </w:div>
    <w:div w:id="1664820320">
      <w:bodyDiv w:val="1"/>
      <w:marLeft w:val="0"/>
      <w:marRight w:val="0"/>
      <w:marTop w:val="0"/>
      <w:marBottom w:val="0"/>
      <w:divBdr>
        <w:top w:val="none" w:sz="0" w:space="0" w:color="auto"/>
        <w:left w:val="none" w:sz="0" w:space="0" w:color="auto"/>
        <w:bottom w:val="none" w:sz="0" w:space="0" w:color="auto"/>
        <w:right w:val="none" w:sz="0" w:space="0" w:color="auto"/>
      </w:divBdr>
    </w:div>
    <w:div w:id="1666544200">
      <w:bodyDiv w:val="1"/>
      <w:marLeft w:val="0"/>
      <w:marRight w:val="0"/>
      <w:marTop w:val="0"/>
      <w:marBottom w:val="0"/>
      <w:divBdr>
        <w:top w:val="none" w:sz="0" w:space="0" w:color="auto"/>
        <w:left w:val="none" w:sz="0" w:space="0" w:color="auto"/>
        <w:bottom w:val="none" w:sz="0" w:space="0" w:color="auto"/>
        <w:right w:val="none" w:sz="0" w:space="0" w:color="auto"/>
      </w:divBdr>
    </w:div>
    <w:div w:id="1720663145">
      <w:bodyDiv w:val="1"/>
      <w:marLeft w:val="0"/>
      <w:marRight w:val="0"/>
      <w:marTop w:val="0"/>
      <w:marBottom w:val="0"/>
      <w:divBdr>
        <w:top w:val="none" w:sz="0" w:space="0" w:color="auto"/>
        <w:left w:val="none" w:sz="0" w:space="0" w:color="auto"/>
        <w:bottom w:val="none" w:sz="0" w:space="0" w:color="auto"/>
        <w:right w:val="none" w:sz="0" w:space="0" w:color="auto"/>
      </w:divBdr>
    </w:div>
    <w:div w:id="1726905531">
      <w:bodyDiv w:val="1"/>
      <w:marLeft w:val="0"/>
      <w:marRight w:val="0"/>
      <w:marTop w:val="0"/>
      <w:marBottom w:val="0"/>
      <w:divBdr>
        <w:top w:val="none" w:sz="0" w:space="0" w:color="auto"/>
        <w:left w:val="none" w:sz="0" w:space="0" w:color="auto"/>
        <w:bottom w:val="none" w:sz="0" w:space="0" w:color="auto"/>
        <w:right w:val="none" w:sz="0" w:space="0" w:color="auto"/>
      </w:divBdr>
    </w:div>
    <w:div w:id="1766151160">
      <w:bodyDiv w:val="1"/>
      <w:marLeft w:val="0"/>
      <w:marRight w:val="0"/>
      <w:marTop w:val="0"/>
      <w:marBottom w:val="0"/>
      <w:divBdr>
        <w:top w:val="none" w:sz="0" w:space="0" w:color="auto"/>
        <w:left w:val="none" w:sz="0" w:space="0" w:color="auto"/>
        <w:bottom w:val="none" w:sz="0" w:space="0" w:color="auto"/>
        <w:right w:val="none" w:sz="0" w:space="0" w:color="auto"/>
      </w:divBdr>
    </w:div>
    <w:div w:id="1825390452">
      <w:bodyDiv w:val="1"/>
      <w:marLeft w:val="0"/>
      <w:marRight w:val="0"/>
      <w:marTop w:val="0"/>
      <w:marBottom w:val="0"/>
      <w:divBdr>
        <w:top w:val="none" w:sz="0" w:space="0" w:color="auto"/>
        <w:left w:val="none" w:sz="0" w:space="0" w:color="auto"/>
        <w:bottom w:val="none" w:sz="0" w:space="0" w:color="auto"/>
        <w:right w:val="none" w:sz="0" w:space="0" w:color="auto"/>
      </w:divBdr>
    </w:div>
    <w:div w:id="1890874877">
      <w:bodyDiv w:val="1"/>
      <w:marLeft w:val="0"/>
      <w:marRight w:val="0"/>
      <w:marTop w:val="0"/>
      <w:marBottom w:val="0"/>
      <w:divBdr>
        <w:top w:val="none" w:sz="0" w:space="0" w:color="auto"/>
        <w:left w:val="none" w:sz="0" w:space="0" w:color="auto"/>
        <w:bottom w:val="none" w:sz="0" w:space="0" w:color="auto"/>
        <w:right w:val="none" w:sz="0" w:space="0" w:color="auto"/>
      </w:divBdr>
    </w:div>
    <w:div w:id="1912427721">
      <w:bodyDiv w:val="1"/>
      <w:marLeft w:val="0"/>
      <w:marRight w:val="0"/>
      <w:marTop w:val="0"/>
      <w:marBottom w:val="0"/>
      <w:divBdr>
        <w:top w:val="none" w:sz="0" w:space="0" w:color="auto"/>
        <w:left w:val="none" w:sz="0" w:space="0" w:color="auto"/>
        <w:bottom w:val="none" w:sz="0" w:space="0" w:color="auto"/>
        <w:right w:val="none" w:sz="0" w:space="0" w:color="auto"/>
      </w:divBdr>
    </w:div>
    <w:div w:id="1934363947">
      <w:bodyDiv w:val="1"/>
      <w:marLeft w:val="0"/>
      <w:marRight w:val="0"/>
      <w:marTop w:val="0"/>
      <w:marBottom w:val="0"/>
      <w:divBdr>
        <w:top w:val="none" w:sz="0" w:space="0" w:color="auto"/>
        <w:left w:val="none" w:sz="0" w:space="0" w:color="auto"/>
        <w:bottom w:val="none" w:sz="0" w:space="0" w:color="auto"/>
        <w:right w:val="none" w:sz="0" w:space="0" w:color="auto"/>
      </w:divBdr>
    </w:div>
    <w:div w:id="2031372987">
      <w:bodyDiv w:val="1"/>
      <w:marLeft w:val="0"/>
      <w:marRight w:val="0"/>
      <w:marTop w:val="0"/>
      <w:marBottom w:val="0"/>
      <w:divBdr>
        <w:top w:val="none" w:sz="0" w:space="0" w:color="auto"/>
        <w:left w:val="none" w:sz="0" w:space="0" w:color="auto"/>
        <w:bottom w:val="none" w:sz="0" w:space="0" w:color="auto"/>
        <w:right w:val="none" w:sz="0" w:space="0" w:color="auto"/>
      </w:divBdr>
    </w:div>
    <w:div w:id="2093312409">
      <w:bodyDiv w:val="1"/>
      <w:marLeft w:val="0"/>
      <w:marRight w:val="0"/>
      <w:marTop w:val="0"/>
      <w:marBottom w:val="0"/>
      <w:divBdr>
        <w:top w:val="none" w:sz="0" w:space="0" w:color="auto"/>
        <w:left w:val="none" w:sz="0" w:space="0" w:color="auto"/>
        <w:bottom w:val="none" w:sz="0" w:space="0" w:color="auto"/>
        <w:right w:val="none" w:sz="0" w:space="0" w:color="auto"/>
      </w:divBdr>
    </w:div>
    <w:div w:id="2106655091">
      <w:bodyDiv w:val="1"/>
      <w:marLeft w:val="0"/>
      <w:marRight w:val="0"/>
      <w:marTop w:val="0"/>
      <w:marBottom w:val="0"/>
      <w:divBdr>
        <w:top w:val="none" w:sz="0" w:space="0" w:color="auto"/>
        <w:left w:val="none" w:sz="0" w:space="0" w:color="auto"/>
        <w:bottom w:val="none" w:sz="0" w:space="0" w:color="auto"/>
        <w:right w:val="none" w:sz="0" w:space="0" w:color="auto"/>
      </w:divBdr>
    </w:div>
    <w:div w:id="213590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3697B-28C1-4F0A-B1C1-797A9ED1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26</Pages>
  <Words>6186</Words>
  <Characters>34023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 Isay Martínez Flores</dc:creator>
  <cp:keywords/>
  <cp:lastModifiedBy>José Francisco Jiménez Guerrero</cp:lastModifiedBy>
  <cp:revision>51</cp:revision>
  <dcterms:created xsi:type="dcterms:W3CDTF">2023-06-12T18:51:00Z</dcterms:created>
  <dcterms:modified xsi:type="dcterms:W3CDTF">2023-06-20T19:26:00Z</dcterms:modified>
</cp:coreProperties>
</file>