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B32E57" w:rsidRDefault="002420B2" w:rsidP="00414875">
      <w:pPr>
        <w:spacing w:after="0" w:line="240" w:lineRule="auto"/>
        <w:contextualSpacing/>
        <w:jc w:val="both"/>
        <w:rPr>
          <w:rFonts w:ascii="Century Gothic" w:hAnsi="Century Gothic" w:cs="Arial"/>
          <w:b/>
          <w:bCs/>
          <w:sz w:val="20"/>
          <w:szCs w:val="20"/>
        </w:rPr>
      </w:pPr>
      <w:bookmarkStart w:id="0" w:name="_GoBack"/>
      <w:bookmarkEnd w:id="0"/>
    </w:p>
    <w:tbl>
      <w:tblPr>
        <w:tblStyle w:val="Tablanormal1"/>
        <w:tblW w:w="17289" w:type="dxa"/>
        <w:jc w:val="center"/>
        <w:tblLayout w:type="fixed"/>
        <w:tblLook w:val="04A0" w:firstRow="1" w:lastRow="0" w:firstColumn="1" w:lastColumn="0" w:noHBand="0" w:noVBand="1"/>
      </w:tblPr>
      <w:tblGrid>
        <w:gridCol w:w="846"/>
        <w:gridCol w:w="1559"/>
        <w:gridCol w:w="2552"/>
        <w:gridCol w:w="12332"/>
      </w:tblGrid>
      <w:tr w:rsidR="000C0988" w:rsidRPr="00FD6AF1" w14:paraId="13442222" w14:textId="4A5A189F" w:rsidTr="007455D4">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0C0988" w:rsidRPr="00FD6AF1" w:rsidRDefault="000C0988" w:rsidP="00414875">
            <w:pPr>
              <w:pStyle w:val="NormalWeb"/>
              <w:spacing w:before="0" w:beforeAutospacing="0" w:after="0" w:afterAutospacing="0"/>
              <w:ind w:left="720"/>
              <w:jc w:val="both"/>
              <w:rPr>
                <w:rFonts w:ascii="Arial" w:eastAsia="Calibri" w:hAnsi="Arial" w:cs="Arial"/>
                <w:color w:val="FFFFFF" w:themeColor="background1"/>
                <w:sz w:val="20"/>
                <w:szCs w:val="20"/>
                <w:lang w:eastAsia="en-US"/>
              </w:rPr>
            </w:pPr>
          </w:p>
        </w:tc>
        <w:tc>
          <w:tcPr>
            <w:tcW w:w="1559" w:type="dxa"/>
            <w:shd w:val="clear" w:color="auto" w:fill="76923C" w:themeFill="accent3" w:themeFillShade="BF"/>
            <w:vAlign w:val="center"/>
          </w:tcPr>
          <w:p w14:paraId="1119A04E" w14:textId="77777777" w:rsidR="000C0988" w:rsidRPr="00FD6AF1" w:rsidRDefault="000C0988" w:rsidP="00414875">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FD6AF1">
              <w:rPr>
                <w:rFonts w:ascii="Arial" w:eastAsia="Calibri" w:hAnsi="Arial" w:cs="Arial"/>
                <w:bCs w:val="0"/>
                <w:color w:val="FFFFFF" w:themeColor="background1"/>
                <w:sz w:val="20"/>
                <w:szCs w:val="20"/>
                <w:lang w:eastAsia="en-US"/>
              </w:rPr>
              <w:t>ESTADO</w:t>
            </w:r>
          </w:p>
        </w:tc>
        <w:tc>
          <w:tcPr>
            <w:tcW w:w="2552" w:type="dxa"/>
            <w:shd w:val="clear" w:color="auto" w:fill="76923C" w:themeFill="accent3" w:themeFillShade="BF"/>
            <w:vAlign w:val="center"/>
          </w:tcPr>
          <w:p w14:paraId="1F278F81" w14:textId="77777777" w:rsidR="000C0988" w:rsidRPr="00FD6AF1" w:rsidRDefault="000C0988" w:rsidP="00414875">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FD6AF1">
              <w:rPr>
                <w:rFonts w:ascii="Arial" w:eastAsia="Calibri" w:hAnsi="Arial" w:cs="Arial"/>
                <w:bCs w:val="0"/>
                <w:color w:val="FFFFFF" w:themeColor="background1"/>
                <w:sz w:val="20"/>
                <w:szCs w:val="20"/>
                <w:lang w:eastAsia="en-US"/>
              </w:rPr>
              <w:t>LEY</w:t>
            </w:r>
          </w:p>
        </w:tc>
        <w:tc>
          <w:tcPr>
            <w:tcW w:w="12332" w:type="dxa"/>
            <w:shd w:val="clear" w:color="auto" w:fill="76923C" w:themeFill="accent3" w:themeFillShade="BF"/>
            <w:vAlign w:val="center"/>
          </w:tcPr>
          <w:p w14:paraId="7D6F5856" w14:textId="1B2C2FDF" w:rsidR="000C0988" w:rsidRPr="00FD6AF1" w:rsidRDefault="007B2E01" w:rsidP="00414875">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FD6AF1">
              <w:rPr>
                <w:rFonts w:ascii="Arial" w:eastAsia="Century Gothic" w:hAnsi="Arial" w:cs="Arial"/>
                <w:color w:val="FFFFFF"/>
                <w:sz w:val="20"/>
              </w:rPr>
              <w:t>ARTÍCULO (</w:t>
            </w:r>
            <w:r w:rsidR="000C0988" w:rsidRPr="00FD6AF1">
              <w:rPr>
                <w:rFonts w:ascii="Arial" w:eastAsia="Century Gothic" w:hAnsi="Arial" w:cs="Arial"/>
                <w:color w:val="FFFFFF"/>
                <w:sz w:val="20"/>
              </w:rPr>
              <w:t>TRANSCRIPCIÓN)</w:t>
            </w:r>
          </w:p>
        </w:tc>
      </w:tr>
      <w:tr w:rsidR="000C0988" w:rsidRPr="00FD6AF1" w14:paraId="54AC9B32" w14:textId="7EE7F396" w:rsidTr="007455D4">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7DE2E4C" w14:textId="77777777" w:rsidR="000C0988" w:rsidRPr="00FD6AF1" w:rsidRDefault="000C0988" w:rsidP="00414875">
            <w:pPr>
              <w:ind w:left="360"/>
              <w:jc w:val="both"/>
              <w:rPr>
                <w:rFonts w:ascii="Arial" w:hAnsi="Arial" w:cs="Arial"/>
                <w:sz w:val="20"/>
                <w:szCs w:val="20"/>
              </w:rPr>
            </w:pPr>
            <w:r w:rsidRPr="00FD6AF1">
              <w:rPr>
                <w:rFonts w:ascii="Arial" w:hAnsi="Arial" w:cs="Arial"/>
                <w:sz w:val="20"/>
                <w:szCs w:val="20"/>
              </w:rPr>
              <w:t>1.</w:t>
            </w:r>
          </w:p>
        </w:tc>
        <w:tc>
          <w:tcPr>
            <w:tcW w:w="1559" w:type="dxa"/>
            <w:shd w:val="clear" w:color="auto" w:fill="auto"/>
            <w:vAlign w:val="center"/>
          </w:tcPr>
          <w:p w14:paraId="61A2D912" w14:textId="7D73507C" w:rsidR="000C0988" w:rsidRPr="00FD6AF1" w:rsidRDefault="000C0988" w:rsidP="00414875">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D6AF1">
              <w:rPr>
                <w:rFonts w:ascii="Arial" w:hAnsi="Arial" w:cs="Arial"/>
                <w:b/>
                <w:sz w:val="20"/>
                <w:szCs w:val="20"/>
              </w:rPr>
              <w:t>TABASCO</w:t>
            </w:r>
          </w:p>
        </w:tc>
        <w:tc>
          <w:tcPr>
            <w:tcW w:w="2552" w:type="dxa"/>
            <w:shd w:val="clear" w:color="auto" w:fill="auto"/>
            <w:vAlign w:val="center"/>
          </w:tcPr>
          <w:p w14:paraId="3F6E81F9" w14:textId="048AAF03" w:rsidR="000C0988" w:rsidRPr="00FD6AF1" w:rsidRDefault="007455D4" w:rsidP="0041487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8" w:history="1">
              <w:r w:rsidR="000C0988" w:rsidRPr="00FD6AF1">
                <w:rPr>
                  <w:rStyle w:val="Hipervnculo"/>
                  <w:b/>
                  <w:sz w:val="20"/>
                  <w:szCs w:val="20"/>
                </w:rPr>
                <w:t>Ley Electoral y de Partidos Políticos del Estado de Tabasco</w:t>
              </w:r>
            </w:hyperlink>
          </w:p>
        </w:tc>
        <w:tc>
          <w:tcPr>
            <w:tcW w:w="12332" w:type="dxa"/>
            <w:shd w:val="clear" w:color="auto" w:fill="auto"/>
          </w:tcPr>
          <w:p w14:paraId="6E48CD1B" w14:textId="7FFD33EB" w:rsidR="000C0988" w:rsidRPr="00FD6AF1" w:rsidRDefault="0027000C"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 xml:space="preserve">Artículo </w:t>
            </w:r>
            <w:r w:rsidR="000C0988" w:rsidRPr="00FD6AF1">
              <w:rPr>
                <w:rFonts w:ascii="Arial" w:eastAsia="Calibri" w:hAnsi="Arial" w:cs="Arial"/>
                <w:bCs/>
                <w:sz w:val="20"/>
                <w:szCs w:val="20"/>
                <w:lang w:eastAsia="en-US"/>
              </w:rPr>
              <w:t>48.</w:t>
            </w:r>
          </w:p>
          <w:p w14:paraId="7ADB6DF3" w14:textId="623A3133"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245441D6" w14:textId="77777777"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2. La cancelación o pérdida del registro extinguirá la personalidad jurídica del Partido Político, pero quienes hayan sido sus dirigentes y candidatos deberán cumplir las obligaciones que en materia de fiscalización establece esta Ley, hasta la conclusión de los procedimientos respectivos y de liquidación de su patrimonio de no hacerlo así se impondrán sanciones sin perjuicio de la responsabilidad penal o civil aplicable.</w:t>
            </w:r>
          </w:p>
          <w:p w14:paraId="67742E59" w14:textId="77777777"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5748FA07" w14:textId="05C3D681" w:rsidR="000C0988" w:rsidRPr="00FD6AF1" w:rsidRDefault="007455D4"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b/>
                <w:bCs/>
                <w:color w:val="000000"/>
                <w:sz w:val="20"/>
                <w:szCs w:val="20"/>
              </w:rPr>
              <w:t xml:space="preserve">Artículo </w:t>
            </w:r>
            <w:r w:rsidR="000C0988" w:rsidRPr="00FD6AF1">
              <w:rPr>
                <w:rFonts w:ascii="Arial" w:hAnsi="Arial" w:cs="Arial"/>
                <w:b/>
                <w:bCs/>
                <w:color w:val="000000"/>
                <w:sz w:val="20"/>
                <w:szCs w:val="20"/>
              </w:rPr>
              <w:t xml:space="preserve">50. </w:t>
            </w:r>
          </w:p>
          <w:p w14:paraId="25ACCEF0"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 </w:t>
            </w:r>
          </w:p>
          <w:p w14:paraId="718B9258"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3. Las agrupaciones políticas locales estarán sujetas a las obligaciones y procedimientos de fiscalización de sus recursos conforme a lo establecido en esta Ley y en el reglamento correspondiente. </w:t>
            </w:r>
          </w:p>
          <w:p w14:paraId="2D12478C" w14:textId="557F26AC"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75F43632" w14:textId="7C886AF5" w:rsidR="000C0988" w:rsidRPr="00FD6AF1" w:rsidRDefault="007455D4"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b/>
                <w:bCs/>
                <w:color w:val="000000"/>
                <w:sz w:val="20"/>
                <w:szCs w:val="20"/>
              </w:rPr>
              <w:t xml:space="preserve">Artículo </w:t>
            </w:r>
            <w:r w:rsidR="000C0988" w:rsidRPr="00FD6AF1">
              <w:rPr>
                <w:rFonts w:ascii="Arial" w:hAnsi="Arial" w:cs="Arial"/>
                <w:b/>
                <w:bCs/>
                <w:color w:val="000000"/>
                <w:sz w:val="20"/>
                <w:szCs w:val="20"/>
              </w:rPr>
              <w:t xml:space="preserve">72. </w:t>
            </w:r>
          </w:p>
          <w:p w14:paraId="34D000B8"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1. Los Partidos Políticos tendrán derecho al financiamiento público de sus actividades, independientemente de las demás prerrogativas que les otorgue la Ley, conforme a las siguientes disposiciones: </w:t>
            </w:r>
          </w:p>
          <w:p w14:paraId="2AB863B1"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 </w:t>
            </w:r>
          </w:p>
          <w:p w14:paraId="7ED556C3"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III. Para actividades específicas como entidades de interés público: </w:t>
            </w:r>
          </w:p>
          <w:p w14:paraId="596E7265"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 </w:t>
            </w:r>
          </w:p>
          <w:p w14:paraId="7D277AC2"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b) El Consejo General del Instituto Nacional Electoral, a través de su Unidad Técnica de Fiscalización, vigilará que los Partidos Políticos destinen el financiamiento a que se refiere la presente fracción exclusivamente a las actividades señaladas en el inciso inmediato anterior; </w:t>
            </w:r>
          </w:p>
          <w:p w14:paraId="09FB778B" w14:textId="6EDCAA92"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2545DEF2" w14:textId="6D2200A9" w:rsidR="000C0988" w:rsidRPr="00FD6AF1" w:rsidRDefault="007455D4"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b/>
                <w:bCs/>
                <w:color w:val="000000"/>
                <w:sz w:val="20"/>
                <w:szCs w:val="20"/>
              </w:rPr>
              <w:t xml:space="preserve">Artículo </w:t>
            </w:r>
            <w:r w:rsidR="000C0988" w:rsidRPr="00FD6AF1">
              <w:rPr>
                <w:rFonts w:ascii="Arial" w:hAnsi="Arial" w:cs="Arial"/>
                <w:b/>
                <w:bCs/>
                <w:color w:val="000000"/>
                <w:sz w:val="20"/>
                <w:szCs w:val="20"/>
              </w:rPr>
              <w:t xml:space="preserve">76. </w:t>
            </w:r>
          </w:p>
          <w:p w14:paraId="0486A08A"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1. El autofinanciamiento, así como los ingresos que obtengan por rendimientos financieros, fondos y fideicomisos que obtengan los Partidos Políticos, se integrará con los conceptos señalados en la Ley General de Partidos Políticos y se sujetará a las regulaciones de control y fiscalización que, en uso de sus facultades exclusivas establezca el Instituto Nacional Electoral. </w:t>
            </w:r>
          </w:p>
          <w:p w14:paraId="22888C8A" w14:textId="2E81D3D3"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lastRenderedPageBreak/>
              <w:t>[…]</w:t>
            </w:r>
          </w:p>
          <w:p w14:paraId="79A9D23D" w14:textId="711411E9" w:rsidR="000C0988" w:rsidRPr="00FD6AF1" w:rsidRDefault="007455D4"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b/>
                <w:bCs/>
                <w:color w:val="000000"/>
                <w:sz w:val="20"/>
                <w:szCs w:val="20"/>
              </w:rPr>
              <w:t xml:space="preserve">Artículo </w:t>
            </w:r>
            <w:r w:rsidR="000C0988" w:rsidRPr="00FD6AF1">
              <w:rPr>
                <w:rFonts w:ascii="Arial" w:hAnsi="Arial" w:cs="Arial"/>
                <w:b/>
                <w:bCs/>
                <w:color w:val="000000"/>
                <w:sz w:val="20"/>
                <w:szCs w:val="20"/>
              </w:rPr>
              <w:t xml:space="preserve">77. </w:t>
            </w:r>
          </w:p>
          <w:p w14:paraId="02F35E7B"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1. La fiscalización de las actividades ordinarias permanentes de los Partidos Políticos; la fiscalización de los Partidos Políticos y candidatos durante los procesos Electorales; y de los Informes de Ingresos y Gastos de los Partidos Políticos y candidatos, en los procesos electorales locales, serán realizadas por el Instituto Nacional Electoral, en términos de lo establecido por el Título Octavo de la Ley General de Partidos Políticos y los Capítulos III, IV y V del Título Segundo del Libro Cuarto de la Ley General, según corresponda. </w:t>
            </w:r>
          </w:p>
          <w:p w14:paraId="4D7C52F3"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 xml:space="preserve">2. Las </w:t>
            </w:r>
            <w:proofErr w:type="gramStart"/>
            <w:r w:rsidRPr="00FD6AF1">
              <w:rPr>
                <w:rFonts w:ascii="Arial" w:hAnsi="Arial" w:cs="Arial"/>
                <w:color w:val="000000"/>
                <w:sz w:val="20"/>
                <w:szCs w:val="20"/>
              </w:rPr>
              <w:t>autoridades públicas</w:t>
            </w:r>
            <w:proofErr w:type="gramEnd"/>
            <w:r w:rsidRPr="00FD6AF1">
              <w:rPr>
                <w:rFonts w:ascii="Arial" w:hAnsi="Arial" w:cs="Arial"/>
                <w:color w:val="000000"/>
                <w:sz w:val="20"/>
                <w:szCs w:val="20"/>
              </w:rPr>
              <w:t xml:space="preserve"> en el Estado y los municipios, así como los Partidos Políticos, las coaliciones, los candidatos y los ciudadanos, según corresponda, se encuentran obligados al cumplimiento de las normas establecidas en las leyes generales y en esta Ley, en materia de financiamiento, fiscalización, verificación de operaciones financieras y sistema de contabilidad de los Partidos Políticos.</w:t>
            </w:r>
          </w:p>
          <w:p w14:paraId="35870BF2"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3. El Instituto Estatal coadyuvará y prestarán a las autoridades y órganos competentes del Instituto Nacional Electoral, el apoyo y auxilio necesarios y proporcionará la información correspondiente, para el adecuado ejercicio de sus atribuciones y el estricto cumplimiento de la Ley, los reglamentos y lineamientos respectivos.</w:t>
            </w:r>
          </w:p>
          <w:p w14:paraId="18E22154"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362541E6" w14:textId="601E5779" w:rsidR="000C0988" w:rsidRPr="00FD6AF1" w:rsidRDefault="007455D4"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FD6AF1">
              <w:rPr>
                <w:rFonts w:ascii="Arial" w:hAnsi="Arial" w:cs="Arial"/>
                <w:b/>
                <w:bCs/>
                <w:color w:val="000000"/>
                <w:sz w:val="20"/>
                <w:szCs w:val="20"/>
              </w:rPr>
              <w:t xml:space="preserve">Artículo </w:t>
            </w:r>
            <w:r w:rsidR="000C0988" w:rsidRPr="00FD6AF1">
              <w:rPr>
                <w:rFonts w:ascii="Arial" w:hAnsi="Arial" w:cs="Arial"/>
                <w:b/>
                <w:bCs/>
                <w:color w:val="000000"/>
                <w:sz w:val="20"/>
                <w:szCs w:val="20"/>
              </w:rPr>
              <w:t>78.</w:t>
            </w:r>
          </w:p>
          <w:p w14:paraId="4E5DD8BD"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1. Sin demérito de lo establecido en el artículo anterior ni de las facultades exclusivas del Instituto Nacional Electoral para la fiscalización de los Partidos Políticos y candidatos, el Instituto Estatal contará con el Órgano Técnico de Fiscalización del Consejo Estatal, que tendrá a su cargo las siguientes responsabilidades:</w:t>
            </w:r>
          </w:p>
          <w:p w14:paraId="0150AFBE"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0F72C0C7"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I. La verificación del origen y destino de los recursos de las organizaciones que se pretendan constituir como agrupaciones políticas locales;</w:t>
            </w:r>
          </w:p>
          <w:p w14:paraId="405A40FA"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II. La verificación del origen y destino de los recursos que obtengan las agrupaciones políticas locales registradas, para sus actividades ordinarias, salvo en el caso de que los recursos que se obtengan y ejerzan en el marco de acuerdos de participación electoral con partidos o candidatos, y</w:t>
            </w:r>
          </w:p>
          <w:p w14:paraId="617B7C04"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III. Intervenir en los procesos de liquidación del patrimonio de los Partidos Políticos que pierdan su registro, conforme a lo dispuesto por esta Ley.</w:t>
            </w:r>
          </w:p>
          <w:p w14:paraId="595188A8"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2. En el ejercicio de sus atribuciones, el Órgano Técnico de Fiscalización contará con autonomía de gestión y su nivel jerárquico será equivalente al de dirección en el Instituto Estatal.</w:t>
            </w:r>
          </w:p>
          <w:p w14:paraId="27F481C1"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D6AF1">
              <w:rPr>
                <w:rFonts w:ascii="Arial" w:hAnsi="Arial" w:cs="Arial"/>
                <w:color w:val="000000"/>
                <w:sz w:val="20"/>
                <w:szCs w:val="20"/>
              </w:rPr>
              <w:t>3. Las reglas, criterios y normas que regulen la actuación del Órgano Técnico de Fiscalización se apegarán a los estándares y principios que establecen las leyes generales para las actividades relativas a la fiscalización de Partidos Políticos y candidatos, así como a las reglas y lineamientos que emita el Instituto Nacional Electoral.</w:t>
            </w:r>
          </w:p>
          <w:p w14:paraId="6A229217"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p w14:paraId="4B4B7969"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4. En su caso, el Instituto Estatal celebrará convenio con el Instituto Nacional Electoral, con el fin de superar las limitaciones de los secretos bancarios, fiduciarios y fiscal, para el eficiente desempeño de sus atribuciones y ejercicio de sus facultades que se realizan a través del Órgano Técnico de Fiscalización, para todos los efectos legales. </w:t>
            </w:r>
          </w:p>
          <w:p w14:paraId="45A81A79" w14:textId="19160EDA"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lastRenderedPageBreak/>
              <w:t>[…]</w:t>
            </w:r>
          </w:p>
          <w:p w14:paraId="00AA8929" w14:textId="56CCF57F"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 xml:space="preserve">79. </w:t>
            </w:r>
          </w:p>
          <w:p w14:paraId="295CAC0F"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1. El titular del Órgano Técnico de Fiscalización será designado por la mayoría del Consejo Estatal a propuesta del Consejero Presidente y deberá reunir los mismos requisitos que esta Ley establece para los </w:t>
            </w:r>
            <w:proofErr w:type="gramStart"/>
            <w:r w:rsidRPr="00FD6AF1">
              <w:rPr>
                <w:rFonts w:ascii="Arial" w:hAnsi="Arial" w:cs="Arial"/>
                <w:sz w:val="20"/>
                <w:szCs w:val="20"/>
              </w:rPr>
              <w:t>Directores</w:t>
            </w:r>
            <w:proofErr w:type="gramEnd"/>
            <w:r w:rsidRPr="00FD6AF1">
              <w:rPr>
                <w:rFonts w:ascii="Arial" w:hAnsi="Arial" w:cs="Arial"/>
                <w:sz w:val="20"/>
                <w:szCs w:val="20"/>
              </w:rPr>
              <w:t xml:space="preserve"> del Instituto Estatal, además de comprobar experiencia en tareas de fiscalización, de al menos cinco años. </w:t>
            </w:r>
          </w:p>
          <w:p w14:paraId="31622A63"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417DD6" w14:textId="62855D89"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2. El Órgano Técnico de Fiscalización contará con la estructura administrativa que determine su reglamento interior y con los recursos presupuestarios que apruebe </w:t>
            </w:r>
          </w:p>
          <w:p w14:paraId="7E448288" w14:textId="1AF4C970"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5D1C97CA" w14:textId="72BB50D8"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 xml:space="preserve">184. </w:t>
            </w:r>
          </w:p>
          <w:p w14:paraId="2CF80C48"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1. De conformidad con lo señalado en las leyes generales, corresponde al Instituto Nacional Electoral la función de fiscalización de los gastos en los procesos internos para la selección de candidatos de los Partidos Políticos. </w:t>
            </w:r>
          </w:p>
          <w:p w14:paraId="42FBEF36"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2. En todo caso, el Instituto Estatal prestará al Instituto Nacional Electoral la colaboración que le sea requerida y realizará las acciones conducentes, en el ámbito de sus competencias, para el desarrollo de las acciones de fiscalización o, en su caso, para el cumplimiento de las resoluciones que se deriven de eventuales infracciones a la normatividad relativa. </w:t>
            </w:r>
          </w:p>
          <w:p w14:paraId="37735398" w14:textId="3DE3D915"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59245B9D" w14:textId="45363420"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 xml:space="preserve">295. </w:t>
            </w:r>
          </w:p>
          <w:p w14:paraId="62DB7E69"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1. Los informes de ingresos y egresos de actos tendentes a recabar el apoyo ciudadano que presenten los aspirantes a cargos de elección local se sujetarán a los modelos, formatos y requisitos que señale el Consejo General del Instituto Nacional, a propuesta de su Unidad de Fiscalización. </w:t>
            </w:r>
          </w:p>
          <w:p w14:paraId="690BD1B2" w14:textId="3BB74515"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73334A44" w14:textId="38097F9E"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 xml:space="preserve">300. </w:t>
            </w:r>
          </w:p>
          <w:p w14:paraId="11B5159B"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1. Los ciudadanos que aspiren a participar como Candidatos Independientes a un cargo de elección popular deberán: </w:t>
            </w:r>
          </w:p>
          <w:p w14:paraId="6B0A9B5F" w14:textId="77777777" w:rsidR="000C0988" w:rsidRPr="00FD6AF1" w:rsidRDefault="000C0988" w:rsidP="004148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 </w:t>
            </w:r>
          </w:p>
          <w:p w14:paraId="10F770F8"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h) Escrito en el que manifieste su conformidad para que todos los ingresos y egresos de la cuenta bancaria abierta sean fiscalizados, en cualquier momento, por el Instituto Nacional Electoral. </w:t>
            </w:r>
          </w:p>
          <w:p w14:paraId="7FB58B78" w14:textId="6CFF3CE2"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 </w:t>
            </w:r>
          </w:p>
          <w:p w14:paraId="16CFA8A9" w14:textId="378606EE"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6CD19D4" w14:textId="255DA630"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309.</w:t>
            </w:r>
          </w:p>
          <w:p w14:paraId="541AE4AA"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F2FF9F4"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(REFORMADO [N. DE E. ESTE PÁRRAFO], P.O. 17 DE AGOSTO DE 2020)</w:t>
            </w:r>
          </w:p>
          <w:p w14:paraId="2BC4A065" w14:textId="0E2C1BEE"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1. Son obligaciones de las Candidatas y los Candidatos Independientes registrados:</w:t>
            </w:r>
          </w:p>
          <w:p w14:paraId="4D383C39" w14:textId="2FEF4946"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DAC605" w14:textId="0A0381BA"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w:t>
            </w:r>
          </w:p>
          <w:p w14:paraId="43947FDB" w14:textId="32F9D2BF"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16A93A" w14:textId="18DB5E7B"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XV. Ser responsable solidario, junto con el encargado de la administración de sus recursos financieros, dentro de los procedimientos de fiscalización de los recursos correspondientes, y</w:t>
            </w:r>
          </w:p>
          <w:p w14:paraId="68149685" w14:textId="78DF64B9"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D280971" w14:textId="285ED735"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w:t>
            </w:r>
          </w:p>
          <w:p w14:paraId="5972D4A2" w14:textId="516FC1B2"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3F3A630" w14:textId="3E957049"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317.</w:t>
            </w:r>
          </w:p>
          <w:p w14:paraId="053B4952"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788603" w14:textId="303F34F1"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w:t>
            </w:r>
          </w:p>
          <w:p w14:paraId="00B9F5EA"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66A899" w14:textId="791BB6CB"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2. 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Instituto Nacional Electoral para su revisión de conformidad con lo dispuesto en esta Ley. Dicha documentación deberá cumplir con los requisitos que exigen las disposiciones fiscales aplicables, así como las establecidas por el Reglamento de Fiscalización de la Unidad referida.</w:t>
            </w:r>
          </w:p>
          <w:p w14:paraId="79144AB9" w14:textId="1A8382E9"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241E71B" w14:textId="4790B6F6"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w:t>
            </w:r>
          </w:p>
          <w:p w14:paraId="15C7C8C6"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B46F54" w14:textId="00BA58DE"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 xml:space="preserve">328. </w:t>
            </w:r>
          </w:p>
          <w:p w14:paraId="0F1FE9B9" w14:textId="26C324AD"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1.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 la Comisión de Fiscalización del Instituto Nacional Electoral. </w:t>
            </w:r>
          </w:p>
          <w:p w14:paraId="2762CF4D"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560997" w14:textId="197FFCF3" w:rsidR="000C0988" w:rsidRPr="00FD6AF1" w:rsidRDefault="007455D4"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b/>
                <w:bCs/>
                <w:sz w:val="20"/>
                <w:szCs w:val="20"/>
              </w:rPr>
              <w:t xml:space="preserve">Artículo </w:t>
            </w:r>
            <w:r w:rsidR="000C0988" w:rsidRPr="00FD6AF1">
              <w:rPr>
                <w:rFonts w:ascii="Arial" w:hAnsi="Arial" w:cs="Arial"/>
                <w:b/>
                <w:bCs/>
                <w:sz w:val="20"/>
                <w:szCs w:val="20"/>
              </w:rPr>
              <w:t xml:space="preserve">329. </w:t>
            </w:r>
          </w:p>
          <w:p w14:paraId="3DBAC637" w14:textId="77777777" w:rsidR="000C0988" w:rsidRPr="00FD6AF1" w:rsidRDefault="000C0988" w:rsidP="00414875">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D6AF1">
              <w:rPr>
                <w:rFonts w:ascii="Arial" w:hAnsi="Arial" w:cs="Arial"/>
                <w:sz w:val="20"/>
                <w:szCs w:val="20"/>
              </w:rPr>
              <w:t xml:space="preserve">1. La Unidad Técnica de Fiscalización de la Comisión de Fiscalización del Instituto Nacional Electoral tiene a su cargo la recepción y revisión integral de los informes de ingresos y egresos que presenten los Candidatos Independientes respecto del origen y monto de los recursos por cualquier modalidad de financiamiento, así como sobre su destino y aplicación. </w:t>
            </w:r>
          </w:p>
          <w:p w14:paraId="00E2004A" w14:textId="4152F616"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hAnsi="Arial" w:cs="Arial"/>
                <w:sz w:val="20"/>
                <w:szCs w:val="20"/>
              </w:rPr>
              <w:t>2</w:t>
            </w:r>
            <w:r w:rsidRPr="00FD6AF1">
              <w:rPr>
                <w:rFonts w:ascii="Arial" w:eastAsiaTheme="minorHAnsi" w:hAnsi="Arial" w:cs="Arial"/>
                <w:color w:val="000000"/>
                <w:sz w:val="20"/>
                <w:szCs w:val="20"/>
                <w:lang w:eastAsia="en-US"/>
              </w:rPr>
              <w:t>. Las autoridades competentes en el estado están obligadas a atender y resolver, en un plazo máximo de cinco días hábiles, los requerimientos de información que respecto a las materias bancaria, fiduciaria y fiscal les formule la unidad técnica de fiscalización del Instituto.</w:t>
            </w:r>
          </w:p>
          <w:p w14:paraId="194756F9" w14:textId="4E7D3FD7" w:rsidR="000C0988" w:rsidRPr="00FD6AF1" w:rsidRDefault="007455D4"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en-US"/>
              </w:rPr>
            </w:pPr>
            <w:r w:rsidRPr="00FD6AF1">
              <w:rPr>
                <w:rFonts w:ascii="Arial" w:eastAsia="Calibri" w:hAnsi="Arial" w:cs="Arial"/>
                <w:b/>
                <w:sz w:val="20"/>
                <w:szCs w:val="20"/>
                <w:lang w:eastAsia="en-US"/>
              </w:rPr>
              <w:lastRenderedPageBreak/>
              <w:t xml:space="preserve">Artículo </w:t>
            </w:r>
            <w:r w:rsidR="000C0988" w:rsidRPr="00FD6AF1">
              <w:rPr>
                <w:rFonts w:ascii="Arial" w:eastAsia="Calibri" w:hAnsi="Arial" w:cs="Arial"/>
                <w:b/>
                <w:sz w:val="20"/>
                <w:szCs w:val="20"/>
                <w:lang w:eastAsia="en-US"/>
              </w:rPr>
              <w:t>336.</w:t>
            </w:r>
          </w:p>
          <w:p w14:paraId="039ABAB7" w14:textId="69C0389D"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1. Constituyen infracciones de los Partidos Políticos a la presente Ley:</w:t>
            </w:r>
          </w:p>
          <w:p w14:paraId="0E48BCB3" w14:textId="626FE4C4"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p w14:paraId="55F8C9A2" w14:textId="77777777"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III. El incumplimiento de las obligaciones o la infracción de las prohibiciones y topes que en materia de financiamiento y fiscalización les impone la Ley General de Partidos Políticos;</w:t>
            </w:r>
          </w:p>
          <w:p w14:paraId="218E6167" w14:textId="77777777"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IV. No presentar los informes trimestrales, anuales, de precampaña o de campaña, o no atender los requerimientos de información del Órgano Técnico de Fiscalización, en los términos y plazos previstos en esta Ley y sus reglamentos;</w:t>
            </w:r>
          </w:p>
          <w:p w14:paraId="2378B901" w14:textId="256C76B4" w:rsidR="000C0988" w:rsidRPr="00FD6AF1" w:rsidRDefault="000C0988" w:rsidP="00414875">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FD6AF1">
              <w:rPr>
                <w:rFonts w:ascii="Arial" w:eastAsia="Calibri" w:hAnsi="Arial" w:cs="Arial"/>
                <w:bCs/>
                <w:sz w:val="20"/>
                <w:szCs w:val="20"/>
                <w:lang w:eastAsia="en-US"/>
              </w:rPr>
              <w:t>[…]</w:t>
            </w:r>
          </w:p>
        </w:tc>
      </w:tr>
      <w:tr w:rsidR="000C0988" w:rsidRPr="00FD6AF1" w14:paraId="6430FA53" w14:textId="77777777" w:rsidTr="007455D4">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7F8F0C0" w14:textId="34C1ACA6" w:rsidR="000C0988" w:rsidRPr="00FD6AF1" w:rsidRDefault="000C0988" w:rsidP="000C0988">
            <w:pPr>
              <w:ind w:left="360"/>
              <w:jc w:val="both"/>
              <w:rPr>
                <w:rFonts w:ascii="Arial" w:hAnsi="Arial" w:cs="Arial"/>
                <w:sz w:val="20"/>
                <w:szCs w:val="20"/>
              </w:rPr>
            </w:pPr>
            <w:r w:rsidRPr="00FD6AF1">
              <w:rPr>
                <w:rFonts w:ascii="Arial" w:hAnsi="Arial" w:cs="Arial"/>
                <w:sz w:val="20"/>
                <w:szCs w:val="20"/>
              </w:rPr>
              <w:lastRenderedPageBreak/>
              <w:t>2</w:t>
            </w:r>
          </w:p>
        </w:tc>
        <w:tc>
          <w:tcPr>
            <w:tcW w:w="1559" w:type="dxa"/>
            <w:vAlign w:val="center"/>
          </w:tcPr>
          <w:p w14:paraId="6438CCE4" w14:textId="05093852" w:rsidR="000C0988" w:rsidRPr="00FD6AF1" w:rsidRDefault="000C0988" w:rsidP="000C0988">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D6AF1">
              <w:rPr>
                <w:rFonts w:ascii="Arial" w:hAnsi="Arial" w:cs="Arial"/>
                <w:b/>
                <w:sz w:val="20"/>
                <w:szCs w:val="20"/>
              </w:rPr>
              <w:t>TABASCO</w:t>
            </w:r>
          </w:p>
        </w:tc>
        <w:tc>
          <w:tcPr>
            <w:tcW w:w="14884" w:type="dxa"/>
            <w:gridSpan w:val="2"/>
            <w:vAlign w:val="center"/>
          </w:tcPr>
          <w:p w14:paraId="456D344B" w14:textId="77777777" w:rsidR="000C0988" w:rsidRPr="00FD6AF1" w:rsidRDefault="000C0988" w:rsidP="000C098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D6AF1">
              <w:rPr>
                <w:rFonts w:ascii="Arial" w:hAnsi="Arial" w:cs="Arial"/>
                <w:b/>
                <w:bCs/>
                <w:sz w:val="20"/>
                <w:szCs w:val="20"/>
              </w:rPr>
              <w:t>REGLAMENTOS EN MATERIA DE FISCALIZACIÓN</w:t>
            </w:r>
          </w:p>
          <w:p w14:paraId="097C06B4" w14:textId="77777777" w:rsidR="000C0988" w:rsidRPr="00FD6AF1" w:rsidRDefault="000C0988" w:rsidP="000C098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619D89E" w14:textId="77777777" w:rsidR="000C0988" w:rsidRPr="00FD6AF1" w:rsidRDefault="007455D4" w:rsidP="000C098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 w:history="1">
              <w:r w:rsidR="000C0988" w:rsidRPr="00FD6AF1">
                <w:rPr>
                  <w:rStyle w:val="Hipervnculo"/>
                  <w:sz w:val="20"/>
                  <w:szCs w:val="20"/>
                </w:rPr>
                <w:t>REGLAMENTO PARA LA FISCALIZACION DE LOS RECURSOS DE LOS PARTIDOS POLITICOS Y COALICIONES DEL ESTADO DE TABASCO</w:t>
              </w:r>
            </w:hyperlink>
            <w:hyperlink r:id="rId10" w:history="1"/>
          </w:p>
          <w:p w14:paraId="58980C33" w14:textId="77777777" w:rsidR="000C0988" w:rsidRPr="00FD6AF1" w:rsidRDefault="000C0988" w:rsidP="000C098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18E275" w14:textId="77777777" w:rsidR="000C0988" w:rsidRPr="00FD6AF1" w:rsidRDefault="007455D4" w:rsidP="000C098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 w:history="1">
              <w:r w:rsidR="000C0988" w:rsidRPr="00FD6AF1">
                <w:rPr>
                  <w:rStyle w:val="Hipervnculo"/>
                  <w:sz w:val="20"/>
                  <w:szCs w:val="20"/>
                </w:rPr>
                <w:t>REGLAMENTO PARA LA FISCALIZACION DE LOS RECURSOS DE LAS ORGANIZACIONES DE OBSERVADORES ELECTORALES</w:t>
              </w:r>
            </w:hyperlink>
          </w:p>
          <w:p w14:paraId="41B48BDA" w14:textId="77777777" w:rsidR="000C0988" w:rsidRPr="00FD6AF1" w:rsidRDefault="000C0988" w:rsidP="000C098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6612DF" w14:textId="77777777" w:rsidR="000C0988" w:rsidRPr="00FD6AF1" w:rsidRDefault="007455D4" w:rsidP="000C098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2" w:history="1">
              <w:r w:rsidR="000C0988" w:rsidRPr="00FD6AF1">
                <w:rPr>
                  <w:rStyle w:val="Hipervnculo"/>
                  <w:sz w:val="20"/>
                  <w:szCs w:val="20"/>
                </w:rPr>
                <w:t>REGLAMENTO PARA LA FISCALIZACIÓN DE LOS RECURSOS DE LAS AGRUPACIONES POLÍTICAS QUE CUENTEN CON REGISTRO ANTE DICHO ÓRGANO ELECTORAL.</w:t>
              </w:r>
            </w:hyperlink>
          </w:p>
          <w:p w14:paraId="54EEC555" w14:textId="77777777" w:rsidR="000C0988" w:rsidRPr="00FD6AF1" w:rsidRDefault="000C0988" w:rsidP="000C098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A74215E" w14:textId="6715434A" w:rsidR="000C0988" w:rsidRPr="00FD6AF1" w:rsidRDefault="007455D4" w:rsidP="000C0988">
            <w:pPr>
              <w:pStyle w:val="NormalWeb"/>
              <w:spacing w:after="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20"/>
                <w:szCs w:val="20"/>
                <w:lang w:eastAsia="en-US"/>
              </w:rPr>
            </w:pPr>
            <w:hyperlink r:id="rId13" w:history="1">
              <w:r w:rsidR="000C0988" w:rsidRPr="00FD6AF1">
                <w:rPr>
                  <w:rStyle w:val="Hipervnculo"/>
                  <w:sz w:val="20"/>
                  <w:szCs w:val="20"/>
                </w:rPr>
                <w:t>REGLAMENTO PARA LA FISCALIZACIÓN DE LOS RECURSOS DE LAS ORGANIZACIONES DE CIUDADANOS QUE PRETENDAN OBTENER REGISTRO COMO PARTIDO POLÍTICO LOCAL EN EL ESTADO LIBRE Y SOBERANO DE TABASCO.</w:t>
              </w:r>
            </w:hyperlink>
          </w:p>
        </w:tc>
      </w:tr>
    </w:tbl>
    <w:p w14:paraId="180A76E1" w14:textId="77777777" w:rsidR="000E7006" w:rsidRPr="00FF0B07" w:rsidRDefault="000E7006" w:rsidP="00414875">
      <w:pPr>
        <w:spacing w:after="0" w:line="240" w:lineRule="auto"/>
        <w:contextualSpacing/>
        <w:jc w:val="both"/>
        <w:rPr>
          <w:rFonts w:ascii="Century Gothic" w:hAnsi="Century Gothic" w:cs="Arial"/>
          <w:b/>
          <w:bCs/>
          <w:sz w:val="20"/>
          <w:szCs w:val="20"/>
        </w:rPr>
      </w:pPr>
    </w:p>
    <w:sectPr w:rsidR="000E7006" w:rsidRPr="00FF0B07" w:rsidSect="00014A68">
      <w:headerReference w:type="default" r:id="rId14"/>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23F9" w14:textId="77777777" w:rsidR="00FB5A41" w:rsidRDefault="00FB5A41" w:rsidP="0066719E">
      <w:pPr>
        <w:spacing w:after="0" w:line="240" w:lineRule="auto"/>
      </w:pPr>
      <w:r>
        <w:separator/>
      </w:r>
    </w:p>
  </w:endnote>
  <w:endnote w:type="continuationSeparator" w:id="0">
    <w:p w14:paraId="7ED69B34" w14:textId="77777777" w:rsidR="00FB5A41" w:rsidRDefault="00FB5A4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949" w14:textId="77777777" w:rsidR="00FB5A41" w:rsidRDefault="00FB5A41" w:rsidP="0066719E">
      <w:pPr>
        <w:spacing w:after="0" w:line="240" w:lineRule="auto"/>
      </w:pPr>
      <w:r>
        <w:separator/>
      </w:r>
    </w:p>
  </w:footnote>
  <w:footnote w:type="continuationSeparator" w:id="0">
    <w:p w14:paraId="58220DF2" w14:textId="77777777" w:rsidR="00FB5A41" w:rsidRDefault="00FB5A4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C799" w14:textId="45887861" w:rsidR="007455D4" w:rsidRDefault="007455D4">
    <w:pPr>
      <w:pStyle w:val="Encabezado"/>
    </w:pPr>
    <w:r>
      <w:rPr>
        <w:noProof/>
      </w:rPr>
      <w:drawing>
        <wp:anchor distT="0" distB="0" distL="0" distR="0" simplePos="0" relativeHeight="251659264" behindDoc="0" locked="0" layoutInCell="1" allowOverlap="1" wp14:anchorId="1D399BB0" wp14:editId="1F7F0C20">
          <wp:simplePos x="0" y="0"/>
          <wp:positionH relativeFrom="margin">
            <wp:align>left</wp:align>
          </wp:positionH>
          <wp:positionV relativeFrom="paragraph">
            <wp:posOffset>-372051</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p>
  <w:p w14:paraId="051A1AB4" w14:textId="688ED54B" w:rsidR="007455D4" w:rsidRDefault="007455D4" w:rsidP="007455D4">
    <w:pPr>
      <w:pStyle w:val="Encabezado"/>
      <w:tabs>
        <w:tab w:val="clear" w:pos="4419"/>
        <w:tab w:val="clear" w:pos="8838"/>
        <w:tab w:val="left" w:pos="13295"/>
      </w:tabs>
    </w:pPr>
  </w:p>
  <w:p w14:paraId="6EC03E10" w14:textId="54D8C975" w:rsidR="007455D4" w:rsidRDefault="007455D4" w:rsidP="007455D4">
    <w:pPr>
      <w:pStyle w:val="Encabezado"/>
      <w:tabs>
        <w:tab w:val="clear" w:pos="4419"/>
        <w:tab w:val="clear" w:pos="8838"/>
        <w:tab w:val="left" w:pos="13295"/>
      </w:tabs>
    </w:pPr>
    <w:r>
      <w:rPr>
        <w:rFonts w:ascii="Arial" w:eastAsia="Arial" w:hAnsi="Arial" w:cs="Arial"/>
        <w:b/>
        <w:i/>
      </w:rPr>
      <w:t xml:space="preserve">                                                                                                                                                                           </w:t>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5C15F77E" w14:textId="51C491A9" w:rsidR="007455D4" w:rsidRDefault="007455D4" w:rsidP="007455D4">
    <w:pPr>
      <w:pStyle w:val="Encabezado"/>
      <w:tabs>
        <w:tab w:val="clear" w:pos="4419"/>
        <w:tab w:val="clear" w:pos="8838"/>
        <w:tab w:val="left" w:pos="13295"/>
      </w:tabs>
    </w:pPr>
  </w:p>
  <w:p w14:paraId="7D14E804" w14:textId="2615E9AD" w:rsidR="007455D4" w:rsidRDefault="007455D4" w:rsidP="007455D4">
    <w:pPr>
      <w:pStyle w:val="Encabezado"/>
      <w:tabs>
        <w:tab w:val="clear" w:pos="4419"/>
        <w:tab w:val="clear" w:pos="8838"/>
        <w:tab w:val="left" w:pos="13295"/>
      </w:tabs>
    </w:pPr>
  </w:p>
  <w:p w14:paraId="31B24E04" w14:textId="77777777" w:rsidR="007455D4" w:rsidRDefault="007455D4" w:rsidP="007455D4">
    <w:pPr>
      <w:pStyle w:val="Encabezado"/>
      <w:tabs>
        <w:tab w:val="clear" w:pos="4419"/>
        <w:tab w:val="clear" w:pos="8838"/>
        <w:tab w:val="left" w:pos="13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34B1"/>
    <w:rsid w:val="00014710"/>
    <w:rsid w:val="00014A68"/>
    <w:rsid w:val="000233C9"/>
    <w:rsid w:val="00034E91"/>
    <w:rsid w:val="00035203"/>
    <w:rsid w:val="00040488"/>
    <w:rsid w:val="00041BC7"/>
    <w:rsid w:val="00041F6F"/>
    <w:rsid w:val="00044864"/>
    <w:rsid w:val="00045E37"/>
    <w:rsid w:val="00047692"/>
    <w:rsid w:val="000579F2"/>
    <w:rsid w:val="00060D9A"/>
    <w:rsid w:val="00063E5D"/>
    <w:rsid w:val="0006518A"/>
    <w:rsid w:val="00071174"/>
    <w:rsid w:val="000736B5"/>
    <w:rsid w:val="0007579E"/>
    <w:rsid w:val="00090B3F"/>
    <w:rsid w:val="0009603A"/>
    <w:rsid w:val="00096C28"/>
    <w:rsid w:val="000A66A3"/>
    <w:rsid w:val="000A6EC7"/>
    <w:rsid w:val="000A7990"/>
    <w:rsid w:val="000B2120"/>
    <w:rsid w:val="000B72EB"/>
    <w:rsid w:val="000C0988"/>
    <w:rsid w:val="000C2908"/>
    <w:rsid w:val="000C5449"/>
    <w:rsid w:val="000D1C49"/>
    <w:rsid w:val="000D32E2"/>
    <w:rsid w:val="000E25F0"/>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21E12"/>
    <w:rsid w:val="00122B67"/>
    <w:rsid w:val="00122BA6"/>
    <w:rsid w:val="00124918"/>
    <w:rsid w:val="00132802"/>
    <w:rsid w:val="00133EDC"/>
    <w:rsid w:val="00134041"/>
    <w:rsid w:val="001504C9"/>
    <w:rsid w:val="00151BCB"/>
    <w:rsid w:val="0015510E"/>
    <w:rsid w:val="00157D83"/>
    <w:rsid w:val="00162CBA"/>
    <w:rsid w:val="00172FEC"/>
    <w:rsid w:val="00174239"/>
    <w:rsid w:val="00180C66"/>
    <w:rsid w:val="00183254"/>
    <w:rsid w:val="00190C20"/>
    <w:rsid w:val="001B5C53"/>
    <w:rsid w:val="001C3D12"/>
    <w:rsid w:val="001C604C"/>
    <w:rsid w:val="001C7E8D"/>
    <w:rsid w:val="001D10C2"/>
    <w:rsid w:val="001F011D"/>
    <w:rsid w:val="001F1E92"/>
    <w:rsid w:val="001F5D22"/>
    <w:rsid w:val="001F64DB"/>
    <w:rsid w:val="00205382"/>
    <w:rsid w:val="00211202"/>
    <w:rsid w:val="002114E7"/>
    <w:rsid w:val="00216013"/>
    <w:rsid w:val="00220986"/>
    <w:rsid w:val="00231632"/>
    <w:rsid w:val="002322EE"/>
    <w:rsid w:val="00232E4D"/>
    <w:rsid w:val="00235430"/>
    <w:rsid w:val="00236029"/>
    <w:rsid w:val="00241317"/>
    <w:rsid w:val="002419F3"/>
    <w:rsid w:val="002420B2"/>
    <w:rsid w:val="002427EA"/>
    <w:rsid w:val="002535CA"/>
    <w:rsid w:val="00253C9A"/>
    <w:rsid w:val="0027000C"/>
    <w:rsid w:val="00275B7E"/>
    <w:rsid w:val="00283D06"/>
    <w:rsid w:val="00291643"/>
    <w:rsid w:val="00294B77"/>
    <w:rsid w:val="002A0AB8"/>
    <w:rsid w:val="002A3B77"/>
    <w:rsid w:val="002B1137"/>
    <w:rsid w:val="002C1411"/>
    <w:rsid w:val="002C1A46"/>
    <w:rsid w:val="002C6D50"/>
    <w:rsid w:val="002C7483"/>
    <w:rsid w:val="002D0EC8"/>
    <w:rsid w:val="002D1134"/>
    <w:rsid w:val="002D2571"/>
    <w:rsid w:val="002D3784"/>
    <w:rsid w:val="002D6F78"/>
    <w:rsid w:val="002D6FC4"/>
    <w:rsid w:val="002E3111"/>
    <w:rsid w:val="002F17E9"/>
    <w:rsid w:val="002F6414"/>
    <w:rsid w:val="002F6B8B"/>
    <w:rsid w:val="0030255F"/>
    <w:rsid w:val="003032DD"/>
    <w:rsid w:val="003070A2"/>
    <w:rsid w:val="00310301"/>
    <w:rsid w:val="003114AD"/>
    <w:rsid w:val="003159FF"/>
    <w:rsid w:val="00317706"/>
    <w:rsid w:val="0032427F"/>
    <w:rsid w:val="00333E04"/>
    <w:rsid w:val="003347D9"/>
    <w:rsid w:val="00343740"/>
    <w:rsid w:val="003553BB"/>
    <w:rsid w:val="003557F6"/>
    <w:rsid w:val="00356318"/>
    <w:rsid w:val="00362061"/>
    <w:rsid w:val="00367C8D"/>
    <w:rsid w:val="00371366"/>
    <w:rsid w:val="00371CD3"/>
    <w:rsid w:val="00372A97"/>
    <w:rsid w:val="00376467"/>
    <w:rsid w:val="00381411"/>
    <w:rsid w:val="003840D9"/>
    <w:rsid w:val="00390190"/>
    <w:rsid w:val="003959AF"/>
    <w:rsid w:val="003A441C"/>
    <w:rsid w:val="003A5324"/>
    <w:rsid w:val="003A5C9E"/>
    <w:rsid w:val="003B6AF2"/>
    <w:rsid w:val="003C360B"/>
    <w:rsid w:val="003C427A"/>
    <w:rsid w:val="003C5117"/>
    <w:rsid w:val="003C5963"/>
    <w:rsid w:val="003D5BE1"/>
    <w:rsid w:val="003E5C0B"/>
    <w:rsid w:val="003F02F5"/>
    <w:rsid w:val="003F4DEF"/>
    <w:rsid w:val="003F539B"/>
    <w:rsid w:val="003F5B01"/>
    <w:rsid w:val="003F68C4"/>
    <w:rsid w:val="003F71FF"/>
    <w:rsid w:val="00403A5F"/>
    <w:rsid w:val="00406EC5"/>
    <w:rsid w:val="00414875"/>
    <w:rsid w:val="00417A73"/>
    <w:rsid w:val="00421C6F"/>
    <w:rsid w:val="00424E79"/>
    <w:rsid w:val="0042675C"/>
    <w:rsid w:val="00431F2F"/>
    <w:rsid w:val="004365DE"/>
    <w:rsid w:val="004379B0"/>
    <w:rsid w:val="00443800"/>
    <w:rsid w:val="00447B23"/>
    <w:rsid w:val="004668FF"/>
    <w:rsid w:val="00473536"/>
    <w:rsid w:val="00474E2C"/>
    <w:rsid w:val="004760EE"/>
    <w:rsid w:val="004764F6"/>
    <w:rsid w:val="00480923"/>
    <w:rsid w:val="004831EC"/>
    <w:rsid w:val="004837BB"/>
    <w:rsid w:val="004876F0"/>
    <w:rsid w:val="0049137A"/>
    <w:rsid w:val="00494ADA"/>
    <w:rsid w:val="00496CEC"/>
    <w:rsid w:val="004A4252"/>
    <w:rsid w:val="004A5F2E"/>
    <w:rsid w:val="004A7093"/>
    <w:rsid w:val="004A76AD"/>
    <w:rsid w:val="004B208A"/>
    <w:rsid w:val="004B3A6B"/>
    <w:rsid w:val="004B4CEC"/>
    <w:rsid w:val="004C3146"/>
    <w:rsid w:val="004C54B0"/>
    <w:rsid w:val="004C54DD"/>
    <w:rsid w:val="004C6030"/>
    <w:rsid w:val="004D63EE"/>
    <w:rsid w:val="004D6F56"/>
    <w:rsid w:val="004F0F19"/>
    <w:rsid w:val="00500CFB"/>
    <w:rsid w:val="00506F0C"/>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AD5"/>
    <w:rsid w:val="00557FC4"/>
    <w:rsid w:val="00571690"/>
    <w:rsid w:val="00574B4A"/>
    <w:rsid w:val="0058130E"/>
    <w:rsid w:val="00583A48"/>
    <w:rsid w:val="00583A81"/>
    <w:rsid w:val="00583A86"/>
    <w:rsid w:val="00590467"/>
    <w:rsid w:val="00595C35"/>
    <w:rsid w:val="005A4004"/>
    <w:rsid w:val="005A6AF5"/>
    <w:rsid w:val="005B07D0"/>
    <w:rsid w:val="005B5F8F"/>
    <w:rsid w:val="005C403C"/>
    <w:rsid w:val="005C5AC1"/>
    <w:rsid w:val="005C6F32"/>
    <w:rsid w:val="005C779A"/>
    <w:rsid w:val="005D4851"/>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2959"/>
    <w:rsid w:val="00653B9C"/>
    <w:rsid w:val="006608DA"/>
    <w:rsid w:val="00666328"/>
    <w:rsid w:val="0066719E"/>
    <w:rsid w:val="00667641"/>
    <w:rsid w:val="00671124"/>
    <w:rsid w:val="006720C0"/>
    <w:rsid w:val="00674D06"/>
    <w:rsid w:val="00675EF1"/>
    <w:rsid w:val="006806E3"/>
    <w:rsid w:val="00692FF5"/>
    <w:rsid w:val="00693291"/>
    <w:rsid w:val="006939EF"/>
    <w:rsid w:val="00697E23"/>
    <w:rsid w:val="006A0765"/>
    <w:rsid w:val="006B5493"/>
    <w:rsid w:val="006B668C"/>
    <w:rsid w:val="006C0FF1"/>
    <w:rsid w:val="006C482C"/>
    <w:rsid w:val="006D4D0A"/>
    <w:rsid w:val="006D6333"/>
    <w:rsid w:val="006E494E"/>
    <w:rsid w:val="006F25C7"/>
    <w:rsid w:val="006F50DF"/>
    <w:rsid w:val="006F681E"/>
    <w:rsid w:val="007018D1"/>
    <w:rsid w:val="0070402F"/>
    <w:rsid w:val="007061D5"/>
    <w:rsid w:val="0071071F"/>
    <w:rsid w:val="00714C31"/>
    <w:rsid w:val="00726E40"/>
    <w:rsid w:val="007455D4"/>
    <w:rsid w:val="00746689"/>
    <w:rsid w:val="00756244"/>
    <w:rsid w:val="00756684"/>
    <w:rsid w:val="0076405B"/>
    <w:rsid w:val="0077486F"/>
    <w:rsid w:val="007812B9"/>
    <w:rsid w:val="00782F61"/>
    <w:rsid w:val="0078377A"/>
    <w:rsid w:val="00786ADD"/>
    <w:rsid w:val="00797ACC"/>
    <w:rsid w:val="007B2E01"/>
    <w:rsid w:val="007C0C96"/>
    <w:rsid w:val="007C383E"/>
    <w:rsid w:val="007D0E9E"/>
    <w:rsid w:val="007D1433"/>
    <w:rsid w:val="007D2DD5"/>
    <w:rsid w:val="007D4A19"/>
    <w:rsid w:val="007F2329"/>
    <w:rsid w:val="007F568E"/>
    <w:rsid w:val="008022EC"/>
    <w:rsid w:val="00803084"/>
    <w:rsid w:val="00803CA0"/>
    <w:rsid w:val="00805985"/>
    <w:rsid w:val="00806C66"/>
    <w:rsid w:val="008073AD"/>
    <w:rsid w:val="00807F4E"/>
    <w:rsid w:val="008118A1"/>
    <w:rsid w:val="00814A6B"/>
    <w:rsid w:val="00823C1B"/>
    <w:rsid w:val="008320D3"/>
    <w:rsid w:val="00832272"/>
    <w:rsid w:val="00832899"/>
    <w:rsid w:val="00834430"/>
    <w:rsid w:val="00836A4F"/>
    <w:rsid w:val="00844F09"/>
    <w:rsid w:val="008549B1"/>
    <w:rsid w:val="008701DD"/>
    <w:rsid w:val="008950A8"/>
    <w:rsid w:val="0089715E"/>
    <w:rsid w:val="008A4F18"/>
    <w:rsid w:val="008B1A4C"/>
    <w:rsid w:val="008B4C3E"/>
    <w:rsid w:val="008B620A"/>
    <w:rsid w:val="008B7AC0"/>
    <w:rsid w:val="008C2F78"/>
    <w:rsid w:val="008C36CE"/>
    <w:rsid w:val="008C5F23"/>
    <w:rsid w:val="008D14D1"/>
    <w:rsid w:val="008E3E22"/>
    <w:rsid w:val="008E585A"/>
    <w:rsid w:val="008F108F"/>
    <w:rsid w:val="008F7F99"/>
    <w:rsid w:val="00903F69"/>
    <w:rsid w:val="00910B80"/>
    <w:rsid w:val="00913BAA"/>
    <w:rsid w:val="00913D46"/>
    <w:rsid w:val="00922C4B"/>
    <w:rsid w:val="009239A9"/>
    <w:rsid w:val="00940941"/>
    <w:rsid w:val="0094097C"/>
    <w:rsid w:val="009418D2"/>
    <w:rsid w:val="0094304C"/>
    <w:rsid w:val="009463C8"/>
    <w:rsid w:val="00952C93"/>
    <w:rsid w:val="0096028A"/>
    <w:rsid w:val="00960F74"/>
    <w:rsid w:val="00975825"/>
    <w:rsid w:val="0097588A"/>
    <w:rsid w:val="00976D9A"/>
    <w:rsid w:val="0098149A"/>
    <w:rsid w:val="00986B44"/>
    <w:rsid w:val="009913ED"/>
    <w:rsid w:val="009A678E"/>
    <w:rsid w:val="009A6969"/>
    <w:rsid w:val="009B4DA1"/>
    <w:rsid w:val="009B5ADA"/>
    <w:rsid w:val="009B6502"/>
    <w:rsid w:val="009C425F"/>
    <w:rsid w:val="009C6834"/>
    <w:rsid w:val="009D24E9"/>
    <w:rsid w:val="009D49B1"/>
    <w:rsid w:val="009D60CC"/>
    <w:rsid w:val="009D6D03"/>
    <w:rsid w:val="009D73CD"/>
    <w:rsid w:val="009E2A5C"/>
    <w:rsid w:val="009E3144"/>
    <w:rsid w:val="009E763B"/>
    <w:rsid w:val="00A07325"/>
    <w:rsid w:val="00A12BAF"/>
    <w:rsid w:val="00A205B5"/>
    <w:rsid w:val="00A2175E"/>
    <w:rsid w:val="00A226A3"/>
    <w:rsid w:val="00A24AC3"/>
    <w:rsid w:val="00A25F1D"/>
    <w:rsid w:val="00A271BC"/>
    <w:rsid w:val="00A278EC"/>
    <w:rsid w:val="00A35EC3"/>
    <w:rsid w:val="00A37BDE"/>
    <w:rsid w:val="00A56A55"/>
    <w:rsid w:val="00A57322"/>
    <w:rsid w:val="00A92CE6"/>
    <w:rsid w:val="00A972C7"/>
    <w:rsid w:val="00AA4705"/>
    <w:rsid w:val="00AA6942"/>
    <w:rsid w:val="00AA79E6"/>
    <w:rsid w:val="00AC421F"/>
    <w:rsid w:val="00AE25D0"/>
    <w:rsid w:val="00AE4DA6"/>
    <w:rsid w:val="00AF1061"/>
    <w:rsid w:val="00AF490F"/>
    <w:rsid w:val="00AF6B0E"/>
    <w:rsid w:val="00AF6F88"/>
    <w:rsid w:val="00B03E0E"/>
    <w:rsid w:val="00B11828"/>
    <w:rsid w:val="00B11A27"/>
    <w:rsid w:val="00B219B1"/>
    <w:rsid w:val="00B2331F"/>
    <w:rsid w:val="00B25770"/>
    <w:rsid w:val="00B30FCC"/>
    <w:rsid w:val="00B31482"/>
    <w:rsid w:val="00B32E57"/>
    <w:rsid w:val="00B338E1"/>
    <w:rsid w:val="00B47C1D"/>
    <w:rsid w:val="00B47DC6"/>
    <w:rsid w:val="00B5134D"/>
    <w:rsid w:val="00B529A0"/>
    <w:rsid w:val="00B53E42"/>
    <w:rsid w:val="00B67AA7"/>
    <w:rsid w:val="00B7155B"/>
    <w:rsid w:val="00B73155"/>
    <w:rsid w:val="00B74353"/>
    <w:rsid w:val="00B8045D"/>
    <w:rsid w:val="00B8161D"/>
    <w:rsid w:val="00B83D81"/>
    <w:rsid w:val="00B90CD2"/>
    <w:rsid w:val="00B9743A"/>
    <w:rsid w:val="00BA3B37"/>
    <w:rsid w:val="00BA4515"/>
    <w:rsid w:val="00BA6A1E"/>
    <w:rsid w:val="00BA7CE4"/>
    <w:rsid w:val="00BB23DF"/>
    <w:rsid w:val="00BB6F73"/>
    <w:rsid w:val="00BC0555"/>
    <w:rsid w:val="00BC14B9"/>
    <w:rsid w:val="00BD1C38"/>
    <w:rsid w:val="00BD4173"/>
    <w:rsid w:val="00BD6F18"/>
    <w:rsid w:val="00BE4580"/>
    <w:rsid w:val="00BF2DCF"/>
    <w:rsid w:val="00BF6711"/>
    <w:rsid w:val="00C06006"/>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3457"/>
    <w:rsid w:val="00C936C2"/>
    <w:rsid w:val="00CA55CC"/>
    <w:rsid w:val="00CA6057"/>
    <w:rsid w:val="00CB1D78"/>
    <w:rsid w:val="00CB4AF5"/>
    <w:rsid w:val="00CB54E1"/>
    <w:rsid w:val="00CC0D99"/>
    <w:rsid w:val="00CC1C63"/>
    <w:rsid w:val="00CC2F45"/>
    <w:rsid w:val="00CE2B86"/>
    <w:rsid w:val="00CE63A0"/>
    <w:rsid w:val="00CE79C0"/>
    <w:rsid w:val="00CF2894"/>
    <w:rsid w:val="00D03F11"/>
    <w:rsid w:val="00D13788"/>
    <w:rsid w:val="00D2194C"/>
    <w:rsid w:val="00D2237C"/>
    <w:rsid w:val="00D23ED9"/>
    <w:rsid w:val="00D2670F"/>
    <w:rsid w:val="00D304D3"/>
    <w:rsid w:val="00D41557"/>
    <w:rsid w:val="00D42412"/>
    <w:rsid w:val="00D51030"/>
    <w:rsid w:val="00D64519"/>
    <w:rsid w:val="00D66BC6"/>
    <w:rsid w:val="00D70E1B"/>
    <w:rsid w:val="00D719BA"/>
    <w:rsid w:val="00D71B0E"/>
    <w:rsid w:val="00D8596D"/>
    <w:rsid w:val="00DA1909"/>
    <w:rsid w:val="00DA1E20"/>
    <w:rsid w:val="00DB1F00"/>
    <w:rsid w:val="00DB36A1"/>
    <w:rsid w:val="00DB4EF5"/>
    <w:rsid w:val="00DC2FEC"/>
    <w:rsid w:val="00DD7DA7"/>
    <w:rsid w:val="00DE397C"/>
    <w:rsid w:val="00DF3EB5"/>
    <w:rsid w:val="00DF7C5E"/>
    <w:rsid w:val="00E0396F"/>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AA1"/>
    <w:rsid w:val="00E73331"/>
    <w:rsid w:val="00E73612"/>
    <w:rsid w:val="00E73657"/>
    <w:rsid w:val="00E831AE"/>
    <w:rsid w:val="00E83E4D"/>
    <w:rsid w:val="00E84592"/>
    <w:rsid w:val="00E84BAE"/>
    <w:rsid w:val="00E86BCF"/>
    <w:rsid w:val="00E93444"/>
    <w:rsid w:val="00E95EA8"/>
    <w:rsid w:val="00E96041"/>
    <w:rsid w:val="00E97067"/>
    <w:rsid w:val="00EA320A"/>
    <w:rsid w:val="00EA411B"/>
    <w:rsid w:val="00EA589A"/>
    <w:rsid w:val="00EA5987"/>
    <w:rsid w:val="00EB5553"/>
    <w:rsid w:val="00EC12CC"/>
    <w:rsid w:val="00ED36FC"/>
    <w:rsid w:val="00ED5618"/>
    <w:rsid w:val="00ED5F9F"/>
    <w:rsid w:val="00EF5993"/>
    <w:rsid w:val="00EF7EAC"/>
    <w:rsid w:val="00F034FB"/>
    <w:rsid w:val="00F054D3"/>
    <w:rsid w:val="00F276E5"/>
    <w:rsid w:val="00F32991"/>
    <w:rsid w:val="00F34C74"/>
    <w:rsid w:val="00F3637A"/>
    <w:rsid w:val="00F41723"/>
    <w:rsid w:val="00F4222F"/>
    <w:rsid w:val="00F47AA7"/>
    <w:rsid w:val="00F5598B"/>
    <w:rsid w:val="00F6052A"/>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C7E31"/>
    <w:rsid w:val="00FD29CB"/>
    <w:rsid w:val="00FD2B97"/>
    <w:rsid w:val="00FD5778"/>
    <w:rsid w:val="00FD6AF1"/>
    <w:rsid w:val="00FE05BD"/>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 w:type="paragraph" w:customStyle="1" w:styleId="Default">
    <w:name w:val="Default"/>
    <w:rsid w:val="009D24E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scjn.gob.mx/Buscador/Paginas/AbrirDocArticulo.aspx?q=u+uol4XmeVVQSBV20oBZU+hwpl+zmYBmSBmj+U+rQXm9e7pBvoxBuFXUaPxnvQYrzXLkvfMhDt9vNReBqTjY6w==" TargetMode="External"/><Relationship Id="rId13" Type="http://schemas.openxmlformats.org/officeDocument/2006/relationships/hyperlink" Target="http://iepct.org.mx/docs/marco_legal/reglamento_recurso_or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pct.org.mx/docs/marco_legal/reglamento_fiscalizacion_recurs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scjn.gob.mx/Buscador/Paginas/AbrirDocArticulo.aspx?q=JiStXqpSjkMH98qQCT4M8mNVSBqA5SY6x9SGBTNISws/IlTWWqxjTx8dgE2zVrEL4GDc7sKNjvFE00e3QcHi7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cion.scjn.gob.mx/Buscador/Paginas/AbrirDocArticulo.aspx?q=NXtVbVbLhFTkm4PhV/60zKSNglGKZKdeaWJS9vN5eKw6b9fUZDFODGCkXIH3lVfaqH/mlbEJVyZm69z/cc2/RA==" TargetMode="External"/><Relationship Id="rId4" Type="http://schemas.openxmlformats.org/officeDocument/2006/relationships/settings" Target="settings.xml"/><Relationship Id="rId9" Type="http://schemas.openxmlformats.org/officeDocument/2006/relationships/hyperlink" Target="https://legislacion.scjn.gob.mx/Buscador/Paginas/AbrirDocArticulo.aspx?q=NXtVbVbLhFTkm4PhV/60zKSNglGKZKdeaWJS9vN5eKw6b9fUZDFODGCkXIH3lVfaqH/mlbEJVyZm69z/cc2/R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ED14-DFBE-40CF-8D7F-1EF17BB0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85</cp:revision>
  <cp:lastPrinted>2015-04-17T18:02:00Z</cp:lastPrinted>
  <dcterms:created xsi:type="dcterms:W3CDTF">2021-04-21T16:01:00Z</dcterms:created>
  <dcterms:modified xsi:type="dcterms:W3CDTF">2021-11-03T19:57:00Z</dcterms:modified>
</cp:coreProperties>
</file>