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918529" w14:textId="77777777" w:rsidR="002420B2" w:rsidRPr="00B32E57" w:rsidRDefault="002420B2" w:rsidP="00B32E57">
      <w:pPr>
        <w:spacing w:after="0" w:line="240" w:lineRule="auto"/>
        <w:contextualSpacing/>
        <w:rPr>
          <w:rFonts w:ascii="Century Gothic" w:hAnsi="Century Gothic" w:cs="Arial"/>
          <w:b/>
          <w:bCs/>
          <w:sz w:val="20"/>
          <w:szCs w:val="20"/>
        </w:rPr>
      </w:pPr>
    </w:p>
    <w:tbl>
      <w:tblPr>
        <w:tblStyle w:val="Tablanormal1"/>
        <w:tblW w:w="17714" w:type="dxa"/>
        <w:jc w:val="center"/>
        <w:tblLayout w:type="fixed"/>
        <w:tblLook w:val="04A0" w:firstRow="1" w:lastRow="0" w:firstColumn="1" w:lastColumn="0" w:noHBand="0" w:noVBand="1"/>
      </w:tblPr>
      <w:tblGrid>
        <w:gridCol w:w="846"/>
        <w:gridCol w:w="1417"/>
        <w:gridCol w:w="2694"/>
        <w:gridCol w:w="12757"/>
      </w:tblGrid>
      <w:tr w:rsidR="0022355A" w:rsidRPr="0072470A" w14:paraId="13442222" w14:textId="4A5A189F" w:rsidTr="00727A3F">
        <w:trPr>
          <w:cnfStyle w:val="100000000000" w:firstRow="1" w:lastRow="0" w:firstColumn="0" w:lastColumn="0" w:oddVBand="0" w:evenVBand="0" w:oddHBand="0" w:evenHBand="0" w:firstRowFirstColumn="0" w:firstRowLastColumn="0" w:lastRowFirstColumn="0" w:lastRowLastColumn="0"/>
          <w:trHeight w:val="399"/>
          <w:tblHeader/>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76923C" w:themeFill="accent3" w:themeFillShade="BF"/>
            <w:vAlign w:val="center"/>
          </w:tcPr>
          <w:p w14:paraId="17AE3450" w14:textId="77777777" w:rsidR="0022355A" w:rsidRPr="0072470A" w:rsidRDefault="0022355A" w:rsidP="007B7E33">
            <w:pPr>
              <w:pStyle w:val="NormalWeb"/>
              <w:spacing w:before="0" w:beforeAutospacing="0" w:after="0" w:afterAutospacing="0"/>
              <w:ind w:left="720"/>
              <w:jc w:val="center"/>
              <w:rPr>
                <w:rFonts w:ascii="Arial" w:eastAsia="Calibri" w:hAnsi="Arial" w:cs="Arial"/>
                <w:color w:val="FFFFFF" w:themeColor="background1"/>
                <w:sz w:val="20"/>
                <w:szCs w:val="20"/>
                <w:lang w:eastAsia="en-US"/>
              </w:rPr>
            </w:pPr>
          </w:p>
        </w:tc>
        <w:tc>
          <w:tcPr>
            <w:tcW w:w="1417" w:type="dxa"/>
            <w:shd w:val="clear" w:color="auto" w:fill="76923C" w:themeFill="accent3" w:themeFillShade="BF"/>
            <w:vAlign w:val="center"/>
          </w:tcPr>
          <w:p w14:paraId="1119A04E" w14:textId="77777777" w:rsidR="0022355A" w:rsidRPr="0072470A" w:rsidRDefault="0022355A" w:rsidP="007B7E3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72470A">
              <w:rPr>
                <w:rFonts w:ascii="Arial" w:eastAsia="Calibri" w:hAnsi="Arial" w:cs="Arial"/>
                <w:bCs w:val="0"/>
                <w:color w:val="FFFFFF" w:themeColor="background1"/>
                <w:sz w:val="20"/>
                <w:szCs w:val="20"/>
                <w:lang w:eastAsia="en-US"/>
              </w:rPr>
              <w:t>ESTADO</w:t>
            </w:r>
          </w:p>
        </w:tc>
        <w:tc>
          <w:tcPr>
            <w:tcW w:w="2694" w:type="dxa"/>
            <w:shd w:val="clear" w:color="auto" w:fill="76923C" w:themeFill="accent3" w:themeFillShade="BF"/>
            <w:vAlign w:val="center"/>
          </w:tcPr>
          <w:p w14:paraId="1F278F81" w14:textId="77777777" w:rsidR="0022355A" w:rsidRPr="0072470A" w:rsidRDefault="0022355A" w:rsidP="007B7E33">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72470A">
              <w:rPr>
                <w:rFonts w:ascii="Arial" w:eastAsia="Calibri" w:hAnsi="Arial" w:cs="Arial"/>
                <w:bCs w:val="0"/>
                <w:color w:val="FFFFFF" w:themeColor="background1"/>
                <w:sz w:val="20"/>
                <w:szCs w:val="20"/>
                <w:lang w:eastAsia="en-US"/>
              </w:rPr>
              <w:t>LEY</w:t>
            </w:r>
          </w:p>
        </w:tc>
        <w:tc>
          <w:tcPr>
            <w:tcW w:w="12757" w:type="dxa"/>
            <w:shd w:val="clear" w:color="auto" w:fill="76923C" w:themeFill="accent3" w:themeFillShade="BF"/>
          </w:tcPr>
          <w:p w14:paraId="4BB9000F" w14:textId="65A4967E" w:rsidR="0022355A" w:rsidRPr="0072470A" w:rsidRDefault="00323C45" w:rsidP="00B32E57">
            <w:pPr>
              <w:pStyle w:val="NormalWeb"/>
              <w:spacing w:before="0" w:beforeAutospacing="0" w:after="0" w:afterAutospacing="0"/>
              <w:jc w:val="center"/>
              <w:cnfStyle w:val="100000000000" w:firstRow="1" w:lastRow="0" w:firstColumn="0" w:lastColumn="0" w:oddVBand="0" w:evenVBand="0" w:oddHBand="0" w:evenHBand="0" w:firstRowFirstColumn="0" w:firstRowLastColumn="0" w:lastRowFirstColumn="0" w:lastRowLastColumn="0"/>
              <w:rPr>
                <w:rFonts w:ascii="Arial" w:eastAsia="Calibri" w:hAnsi="Arial" w:cs="Arial"/>
                <w:bCs w:val="0"/>
                <w:color w:val="FFFFFF" w:themeColor="background1"/>
                <w:sz w:val="20"/>
                <w:szCs w:val="20"/>
                <w:lang w:eastAsia="en-US"/>
              </w:rPr>
            </w:pPr>
            <w:r w:rsidRPr="0072470A">
              <w:rPr>
                <w:rFonts w:ascii="Arial" w:eastAsia="Century Gothic" w:hAnsi="Arial" w:cs="Arial"/>
                <w:color w:val="FFFFFF"/>
                <w:sz w:val="20"/>
              </w:rPr>
              <w:t>ARTÍCULO (TRANSCRIPCIÓN)</w:t>
            </w:r>
          </w:p>
        </w:tc>
      </w:tr>
      <w:tr w:rsidR="0022355A" w:rsidRPr="0072470A" w14:paraId="54AC9B32" w14:textId="7EE7F396" w:rsidTr="00727A3F">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37DE2E4C" w14:textId="77777777" w:rsidR="0022355A" w:rsidRPr="0072470A" w:rsidRDefault="0022355A" w:rsidP="007B7E33">
            <w:pPr>
              <w:ind w:left="360"/>
              <w:jc w:val="center"/>
              <w:rPr>
                <w:rFonts w:ascii="Arial" w:hAnsi="Arial" w:cs="Arial"/>
                <w:sz w:val="20"/>
                <w:szCs w:val="20"/>
              </w:rPr>
            </w:pPr>
            <w:r w:rsidRPr="0072470A">
              <w:rPr>
                <w:rFonts w:ascii="Arial" w:hAnsi="Arial" w:cs="Arial"/>
                <w:sz w:val="20"/>
                <w:szCs w:val="20"/>
              </w:rPr>
              <w:t>1.</w:t>
            </w:r>
          </w:p>
        </w:tc>
        <w:tc>
          <w:tcPr>
            <w:tcW w:w="1417" w:type="dxa"/>
            <w:shd w:val="clear" w:color="auto" w:fill="auto"/>
            <w:vAlign w:val="center"/>
          </w:tcPr>
          <w:p w14:paraId="61A2D912" w14:textId="6F166AAD" w:rsidR="0022355A" w:rsidRPr="0072470A" w:rsidRDefault="0022355A" w:rsidP="007B7E33">
            <w:pPr>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r w:rsidRPr="0072470A">
              <w:rPr>
                <w:rFonts w:ascii="Arial" w:hAnsi="Arial" w:cs="Arial"/>
              </w:rPr>
              <w:t>SAN LUIS POTOSI</w:t>
            </w:r>
          </w:p>
        </w:tc>
        <w:tc>
          <w:tcPr>
            <w:tcW w:w="2694" w:type="dxa"/>
            <w:shd w:val="clear" w:color="auto" w:fill="auto"/>
            <w:vAlign w:val="center"/>
          </w:tcPr>
          <w:p w14:paraId="3F6E81F9" w14:textId="530DE2B4" w:rsidR="0022355A" w:rsidRPr="0072470A" w:rsidRDefault="00727A3F" w:rsidP="007B7E33">
            <w:pPr>
              <w:pStyle w:val="NormalWeb"/>
              <w:spacing w:before="0" w:beforeAutospacing="0" w:after="0" w:afterAutospacing="0"/>
              <w:jc w:val="center"/>
              <w:cnfStyle w:val="000000100000" w:firstRow="0" w:lastRow="0" w:firstColumn="0" w:lastColumn="0" w:oddVBand="0" w:evenVBand="0" w:oddHBand="1" w:evenHBand="0" w:firstRowFirstColumn="0" w:firstRowLastColumn="0" w:lastRowFirstColumn="0" w:lastRowLastColumn="0"/>
              <w:rPr>
                <w:rFonts w:ascii="Arial" w:hAnsi="Arial" w:cs="Arial"/>
                <w:b/>
                <w:sz w:val="20"/>
                <w:szCs w:val="20"/>
              </w:rPr>
            </w:pPr>
            <w:hyperlink r:id="rId8" w:history="1">
              <w:r w:rsidR="0022355A" w:rsidRPr="0072470A">
                <w:rPr>
                  <w:rStyle w:val="Hipervnculo"/>
                  <w:b/>
                  <w:sz w:val="20"/>
                  <w:szCs w:val="20"/>
                </w:rPr>
                <w:t>LEY ELECTORAL DEL ESTADO DE SAN LUIS POTOSÍ</w:t>
              </w:r>
            </w:hyperlink>
          </w:p>
        </w:tc>
        <w:tc>
          <w:tcPr>
            <w:tcW w:w="12757" w:type="dxa"/>
            <w:shd w:val="clear" w:color="auto" w:fill="auto"/>
          </w:tcPr>
          <w:p w14:paraId="289A01BA" w14:textId="39F61C2A"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3°</w:t>
            </w:r>
            <w:r w:rsidR="0022355A" w:rsidRPr="0072470A">
              <w:rPr>
                <w:rFonts w:ascii="Arial" w:eastAsia="Calibri" w:hAnsi="Arial" w:cs="Arial"/>
                <w:sz w:val="20"/>
                <w:szCs w:val="20"/>
                <w:lang w:eastAsia="en-US"/>
              </w:rPr>
              <w:t xml:space="preserve"> La organización, preparación, desarrollo y vigilancia de los procesos electorales ordinarios y extraordinarios de elección de Gobernador del Estado, diputados, y ayuntamientos, estará a cargo del Consejo Estatal Electoral y de Participación Ciudadana y del Instituto Nacional Electoral, de conformidad con lo establecido por la Constitución Federal, la Ley General de Instituciones y Procedimientos Electorales, y la presente Ley en los términos siguientes: </w:t>
            </w:r>
          </w:p>
          <w:p w14:paraId="55731DE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2454B621"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f) La fiscalización de los ingresos y egresos de los partidos políticos y candidatos, y </w:t>
            </w:r>
          </w:p>
          <w:p w14:paraId="6F4FFF91"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4FF106B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3D1090D7" w14:textId="166B84C7"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44</w:t>
            </w:r>
            <w:r w:rsidR="0022355A" w:rsidRPr="0072470A">
              <w:rPr>
                <w:rFonts w:ascii="Arial" w:eastAsia="Calibri" w:hAnsi="Arial" w:cs="Arial"/>
                <w:sz w:val="20"/>
                <w:szCs w:val="20"/>
                <w:lang w:eastAsia="en-US"/>
              </w:rPr>
              <w:t xml:space="preserve">. El Pleno del Consejo tendrá las siguientes atribuciones: […] </w:t>
            </w:r>
          </w:p>
          <w:p w14:paraId="453F6B6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a) Se deroga </w:t>
            </w:r>
          </w:p>
          <w:p w14:paraId="50A154C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b) Vigilar y controlar cuando así proceda, por conducto de la Comisión Permanente de Fiscalización y su Unidad de fiscalización, el origen y uso de los recursos con que cuenten los partidos políticos y candidatos independientes, en los términos previstos por la Ley General de Instituciones y Procedimientos Electorales, la Ley General de Partidos Políticos, los lineamientos, acuerdos generales, normas técnicas y demás disposiciones que emita el Instituto Nacional Electoral. </w:t>
            </w:r>
          </w:p>
          <w:p w14:paraId="12686C9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B2206D1" w14:textId="5E855F1E"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65</w:t>
            </w:r>
            <w:r w:rsidR="0022355A" w:rsidRPr="0072470A">
              <w:rPr>
                <w:rFonts w:ascii="Arial" w:eastAsia="Calibri" w:hAnsi="Arial" w:cs="Arial"/>
                <w:sz w:val="20"/>
                <w:szCs w:val="20"/>
                <w:lang w:eastAsia="en-US"/>
              </w:rPr>
              <w:t xml:space="preserve">. El Pleno del Consejo ejercerá las facultades de supervisión, seguimiento y control técnico y, en general, todos aquellos actos preparatorios en materia de Fiscalización, a través de la Comisión de Fiscalización, la cual estará integrada por tres consejeros electorales. </w:t>
            </w:r>
          </w:p>
          <w:p w14:paraId="52825A7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9576968" w14:textId="581E631C"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66.</w:t>
            </w:r>
            <w:r w:rsidR="0022355A" w:rsidRPr="0072470A">
              <w:rPr>
                <w:rFonts w:ascii="Arial" w:eastAsia="Calibri" w:hAnsi="Arial" w:cs="Arial"/>
                <w:sz w:val="20"/>
                <w:szCs w:val="20"/>
                <w:lang w:eastAsia="en-US"/>
              </w:rPr>
              <w:t xml:space="preserve"> La Comisión Permanente de Fiscalización tendrá las siguientes atribuciones:</w:t>
            </w:r>
          </w:p>
          <w:p w14:paraId="709B1AA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F21728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Revisar los proyectos de reglamentos en materia de fiscalización que elabore la Unidad Técnica de Fiscalización </w:t>
            </w:r>
            <w:proofErr w:type="gramStart"/>
            <w:r w:rsidRPr="0072470A">
              <w:rPr>
                <w:rFonts w:ascii="Arial" w:eastAsia="Calibri" w:hAnsi="Arial" w:cs="Arial"/>
                <w:sz w:val="20"/>
                <w:szCs w:val="20"/>
                <w:lang w:eastAsia="en-US"/>
              </w:rPr>
              <w:t>de acuerdo a</w:t>
            </w:r>
            <w:proofErr w:type="gramEnd"/>
            <w:r w:rsidRPr="0072470A">
              <w:rPr>
                <w:rFonts w:ascii="Arial" w:eastAsia="Calibri" w:hAnsi="Arial" w:cs="Arial"/>
                <w:sz w:val="20"/>
                <w:szCs w:val="20"/>
                <w:lang w:eastAsia="en-US"/>
              </w:rPr>
              <w:t xml:space="preserve"> lo dispuesto por esta Ley, y someterlos a la aprobación del Pleno del Consejo, </w:t>
            </w:r>
          </w:p>
          <w:p w14:paraId="09B35C4D" w14:textId="6A6E28D5"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Revisar los acuerdos generales y normas técnicas que elabore la Unidad Técnica de Fiscalización y que se requieran para regular el registro contable de los partidos políticos, en caso de delegación de facultades; </w:t>
            </w:r>
          </w:p>
          <w:p w14:paraId="16BE836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Revisar y someter a la aprobación del Pleno del Consejo los proyectos de resolución relativos a los procedimientos y quejas en materia de fiscalización, en los términos del reglamento que emita el propio Pleno del Consejo; </w:t>
            </w:r>
          </w:p>
          <w:p w14:paraId="7146DFA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IV. Delimitar los alcances de la revisión de los informes que están obligados a presentar los partidos políticos, en caso de delegación de funciones en la materia, así como los demás sujetos de fiscalización </w:t>
            </w:r>
            <w:proofErr w:type="gramStart"/>
            <w:r w:rsidRPr="0072470A">
              <w:rPr>
                <w:rFonts w:ascii="Arial" w:eastAsia="Calibri" w:hAnsi="Arial" w:cs="Arial"/>
                <w:sz w:val="20"/>
                <w:szCs w:val="20"/>
                <w:lang w:eastAsia="en-US"/>
              </w:rPr>
              <w:t>de acuerdo a</w:t>
            </w:r>
            <w:proofErr w:type="gramEnd"/>
            <w:r w:rsidRPr="0072470A">
              <w:rPr>
                <w:rFonts w:ascii="Arial" w:eastAsia="Calibri" w:hAnsi="Arial" w:cs="Arial"/>
                <w:sz w:val="20"/>
                <w:szCs w:val="20"/>
                <w:lang w:eastAsia="en-US"/>
              </w:rPr>
              <w:t xml:space="preserve"> lo dispuesto por esta Ley; </w:t>
            </w:r>
          </w:p>
          <w:p w14:paraId="5878D72D" w14:textId="2EE3B942"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 Revisar las funciones y acciones realizadas por la Unidad Técnica de Fiscalización, con la finalidad de garantizar la legalidad y certeza en los procesos de fiscalización; </w:t>
            </w:r>
          </w:p>
          <w:p w14:paraId="3D4817A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 Supervisar de manera permanente y continua las auditorías ordinarias, de precampaña y de campaña; así como los procedimientos oficiosos, quejas y verificaciones realizadas por la Unidad Técnica de Fiscalización; lo anterior, en caso de delegación de facultades en la materia; </w:t>
            </w:r>
          </w:p>
          <w:p w14:paraId="20529C1D" w14:textId="1C3BCD85"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VII. Ordenar la práctica de auditorías a las finanzas de los partidos políticos de manera directa o bien a través de terceros especializados en la materia, en caso de delegación de facultades en este rubro; </w:t>
            </w:r>
          </w:p>
          <w:p w14:paraId="4DF2AFBD" w14:textId="46FE2EB4"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VIII. Ordenar visitas de verificación a los partidos políticos con el fin de corroborar el cumplimiento de sus obligaciones y la veracidad de sus informes, en caso de delegación de facultades en la materia; IX. Modificar, aprobar o rechazar los proyectos de dictamen consolidados y las </w:t>
            </w:r>
            <w:r w:rsidRPr="0072470A">
              <w:rPr>
                <w:rFonts w:ascii="Arial" w:eastAsia="Calibri" w:hAnsi="Arial" w:cs="Arial"/>
                <w:sz w:val="20"/>
                <w:szCs w:val="20"/>
                <w:lang w:eastAsia="en-US"/>
              </w:rPr>
              <w:lastRenderedPageBreak/>
              <w:t>resoluciones emitidas con relación a los informes que los partidos políticos están obligados a presentar, para ponerlos a consideración del Pleno del Consejo en los plazos que establece la Ley General de Partidos Políticos, en caso de delegación de facultades en la materia;</w:t>
            </w:r>
          </w:p>
          <w:p w14:paraId="7FAD437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 Modificar, aprobar o rechazar los proyectos de dictamen consolidados y las resoluciones emitidas con relación a los informes que las agrupaciones políticas estatales están obligadas a presentar, para ponerlos a consideración del Pleno del Consejo en los plazos que establezca el Reglamento respectivo; </w:t>
            </w:r>
          </w:p>
          <w:p w14:paraId="069BCF9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 Elaborar, a propuesta de la Unidad Técnica de Fiscalización, los lineamientos generales que regirán en los procedimientos de fiscalización a que se refiere esta Ley; </w:t>
            </w:r>
          </w:p>
          <w:p w14:paraId="47939A05" w14:textId="048893D4"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 Resolver las consultas que realicen los partidos políticos, las agrupaciones políticas estatales y demás sujetos de fiscalización </w:t>
            </w:r>
            <w:proofErr w:type="gramStart"/>
            <w:r w:rsidRPr="0072470A">
              <w:rPr>
                <w:rFonts w:ascii="Arial" w:eastAsia="Calibri" w:hAnsi="Arial" w:cs="Arial"/>
                <w:sz w:val="20"/>
                <w:szCs w:val="20"/>
                <w:lang w:eastAsia="en-US"/>
              </w:rPr>
              <w:t>de acuerdo a</w:t>
            </w:r>
            <w:proofErr w:type="gramEnd"/>
            <w:r w:rsidRPr="0072470A">
              <w:rPr>
                <w:rFonts w:ascii="Arial" w:eastAsia="Calibri" w:hAnsi="Arial" w:cs="Arial"/>
                <w:sz w:val="20"/>
                <w:szCs w:val="20"/>
                <w:lang w:eastAsia="en-US"/>
              </w:rPr>
              <w:t xml:space="preserve"> lo dispuesto por esta Ley; </w:t>
            </w:r>
          </w:p>
          <w:p w14:paraId="7CE95BF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XIII. Aprobar las solicitudes que se pretendan realizar al Instituto Nacional Electoral, con la finalidad de superar el secreto fiduciario, bancario y fiscal, en caso de delegación de facultades en esta materia; </w:t>
            </w:r>
          </w:p>
          <w:p w14:paraId="3E0F1C5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XIV. Con el apoyo de la Unidad Técnica de Fiscalización, llevar a cabo la liquidación de los partidos políticos locales que pierdan su registro o nacionales que pierdan su inscripción, e informar al Pleno del Consejo los parámetros, acciones y resultados de los trabajos realizados con tal fin; </w:t>
            </w:r>
          </w:p>
          <w:p w14:paraId="0DE91AC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XV. Integrar la información relativa a los topes aplicables a los gastos de precampaña y campaña determinados por el Pleno del Consejo, que estarán vigentes en las elecciones locales; </w:t>
            </w:r>
          </w:p>
          <w:p w14:paraId="47AC1D9E"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XVI. Las demás que le establezca la presente Ley. </w:t>
            </w:r>
          </w:p>
          <w:p w14:paraId="60B6C5E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62845586" w14:textId="30F922BF"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La Comisión deberá dar cuenta inmediata al Pleno del Consejo, de los resultados obtenidos en las acciones a que se refieren las fracciones anteriores, para los efectos legales procedentes. </w:t>
            </w:r>
          </w:p>
          <w:p w14:paraId="5600DA3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3B8CD05" w14:textId="730226E2"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67.</w:t>
            </w:r>
            <w:r w:rsidR="0022355A" w:rsidRPr="0072470A">
              <w:rPr>
                <w:rFonts w:ascii="Arial" w:eastAsia="Calibri" w:hAnsi="Arial" w:cs="Arial"/>
                <w:sz w:val="20"/>
                <w:szCs w:val="20"/>
                <w:lang w:eastAsia="en-US"/>
              </w:rPr>
              <w:t xml:space="preserve"> Para el adecuado ejercicio de sus funciones, la Comisión de Fiscalización contará con un órgano técnico especializado denominado Unidad Técnica Fiscalizadora, que tendrá las siguientes facultades y atribuciones: </w:t>
            </w:r>
          </w:p>
          <w:p w14:paraId="00AB22A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15B493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Presentar a la Comisión Permanente, para su validación, y posterior remisión al Pleno del Consejo para su aprobación, el proyecto de Reglamento de la materia, y los demás acuerdos para regular el registro contable de los ingresos y egresos de los partidos políticos registrados o inscritos ante el Consejo, las características de la documentación comprobatoria sobre el manejo de sus recursos, y establecer los requisitos que deberán satisfacer los informes de ingresos y egresos que le presenten, de conformidad a lo establecido por la Ley General de Partidos Políticos, esta Ley y sus disposiciones complementarias; lo anterior, en caso de delegación de facultades en la materia; II. Emitir con el acuerdo de la Comisión de Fiscalización, las normas generales de contabilidad y registro de operaciones aplicables; </w:t>
            </w:r>
          </w:p>
          <w:p w14:paraId="14068CC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Vigilar que los recursos de los partidos políticos, y candidatos independientes tengan origen lícito y se apliquen estricta e invariablemente a las actividades señaladas en esta Ley; lo anterior, en caso de delegación de facultades en la materia; </w:t>
            </w:r>
          </w:p>
          <w:p w14:paraId="6A20379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IV. Vigilar que los recursos de las agrupaciones políticas, y demás sujetos de fiscalización </w:t>
            </w:r>
            <w:proofErr w:type="gramStart"/>
            <w:r w:rsidRPr="0072470A">
              <w:rPr>
                <w:rFonts w:ascii="Arial" w:eastAsia="Calibri" w:hAnsi="Arial" w:cs="Arial"/>
                <w:sz w:val="20"/>
                <w:szCs w:val="20"/>
                <w:lang w:eastAsia="en-US"/>
              </w:rPr>
              <w:t>de acuerdo a</w:t>
            </w:r>
            <w:proofErr w:type="gramEnd"/>
            <w:r w:rsidRPr="0072470A">
              <w:rPr>
                <w:rFonts w:ascii="Arial" w:eastAsia="Calibri" w:hAnsi="Arial" w:cs="Arial"/>
                <w:sz w:val="20"/>
                <w:szCs w:val="20"/>
                <w:lang w:eastAsia="en-US"/>
              </w:rPr>
              <w:t xml:space="preserve"> lo previsto por esta ley, tengan origen lícito y se apliquen estricta e invariablemente a las actividades señaladas en esta Ley; </w:t>
            </w:r>
          </w:p>
          <w:p w14:paraId="4B3BAF1B" w14:textId="1967F586"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 Recibir los informes trimestrales y anuales, de gastos de precampaña y campaña, así como los demás informes de ingresos y gastos establecidos por esta Ley de los partidos políticos y sus </w:t>
            </w:r>
            <w:proofErr w:type="gramStart"/>
            <w:r w:rsidRPr="0072470A">
              <w:rPr>
                <w:rFonts w:ascii="Arial" w:eastAsia="Calibri" w:hAnsi="Arial" w:cs="Arial"/>
                <w:sz w:val="20"/>
                <w:szCs w:val="20"/>
                <w:lang w:eastAsia="en-US"/>
              </w:rPr>
              <w:t>candidatos</w:t>
            </w:r>
            <w:proofErr w:type="gramEnd"/>
            <w:r w:rsidRPr="0072470A">
              <w:rPr>
                <w:rFonts w:ascii="Arial" w:eastAsia="Calibri" w:hAnsi="Arial" w:cs="Arial"/>
                <w:sz w:val="20"/>
                <w:szCs w:val="20"/>
                <w:lang w:eastAsia="en-US"/>
              </w:rPr>
              <w:t xml:space="preserve"> así como de los candidatos independientes y revisarlos; lo anterior, en caso de delegación de facultades en la materia. </w:t>
            </w:r>
          </w:p>
          <w:p w14:paraId="50F537A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 Recibir los informes trimestrales y anuales, de las agrupaciones políticas, y revisarlos; </w:t>
            </w:r>
          </w:p>
          <w:p w14:paraId="04728DA7" w14:textId="4442C7BB"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lastRenderedPageBreak/>
              <w:t xml:space="preserve">VII. Requerir información complementaria respecto de los diversos apartados de los informes de ingresos y egresos, o documentación comprobatoria de cualquier otro aspecto vinculado a los mismos; VIII. Presentar a la Comisión Permanente los dictámenes consolidados de resultados y proyectos de resolución sobre las auditorías y verificaciones practicadas a los sujetos de fiscalización previstos en la presente Ley. Los dictámenes especificarán las irregularidades en que hubiesen incurrido los sujetos obligados en el manejo de sus recursos; el incumplimiento de su obligación de informar sobre la aplicación de </w:t>
            </w:r>
            <w:proofErr w:type="gramStart"/>
            <w:r w:rsidRPr="0072470A">
              <w:rPr>
                <w:rFonts w:ascii="Arial" w:eastAsia="Calibri" w:hAnsi="Arial" w:cs="Arial"/>
                <w:sz w:val="20"/>
                <w:szCs w:val="20"/>
                <w:lang w:eastAsia="en-US"/>
              </w:rPr>
              <w:t>los mismos</w:t>
            </w:r>
            <w:proofErr w:type="gramEnd"/>
            <w:r w:rsidRPr="0072470A">
              <w:rPr>
                <w:rFonts w:ascii="Arial" w:eastAsia="Calibri" w:hAnsi="Arial" w:cs="Arial"/>
                <w:sz w:val="20"/>
                <w:szCs w:val="20"/>
                <w:lang w:eastAsia="en-US"/>
              </w:rPr>
              <w:t xml:space="preserve"> y, en su caso, propondrán las sanciones que procedan conforme a la normatividad aplicable; IX. Proporcionar orientación, asesoría y capacitación necesarias para el cumplimiento de las obligaciones en materia de financiamiento;</w:t>
            </w:r>
          </w:p>
          <w:p w14:paraId="2533B258"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X. Fiscalizar, vigilar los ingresos y gastos de las agrupaciones políticas estatales, y, en su caso, de las organizaciones de observadores electorales;</w:t>
            </w:r>
          </w:p>
          <w:p w14:paraId="0052E13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 Auxiliar a la Comisión de Fiscalización en la ejecución de los procedimientos de liquidación de los partidos políticos que pierdan su registro o inscripción en los términos de la Ley General de Partidos Políticos, esta Ley y sus disposiciones reglamentarias; </w:t>
            </w:r>
          </w:p>
          <w:p w14:paraId="5BA467B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 Presentar por conducto y previo acuerdo con la Comisión Permanente, al Pleno del Consejo para su aprobación, el proyecto de Reglamento para el desahogo de los procedimientos administrativos respecto de las quejas que se presenten en materia de financiamiento; dichas quejas deberán ser presentadas ante la Unidad; </w:t>
            </w:r>
          </w:p>
          <w:p w14:paraId="1FBF6436"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XIII. Instruir los procedimientos administrativos a que haya lugar respecto de las quejas a que se refiere la fracción anterior, y proponer a la consideración del Pleno del Consejo, por conducto de la Comisión de Fiscalización, la imposición de las sanciones que procedan; </w:t>
            </w:r>
          </w:p>
          <w:p w14:paraId="3255663A"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XIV. Requerir de las personas, físicas o morales, públicas o privadas, en relación con las operaciones que realicen con partidos políticos, agrupaciones políticas, y candidatos independientes,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establecidas en esta Ley y sus disposiciones complementarias, y </w:t>
            </w:r>
          </w:p>
          <w:p w14:paraId="4BE341F8"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XV. Las demás que le confiera esta Ley, el Pleno del Consejo, y la Comisión de Fiscalización. </w:t>
            </w:r>
          </w:p>
          <w:p w14:paraId="43B1A89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52A6788C" w14:textId="285EB14C"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68</w:t>
            </w:r>
            <w:r w:rsidR="0022355A" w:rsidRPr="0072470A">
              <w:rPr>
                <w:rFonts w:ascii="Arial" w:eastAsia="Calibri" w:hAnsi="Arial" w:cs="Arial"/>
                <w:sz w:val="20"/>
                <w:szCs w:val="20"/>
                <w:lang w:eastAsia="en-US"/>
              </w:rPr>
              <w:t xml:space="preserve">. En el ejercicio de sus facultades, la Unidad Técnica de Fiscalización deberá garantizar el derecho de audiencia de los partidos políticos y, en general, de toda persona requerida con motivo de los procesos de fiscalización a que se refiere esta Ley y sus disposiciones complementarias. Los </w:t>
            </w:r>
            <w:proofErr w:type="gramStart"/>
            <w:r w:rsidR="0022355A" w:rsidRPr="0072470A">
              <w:rPr>
                <w:rFonts w:ascii="Arial" w:eastAsia="Calibri" w:hAnsi="Arial" w:cs="Arial"/>
                <w:sz w:val="20"/>
                <w:szCs w:val="20"/>
                <w:lang w:eastAsia="en-US"/>
              </w:rPr>
              <w:t>partidos políticos y las agrupaciones políticas</w:t>
            </w:r>
            <w:proofErr w:type="gramEnd"/>
            <w:r w:rsidR="0022355A" w:rsidRPr="0072470A">
              <w:rPr>
                <w:rFonts w:ascii="Arial" w:eastAsia="Calibri" w:hAnsi="Arial" w:cs="Arial"/>
                <w:sz w:val="20"/>
                <w:szCs w:val="20"/>
                <w:lang w:eastAsia="en-US"/>
              </w:rPr>
              <w:t xml:space="preserve"> estatales tendrán derecho a la confronta de los documentos comprobatorios de sus ingresos y gastos, o de sus estados contables, contra los obtenidos o elaborados por la Unidad sobre las mismas operaciones, a fin de aclarar las discrepancias entre unos y otros.</w:t>
            </w:r>
          </w:p>
          <w:p w14:paraId="4EFC634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BF9D156" w14:textId="3453E2B8"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69.</w:t>
            </w:r>
            <w:r w:rsidR="0022355A" w:rsidRPr="0072470A">
              <w:rPr>
                <w:rFonts w:ascii="Arial" w:eastAsia="Calibri" w:hAnsi="Arial" w:cs="Arial"/>
                <w:sz w:val="20"/>
                <w:szCs w:val="20"/>
                <w:lang w:eastAsia="en-US"/>
              </w:rPr>
              <w:t xml:space="preserve"> El personal de la Unidad Técnica de fiscalización está obligado a guardar reserva sobre el curso de las revisiones y auditorías en las que tenga participación, o sobre las que disponga de información. La Contraloría Interna del Consejo conocerá de las violaciones a esta norma y, en su caso, impondrá las sanciones que correspondan conforme a esta Ley. </w:t>
            </w:r>
          </w:p>
          <w:p w14:paraId="77F4BDC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E3C931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El Consejero Presidente y los consejeros electorales recibirán del director de la Unidad, informes periódicos respecto del avance en las revisiones y auditorías que la misma realice. </w:t>
            </w:r>
          </w:p>
          <w:p w14:paraId="66431C11" w14:textId="03212F39"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2B1D4C8A"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6C5ACC7" w14:textId="1A8C19A3"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135.</w:t>
            </w:r>
            <w:r w:rsidR="0022355A" w:rsidRPr="0072470A">
              <w:rPr>
                <w:rFonts w:ascii="Arial" w:eastAsia="Calibri" w:hAnsi="Arial" w:cs="Arial"/>
                <w:sz w:val="20"/>
                <w:szCs w:val="20"/>
                <w:lang w:eastAsia="en-US"/>
              </w:rPr>
              <w:t xml:space="preserve"> Son obligaciones de los partidos políticos: </w:t>
            </w:r>
          </w:p>
          <w:p w14:paraId="57CB49B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lastRenderedPageBreak/>
              <w:t xml:space="preserve">[…] </w:t>
            </w:r>
          </w:p>
          <w:p w14:paraId="1F60BD6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 Permitir la práctica de auditorías y verificaciones por los órganos del Instituto Nacional Electoral, o del Consejo cuando se le deleguen las facultades de fiscalización previstas en el artículo 41 de la Constitución para el Instituto, así como entregar la documentación que dichos órganos les requieran respecto a sus ingresos y egresos; </w:t>
            </w:r>
          </w:p>
          <w:p w14:paraId="4FB276A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002F765D"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65BF8E7D" w14:textId="69A1A468"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164.</w:t>
            </w:r>
            <w:r w:rsidR="0022355A" w:rsidRPr="0072470A">
              <w:rPr>
                <w:rFonts w:ascii="Arial" w:eastAsia="Calibri" w:hAnsi="Arial" w:cs="Arial"/>
                <w:sz w:val="20"/>
                <w:szCs w:val="20"/>
                <w:lang w:eastAsia="en-US"/>
              </w:rPr>
              <w:t xml:space="preserve"> La fiscalización de los recursos que, por concepto de financiamiento, ya sea público o privado, reciban los partidos políticos, aspirantes, precandidatos o candidatos a cargos de elección popular para sus actividades, se sujetará a los términos, plazos y procedimientos previstos por la Ley General de Partidos Políticos. </w:t>
            </w:r>
          </w:p>
          <w:p w14:paraId="6B1D178D"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43274B4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31C4EF0B" w14:textId="5429604C"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165.</w:t>
            </w:r>
            <w:r w:rsidR="0022355A" w:rsidRPr="0072470A">
              <w:rPr>
                <w:rFonts w:ascii="Arial" w:eastAsia="Calibri" w:hAnsi="Arial" w:cs="Arial"/>
                <w:sz w:val="20"/>
                <w:szCs w:val="20"/>
                <w:lang w:eastAsia="en-US"/>
              </w:rPr>
              <w:t xml:space="preserve"> Los gastos genéricos de campaña serán prorrateados entre las campañas beneficiadas de acuerdo con lo siguiente:</w:t>
            </w:r>
          </w:p>
          <w:p w14:paraId="5C4FD09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873DB7A"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Como gastos genéricos de campaña, se entenderá los realizados en actos de campaña y de propaganda, en la que el partido, la coalición o la alianza partidaria, promueva o invite a votar por un conjunto de candidatos a cargos de elección popular que postulen, siempre y cuando no se especifique el candidato o el tipo de campaña; </w:t>
            </w:r>
          </w:p>
          <w:p w14:paraId="39726DED" w14:textId="56B9941C"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Los gastos genéricos en los que no se identifique algún candidato o tipo de campaña, pero se difunda alguna política pública o propuesta del partido o coalición, y </w:t>
            </w:r>
          </w:p>
          <w:p w14:paraId="42A75F80"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En los casos en los que se publique o difunda el emblema o la mención de lemas con los que se identifique al partido, coalición o sus candidatos o los contenidos de sus plataformas electorales. </w:t>
            </w:r>
          </w:p>
          <w:p w14:paraId="7F98CD5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43B340A7" w14:textId="4C9013DD"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166.</w:t>
            </w:r>
            <w:r w:rsidR="0022355A" w:rsidRPr="0072470A">
              <w:rPr>
                <w:rFonts w:ascii="Arial" w:eastAsia="Calibri" w:hAnsi="Arial" w:cs="Arial"/>
                <w:sz w:val="20"/>
                <w:szCs w:val="20"/>
                <w:lang w:eastAsia="en-US"/>
              </w:rPr>
              <w:t xml:space="preserve"> Los gastos de campaña en la que se promocione a dos o más candidatos a cargos de elección popular, en los comicios locales, se distribuirán de la siguiente forma: </w:t>
            </w:r>
          </w:p>
          <w:p w14:paraId="5306651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3CED83A"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De candidato a Gobernador y candidatos a diputados locales, el gasto será de un cuarenta por ciento para Gobernador y de un sesenta por ciento para los candidatos a Diputados Locales; </w:t>
            </w:r>
          </w:p>
          <w:p w14:paraId="66BDD0E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De candidato a Gobernador y candidatos a ayuntamientos, el gasto será de un sesenta por ciento para el candidato a Gobernador, y un cuarenta por ciento para candidatos a Ayuntamientos; </w:t>
            </w:r>
          </w:p>
          <w:p w14:paraId="7C610E96"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Los candidatos a Gobernador, diputado local y ayuntamientos, el gasto será de un veinte por ciento a Gobernador, un cincuenta a los candidatos a diputados locales y de un treinta por ciento a los candidatos a ayuntamientos, y </w:t>
            </w:r>
          </w:p>
          <w:p w14:paraId="7E37BCD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IV. El candidato a diputado local y candidatos a ayuntamientos, el gasto en un setenta por ciento al candidato a diputado y un treinta por ciento a los candidatos a ayuntamientos. Se entenderá que un gasto beneficia a un candidato cuando concurra alguno de los siguientes supuestos: </w:t>
            </w:r>
          </w:p>
          <w:p w14:paraId="1798A7A1"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a) Se mencione el nombre del candidato postulado por el partido o coalición;</w:t>
            </w:r>
          </w:p>
          <w:p w14:paraId="11E8C2CE"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b) Se difunda la imagen del candidato, o</w:t>
            </w:r>
          </w:p>
          <w:p w14:paraId="1734237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567F6068"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c) Se promueva el voto a favor de dicha campaña de manera expresa. La reglamentación en materia de fiscalización elaborada por el Instituto Nacional Electoral establecerá las reglas para el registro contable y comprobación de los gastos a los que se refiere el presente artículo. </w:t>
            </w:r>
          </w:p>
          <w:p w14:paraId="434DBBF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5892288F" w14:textId="74CEEAE6"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lastRenderedPageBreak/>
              <w:t xml:space="preserve">Artículo </w:t>
            </w:r>
            <w:r w:rsidR="0022355A" w:rsidRPr="0072470A">
              <w:rPr>
                <w:rFonts w:ascii="Arial" w:eastAsia="Calibri" w:hAnsi="Arial" w:cs="Arial"/>
                <w:b/>
                <w:bCs/>
                <w:sz w:val="20"/>
                <w:szCs w:val="20"/>
                <w:lang w:eastAsia="en-US"/>
              </w:rPr>
              <w:t>167</w:t>
            </w:r>
            <w:r w:rsidR="0022355A" w:rsidRPr="0072470A">
              <w:rPr>
                <w:rFonts w:ascii="Arial" w:eastAsia="Calibri" w:hAnsi="Arial" w:cs="Arial"/>
                <w:sz w:val="20"/>
                <w:szCs w:val="20"/>
                <w:lang w:eastAsia="en-US"/>
              </w:rPr>
              <w:t xml:space="preserve">. Los partidos políticos deberán contar con un órgano interno encargado de la recepción y administración de sus recursos generales y de campaña, en los términos previstos por la Ley General de Partidos Políticos. </w:t>
            </w:r>
          </w:p>
          <w:p w14:paraId="59CDEEE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3C34AE0E" w14:textId="7A2ADF85"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Los partidos políticos podrán denunciar ante el Consejo, actividades de sus similares que constituyan infracciones a la ley; éste conocerá de dichas denuncias y resolverá lo conducente. La resolución que dicho organismo electoral emita será recurrible en los términos que dispone esta Ley. </w:t>
            </w:r>
          </w:p>
          <w:p w14:paraId="24A48F0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ACAB35F" w14:textId="151EE6AD"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168.</w:t>
            </w:r>
            <w:r w:rsidR="0022355A" w:rsidRPr="0072470A">
              <w:rPr>
                <w:rFonts w:ascii="Arial" w:eastAsia="Calibri" w:hAnsi="Arial" w:cs="Arial"/>
                <w:sz w:val="20"/>
                <w:szCs w:val="20"/>
                <w:lang w:eastAsia="en-US"/>
              </w:rPr>
              <w:t xml:space="preserve"> En el caso de encontrarse delegada la facultad en materia de fiscalización, el Consejero Presidente, los Consejeros Electorales y el Secretario Ejecutivo podrán solicitar en todo momento informes sobre los gastos ordinarios de los partidos políticos nacionales y locales a la Comisión de Fiscalización. </w:t>
            </w:r>
          </w:p>
          <w:p w14:paraId="1BACF05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B70E521" w14:textId="4D50467C"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La Comisión de Fiscalización, en sesión privada dará a los consejeros electores un informe cada veinticinco días de los avances de las revisiones en cuanto a los informes de precampaña y campaña. […] </w:t>
            </w:r>
          </w:p>
          <w:p w14:paraId="50C58D5D"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007ACE94" w14:textId="34E90131"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209.</w:t>
            </w:r>
            <w:r w:rsidR="0022355A" w:rsidRPr="0072470A">
              <w:rPr>
                <w:rFonts w:ascii="Arial" w:eastAsia="Calibri" w:hAnsi="Arial" w:cs="Arial"/>
                <w:sz w:val="20"/>
                <w:szCs w:val="20"/>
                <w:lang w:eastAsia="en-US"/>
              </w:rPr>
              <w:t xml:space="preserve"> El Consejo dispondrá lo necesario para que sean adjudicados al Estado los recursos y bienes remanentes de los partidos políticos estatales que pierdan su registro legal para tal efecto se estará a lo siguiente, y a lo que determine en reglas de carácter general el Pleno del Consejo </w:t>
            </w:r>
          </w:p>
          <w:p w14:paraId="4982CFF1"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07360E64"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I. Si de los cómputos que realicen las Comisiones Distritales Electorales y los Comités Municipales Electorales del Consejo se desprende que un partido político estatal no obtiene el porcentaje mínimo de votos establecido en la fracción IV del artículo 201 de esta Ley, la Comisión de Fiscalización designará de inmediato a un interventor responsable del control y vigilancia directos del uso y destino de los recursos y bienes del partido de que se trate. Lo mismo será aplicable en el caso de que el Pleno del Consejo declare la pérdida de registro legal por cualquier otra causa de las establecidas en esta Ley;</w:t>
            </w:r>
          </w:p>
          <w:p w14:paraId="044D2E78"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w:t>
            </w:r>
          </w:p>
          <w:p w14:paraId="3095F706"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CBAE21E" w14:textId="4186CEB5"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212</w:t>
            </w:r>
            <w:r w:rsidR="0022355A" w:rsidRPr="0072470A">
              <w:rPr>
                <w:rFonts w:ascii="Arial" w:eastAsia="Calibri" w:hAnsi="Arial" w:cs="Arial"/>
                <w:sz w:val="20"/>
                <w:szCs w:val="20"/>
                <w:lang w:eastAsia="en-US"/>
              </w:rPr>
              <w:t xml:space="preserve">. Las agrupaciones políticas estatales estarán sujetas a las obligaciones y procedimientos de fiscalización de sus recursos conforme a lo establecido en esta Ley y en el Reglamento correspondiente. </w:t>
            </w:r>
          </w:p>
          <w:p w14:paraId="2CF990F6"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59A4EF8D" w14:textId="1011887A"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220</w:t>
            </w:r>
            <w:r w:rsidR="0022355A" w:rsidRPr="0072470A">
              <w:rPr>
                <w:rFonts w:ascii="Arial" w:eastAsia="Calibri" w:hAnsi="Arial" w:cs="Arial"/>
                <w:sz w:val="20"/>
                <w:szCs w:val="20"/>
                <w:lang w:eastAsia="en-US"/>
              </w:rPr>
              <w:t xml:space="preserve">. Se deroga </w:t>
            </w:r>
          </w:p>
          <w:p w14:paraId="792912A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w:t>
            </w:r>
          </w:p>
          <w:p w14:paraId="000F39E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5C87F79" w14:textId="144DACA2"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268.</w:t>
            </w:r>
            <w:r w:rsidR="0022355A" w:rsidRPr="0072470A">
              <w:rPr>
                <w:rFonts w:ascii="Arial" w:eastAsia="Calibri" w:hAnsi="Arial" w:cs="Arial"/>
                <w:sz w:val="20"/>
                <w:szCs w:val="20"/>
                <w:lang w:eastAsia="en-US"/>
              </w:rPr>
              <w:t xml:space="preserve"> La Comisión de Fiscalización del Consejo, cuenta con la Unidad Técnica de Fiscalización, que tiene a su cargo la recepción y revisión integral de los informes de ingresos y egresos que presenten los aspirantes y los candidatos independientes respecto del origen y monto de los recursos por cualquier modalidad de financiamiento, así como sobre su destino y aplicación. </w:t>
            </w:r>
          </w:p>
          <w:p w14:paraId="7B317F94"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5DAD4B47"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Las autoridades competentes están obligadas a atender y resolver los requerimientos de información que respecto a las materias bancaria, fiduciaria y fiscal formule la unidad técnica de fiscalización del Consejo, por conducto de los órganos competentes del Instituto Nacional Electoral. </w:t>
            </w:r>
          </w:p>
          <w:p w14:paraId="633FB24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40FEA75B" w14:textId="1088529B"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269.</w:t>
            </w:r>
            <w:r w:rsidR="0022355A" w:rsidRPr="0072470A">
              <w:rPr>
                <w:rFonts w:ascii="Arial" w:eastAsia="Calibri" w:hAnsi="Arial" w:cs="Arial"/>
                <w:sz w:val="20"/>
                <w:szCs w:val="20"/>
                <w:lang w:eastAsia="en-US"/>
              </w:rPr>
              <w:t xml:space="preserve"> La Comisión de Fiscalización del Consejo, tendrá como facultades, además de las señaladas en la presente Ley, las siguientes:</w:t>
            </w:r>
          </w:p>
          <w:p w14:paraId="02A968C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4FD15E0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Revisar y someter a la aprobación del Pleno del Consejo los informes de resultados y proyectos de resolución sobre las auditorías y verificaciones practicadas a los aspirantes y candidatos independientes. Los informes especificarán las irregularidades en que hubiesen incurrido en el manejo de sus recursos; el incumplimiento de su obligación de informar sobre la aplicación de </w:t>
            </w:r>
            <w:proofErr w:type="gramStart"/>
            <w:r w:rsidRPr="0072470A">
              <w:rPr>
                <w:rFonts w:ascii="Arial" w:eastAsia="Calibri" w:hAnsi="Arial" w:cs="Arial"/>
                <w:sz w:val="20"/>
                <w:szCs w:val="20"/>
                <w:lang w:eastAsia="en-US"/>
              </w:rPr>
              <w:t>los mismos</w:t>
            </w:r>
            <w:proofErr w:type="gramEnd"/>
            <w:r w:rsidRPr="0072470A">
              <w:rPr>
                <w:rFonts w:ascii="Arial" w:eastAsia="Calibri" w:hAnsi="Arial" w:cs="Arial"/>
                <w:sz w:val="20"/>
                <w:szCs w:val="20"/>
                <w:lang w:eastAsia="en-US"/>
              </w:rPr>
              <w:t xml:space="preserve"> y, en su caso, propondrán las sanciones que procedan conforme a la normatividad aplicable; </w:t>
            </w:r>
          </w:p>
          <w:p w14:paraId="7C506928" w14:textId="615332D1"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II. Ordenar la práctica de auditorías, directamente o a través de terceros, a las finanzas de los aspirantes y candidatos independientes;</w:t>
            </w:r>
          </w:p>
          <w:p w14:paraId="38860F1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III. Ordenar visitas de verificación a los aspirantes y candidatos independientes con el fin de corroborar el cumplimiento de sus obligaciones y la veracidad de sus informes, y</w:t>
            </w:r>
          </w:p>
          <w:p w14:paraId="410017BD" w14:textId="0475DC03"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 IV. Las demás que le confiera esta Ley o el Pleno del Consejo. </w:t>
            </w:r>
          </w:p>
          <w:p w14:paraId="5759BA4D"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EB23961" w14:textId="1BB32EC8"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270.</w:t>
            </w:r>
            <w:r w:rsidR="0022355A" w:rsidRPr="0072470A">
              <w:rPr>
                <w:rFonts w:ascii="Arial" w:eastAsia="Calibri" w:hAnsi="Arial" w:cs="Arial"/>
                <w:sz w:val="20"/>
                <w:szCs w:val="20"/>
                <w:lang w:eastAsia="en-US"/>
              </w:rPr>
              <w:t xml:space="preserve"> La Unidad Técnica de Fiscalización de la Comisión de Fiscalización del Consejo tendrá como atribuciones, además de ya las señaladas en la presente Ley, las siguientes: </w:t>
            </w:r>
          </w:p>
          <w:p w14:paraId="461DD27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Regular el registro contable de los ingresos y egresos de los aspirantes y candidatos independientes, las características de la documentación comprobatoria sobre el manejo de sus recursos y establecer los requisitos que deberán satisfacer los informes de ingresos y egresos que le presenten, de conformidad a lo establecido en esta Ley; </w:t>
            </w:r>
          </w:p>
          <w:p w14:paraId="6EBA918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Proponer a la Comisión de Fiscalización la emisión de las normas generales de contabilidad y registro de operaciones aplicables a los aspirantes y candidatos independientes; </w:t>
            </w:r>
          </w:p>
          <w:p w14:paraId="0C26DD8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Vigilar que los recursos de los aspirantes y candidatos independientes tengan origen lícito y se apliquen estricta e invariablemente a las actividades señaladas en esta Ley; </w:t>
            </w:r>
          </w:p>
          <w:p w14:paraId="5B861E56" w14:textId="4346BF54"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IV. Recibir y revisar los informes de ingresos y egresos, así como de gastos de los actos tendentes a recabar el apoyo ciudadano de los aspirantes y de campaña de los candidatos independientes, así como los demás informes de ingresos y gastos establecidos por esta Ley; </w:t>
            </w:r>
          </w:p>
          <w:p w14:paraId="17A7EF7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 Requerir información complementaria respecto de los diversos apartados de los informes de ingresos y egresos o documentación comprobatoria de cualquier otro aspecto vinculado a los mismos; VI. Proporcionar a los aspirantes y candidatos independientes la orientación, asesoría y capacitación necesarias para el cumplimiento de las obligaciones consignadas en el presente capítulo; </w:t>
            </w:r>
          </w:p>
          <w:p w14:paraId="5162E32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VII. Instruir los procedimientos administrativos a que haya lugar respecto de las quejas que se presenten y proponer a la consideración de la Comisión de Fiscalización la imposición de las sanciones que procedan;</w:t>
            </w:r>
          </w:p>
          <w:p w14:paraId="099D273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VIII. Requerir a las personas físicas o morales, públicas o privadas, que tengan relación con las operaciones que realicen los aspirantes y candidatos independientes, la información necesaria para el cumplimiento de sus tareas respetando en todo momento las garantías del requerido. Quienes se nieguen a proporcionar la información que les sea requerida, o no la proporcionen, sin causa justificada, dentro de los plazos que se señalen, se harán acreedores a las sanciones correspondientes, y </w:t>
            </w:r>
          </w:p>
          <w:p w14:paraId="646AAE7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IX. Las demás que le confiera esta Ley, la Comisión de Fiscalización o el Pleno del Consejo. </w:t>
            </w:r>
          </w:p>
          <w:p w14:paraId="5BC15788"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290EE22" w14:textId="2AF31630"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271.</w:t>
            </w:r>
            <w:r w:rsidR="0022355A" w:rsidRPr="0072470A">
              <w:rPr>
                <w:rFonts w:ascii="Arial" w:eastAsia="Calibri" w:hAnsi="Arial" w:cs="Arial"/>
                <w:sz w:val="20"/>
                <w:szCs w:val="20"/>
                <w:lang w:eastAsia="en-US"/>
              </w:rPr>
              <w:t xml:space="preserve"> En el ejercicio de sus facultades, la Unidad Técnica de Fiscalización de la Comisión de Fiscalización del Consejo deberá garantizar el derecho de audiencia de los aspirantes y candidatos independientes con motivo de los procesos de fiscalización a que se refiere el presente Título. </w:t>
            </w:r>
          </w:p>
          <w:p w14:paraId="3C00DFC6"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5F0C397" w14:textId="5D0C4D5D"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lastRenderedPageBreak/>
              <w:t xml:space="preserve">Los aspirantes y candidatos independientes tendrán derecho a la confronta de los documentos comprobatorios de sus ingresos y egresos, o de sus estados contables, contra los obtenidos o elaborados por la Unidad Técnica de Fiscalización de la Comisión de Fiscalización del Consejo sobre las mismas operaciones, a fin de aclarar las discrepancias entre unos y otros. </w:t>
            </w:r>
          </w:p>
          <w:p w14:paraId="2FF384A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E811878" w14:textId="02333BF7"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272.</w:t>
            </w:r>
            <w:r w:rsidR="0022355A" w:rsidRPr="0072470A">
              <w:rPr>
                <w:rFonts w:ascii="Arial" w:eastAsia="Calibri" w:hAnsi="Arial" w:cs="Arial"/>
                <w:sz w:val="20"/>
                <w:szCs w:val="20"/>
                <w:lang w:eastAsia="en-US"/>
              </w:rPr>
              <w:t xml:space="preserve"> Los aspirantes deberán presentar ante la Unidad Técnica de Fiscalización de la Comisión de Fiscalización del Consejo los informes del origen y monto de los ingresos y egresos de los gastos de los actos tendentes a obtener el apoyo ciudadano del financiamiento privado, así como su empleo y aplicación, atendiendo a las siguientes reglas: </w:t>
            </w:r>
          </w:p>
          <w:p w14:paraId="2DF5273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Origen y monto de los ingresos, así como los egresos realizados de la cuenta bancaria </w:t>
            </w:r>
            <w:proofErr w:type="spellStart"/>
            <w:r w:rsidRPr="0072470A">
              <w:rPr>
                <w:rFonts w:ascii="Arial" w:eastAsia="Calibri" w:hAnsi="Arial" w:cs="Arial"/>
                <w:sz w:val="20"/>
                <w:szCs w:val="20"/>
                <w:lang w:eastAsia="en-US"/>
              </w:rPr>
              <w:t>aperturada</w:t>
            </w:r>
            <w:proofErr w:type="spellEnd"/>
            <w:r w:rsidRPr="0072470A">
              <w:rPr>
                <w:rFonts w:ascii="Arial" w:eastAsia="Calibri" w:hAnsi="Arial" w:cs="Arial"/>
                <w:sz w:val="20"/>
                <w:szCs w:val="20"/>
                <w:lang w:eastAsia="en-US"/>
              </w:rPr>
              <w:t xml:space="preserve">; </w:t>
            </w:r>
          </w:p>
          <w:p w14:paraId="1C3330DE"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Acompañar los estados de cuenta bancarios, y </w:t>
            </w:r>
          </w:p>
          <w:p w14:paraId="0B4F2EBA" w14:textId="49C4C129"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Entregarlo dentro del plazo a que se refiere esta Ley. </w:t>
            </w:r>
          </w:p>
          <w:p w14:paraId="24F6179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1CA4B124" w14:textId="6DFFBD78"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273</w:t>
            </w:r>
            <w:r w:rsidR="0022355A" w:rsidRPr="0072470A">
              <w:rPr>
                <w:rFonts w:ascii="Arial" w:eastAsia="Calibri" w:hAnsi="Arial" w:cs="Arial"/>
                <w:sz w:val="20"/>
                <w:szCs w:val="20"/>
                <w:lang w:eastAsia="en-US"/>
              </w:rPr>
              <w:t>. Los candidatos independientes deberán presentar ante la Unidad Técnica de Fiscalización de la Comisión de Fiscalización del Consejo los informes de campaña, respecto al origen y monto de los ingresos y egresos por cualquier modalidad de financiamiento, así como su empleo y aplicación, atendiendo a las reglas siguientes:</w:t>
            </w:r>
          </w:p>
          <w:p w14:paraId="45C78D29"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F71BDAF"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 Deberán ser presentados por los candidatos independientes, especificando los gastos que haya realizado en el ámbito territorial correspondiente; </w:t>
            </w:r>
          </w:p>
          <w:p w14:paraId="25A422BA" w14:textId="244969EF"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 El candidato independiente y su responsable de la administración de los recursos financieros y de la presentación de los informes de campaña, son solidariamente responsables del cumplimiento de los informes de gastos que se refiere en el inciso anterior, y </w:t>
            </w:r>
          </w:p>
          <w:p w14:paraId="6D5F1D83"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Los candidatos independientes presentarán informes de ingresos y gastos por periodos de treinta días contados a partir de que dé inicio la etapa de campaña, los cuales deberán entregar a la Unidad Técnica de Fiscalización dentro de los siguientes tres días concluido cada periodo. En cada informe será reportado el origen de los recursos que se hayan utilizado para financiar los gastos correspondientes a los rubros señalados en esta Ley y demás disposiciones aplicables, así como el monto y destino de dichas erogaciones. </w:t>
            </w:r>
          </w:p>
          <w:p w14:paraId="08D48191"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C16FDE9" w14:textId="74FC299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El procedimiento para la presentación y revisión de los informes se sujetará a lo establecido en el Reglamento que al efecto emita el Pleno del Consejo. </w:t>
            </w:r>
          </w:p>
          <w:p w14:paraId="3F2D3FED"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2B8EB4E3" w14:textId="3E0E4955"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274.</w:t>
            </w:r>
            <w:r w:rsidR="0022355A" w:rsidRPr="0072470A">
              <w:rPr>
                <w:rFonts w:ascii="Arial" w:eastAsia="Calibri" w:hAnsi="Arial" w:cs="Arial"/>
                <w:sz w:val="20"/>
                <w:szCs w:val="20"/>
                <w:lang w:eastAsia="en-US"/>
              </w:rPr>
              <w:t xml:space="preserve"> La revisión de los informes que los aspirantes y los candidatos independientes presenten sobre el origen y destino de sus recursos para la obtención de apoyo ciudadano y para las campañas, según corresponda, así como la práctica de auditorías sobre el manejo de sus recursos y su situación contable y financiera estará a cargo de la Unidad Técnica de Fiscalización de la Comisión de Fiscalización del Consejo. </w:t>
            </w:r>
          </w:p>
          <w:p w14:paraId="33B404E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p w14:paraId="74CFBF3E" w14:textId="7D0D856A" w:rsidR="0022355A" w:rsidRPr="0072470A" w:rsidRDefault="00727A3F"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b/>
                <w:bCs/>
                <w:sz w:val="20"/>
                <w:szCs w:val="20"/>
                <w:lang w:eastAsia="en-US"/>
              </w:rPr>
              <w:t xml:space="preserve">Artículo </w:t>
            </w:r>
            <w:r w:rsidR="0022355A" w:rsidRPr="0072470A">
              <w:rPr>
                <w:rFonts w:ascii="Arial" w:eastAsia="Calibri" w:hAnsi="Arial" w:cs="Arial"/>
                <w:b/>
                <w:bCs/>
                <w:sz w:val="20"/>
                <w:szCs w:val="20"/>
                <w:lang w:eastAsia="en-US"/>
              </w:rPr>
              <w:t>453.</w:t>
            </w:r>
            <w:r w:rsidR="0022355A" w:rsidRPr="0072470A">
              <w:rPr>
                <w:rFonts w:ascii="Arial" w:eastAsia="Calibri" w:hAnsi="Arial" w:cs="Arial"/>
                <w:sz w:val="20"/>
                <w:szCs w:val="20"/>
                <w:lang w:eastAsia="en-US"/>
              </w:rPr>
              <w:t xml:space="preserve"> Son conductas infractoras atribuibles a los partidos políticos nacionales o estatales: </w:t>
            </w:r>
          </w:p>
          <w:p w14:paraId="118184DF" w14:textId="1C2C9152"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I. El incumplimiento de las obligaciones señaladas en la Ley General de Partidos Políticos y demás disposiciones aplicables de esta Ley; II. Incumplir las resoluciones o acuerdos del Consejo o de los demás organismos electorales;</w:t>
            </w:r>
          </w:p>
          <w:p w14:paraId="28F350D4"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III. Incumplir las obligaciones o violar las prohibiciones y topes que en materia de financiamiento y fiscalización les impone esta Ley; </w:t>
            </w:r>
          </w:p>
          <w:p w14:paraId="0F87008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IV. Eludir presentar los informes a que se encuentran obligados, o no atender los requerimientos de la Comisión Permanente de Fiscalización, en los términos y plazos que se establecen en esta Ley, y su reglamento respectivo; </w:t>
            </w:r>
          </w:p>
          <w:p w14:paraId="55DD803C"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lastRenderedPageBreak/>
              <w:t xml:space="preserve">V. Realizar anticipadamente actos de precampaña o campaña atribuible a los propios partidos; </w:t>
            </w:r>
          </w:p>
          <w:p w14:paraId="25813632"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 Exceder los topes de gastos de campaña; VII. Realizar actos de precampaña o campaña en territorio extranjero, siempre que se acredite que existió consentimiento de los propios partidos, sin perjuicio de la responsabilidad de quien o quienes hubiesen realizado dichos actos; </w:t>
            </w:r>
          </w:p>
          <w:p w14:paraId="1406C1C0"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VIII. Contratar tiempo en cualquier modalidad en radio o televisión, ya sea en forma directa, o a través de terceras personas; </w:t>
            </w:r>
          </w:p>
          <w:p w14:paraId="579BED15"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IX. Difundir propaganda política o electoral cuyo contenido denigre a las instituciones y a los propios partidos, o que calumnien a las personas; </w:t>
            </w:r>
          </w:p>
          <w:p w14:paraId="1DC523AA"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 Incumplir las normas relativas al manejo y comprobación de sus recursos, o para la entrega de la información sobre el origen, monto y destino de </w:t>
            </w:r>
            <w:proofErr w:type="gramStart"/>
            <w:r w:rsidRPr="0072470A">
              <w:rPr>
                <w:rFonts w:ascii="Arial" w:eastAsia="Calibri" w:hAnsi="Arial" w:cs="Arial"/>
                <w:sz w:val="20"/>
                <w:szCs w:val="20"/>
                <w:lang w:eastAsia="en-US"/>
              </w:rPr>
              <w:t>los mismos</w:t>
            </w:r>
            <w:proofErr w:type="gramEnd"/>
            <w:r w:rsidRPr="0072470A">
              <w:rPr>
                <w:rFonts w:ascii="Arial" w:eastAsia="Calibri" w:hAnsi="Arial" w:cs="Arial"/>
                <w:sz w:val="20"/>
                <w:szCs w:val="20"/>
                <w:lang w:eastAsia="en-US"/>
              </w:rPr>
              <w:t xml:space="preserve">; </w:t>
            </w:r>
          </w:p>
          <w:p w14:paraId="0DFA198F" w14:textId="552594AA"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 Incumplir la obligación de proporcionar en tiempo y forma, la información que les sea solicitada por los órganos del Consejo, y </w:t>
            </w:r>
          </w:p>
          <w:p w14:paraId="4A645A7B" w14:textId="77777777" w:rsidR="0022355A" w:rsidRPr="0072470A" w:rsidRDefault="0022355A" w:rsidP="00512B91">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r w:rsidRPr="0072470A">
              <w:rPr>
                <w:rFonts w:ascii="Arial" w:eastAsia="Calibri" w:hAnsi="Arial" w:cs="Arial"/>
                <w:sz w:val="20"/>
                <w:szCs w:val="20"/>
                <w:lang w:eastAsia="en-US"/>
              </w:rPr>
              <w:t xml:space="preserve">XII. Las demás faltas a las disposiciones de esta Ley, y las que prevean otras disposiciones aplicables. </w:t>
            </w:r>
          </w:p>
          <w:p w14:paraId="5621404D" w14:textId="30D30D8B" w:rsidR="0022355A" w:rsidRPr="0072470A" w:rsidRDefault="0022355A" w:rsidP="001C332A">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sz w:val="20"/>
                <w:szCs w:val="20"/>
                <w:lang w:eastAsia="en-US"/>
              </w:rPr>
            </w:pPr>
          </w:p>
        </w:tc>
        <w:bookmarkStart w:id="0" w:name="_GoBack"/>
        <w:bookmarkEnd w:id="0"/>
      </w:tr>
      <w:tr w:rsidR="0022355A" w:rsidRPr="0072470A" w14:paraId="6BBD329A" w14:textId="77777777" w:rsidTr="00727A3F">
        <w:trPr>
          <w:trHeight w:val="650"/>
          <w:jc w:val="center"/>
        </w:trPr>
        <w:tc>
          <w:tcPr>
            <w:cnfStyle w:val="001000000000" w:firstRow="0" w:lastRow="0" w:firstColumn="1" w:lastColumn="0" w:oddVBand="0" w:evenVBand="0" w:oddHBand="0" w:evenHBand="0" w:firstRowFirstColumn="0" w:firstRowLastColumn="0" w:lastRowFirstColumn="0" w:lastRowLastColumn="0"/>
            <w:tcW w:w="846" w:type="dxa"/>
            <w:vAlign w:val="center"/>
          </w:tcPr>
          <w:p w14:paraId="471CB3E6" w14:textId="0D37D13E" w:rsidR="0022355A" w:rsidRPr="0072470A" w:rsidRDefault="0022355A" w:rsidP="0022355A">
            <w:pPr>
              <w:ind w:left="360"/>
              <w:jc w:val="center"/>
              <w:rPr>
                <w:rFonts w:ascii="Arial" w:hAnsi="Arial" w:cs="Arial"/>
                <w:sz w:val="20"/>
                <w:szCs w:val="20"/>
              </w:rPr>
            </w:pPr>
            <w:r w:rsidRPr="0072470A">
              <w:rPr>
                <w:rFonts w:ascii="Arial" w:eastAsia="Calibri" w:hAnsi="Arial" w:cs="Arial"/>
                <w:sz w:val="20"/>
                <w:szCs w:val="20"/>
              </w:rPr>
              <w:lastRenderedPageBreak/>
              <w:t>2</w:t>
            </w:r>
          </w:p>
        </w:tc>
        <w:tc>
          <w:tcPr>
            <w:tcW w:w="1417" w:type="dxa"/>
            <w:vAlign w:val="center"/>
          </w:tcPr>
          <w:p w14:paraId="332E4E6E" w14:textId="3162E980" w:rsidR="0022355A" w:rsidRPr="0072470A" w:rsidRDefault="0022355A" w:rsidP="0022355A">
            <w:pPr>
              <w:jc w:val="center"/>
              <w:cnfStyle w:val="000000000000" w:firstRow="0" w:lastRow="0" w:firstColumn="0" w:lastColumn="0" w:oddVBand="0" w:evenVBand="0" w:oddHBand="0" w:evenHBand="0" w:firstRowFirstColumn="0" w:firstRowLastColumn="0" w:lastRowFirstColumn="0" w:lastRowLastColumn="0"/>
              <w:rPr>
                <w:rFonts w:ascii="Arial" w:hAnsi="Arial" w:cs="Arial"/>
              </w:rPr>
            </w:pPr>
            <w:r w:rsidRPr="0072470A">
              <w:rPr>
                <w:rFonts w:ascii="Arial" w:eastAsia="Calibri" w:hAnsi="Arial" w:cs="Arial"/>
                <w:b/>
                <w:bCs/>
                <w:sz w:val="20"/>
                <w:szCs w:val="20"/>
              </w:rPr>
              <w:t>SAN LUIS POTOSI</w:t>
            </w:r>
          </w:p>
        </w:tc>
        <w:tc>
          <w:tcPr>
            <w:tcW w:w="15451" w:type="dxa"/>
            <w:gridSpan w:val="2"/>
            <w:vAlign w:val="center"/>
          </w:tcPr>
          <w:p w14:paraId="335B4CDA" w14:textId="77777777" w:rsidR="0022355A" w:rsidRPr="0072470A" w:rsidRDefault="0022355A" w:rsidP="0022355A">
            <w:pPr>
              <w:pStyle w:val="NormalWeb"/>
              <w:spacing w:before="0" w:beforeAutospacing="0" w:after="0" w:afterAutospacing="0"/>
              <w:ind w:left="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lang w:eastAsia="en-US"/>
              </w:rPr>
            </w:pPr>
            <w:r w:rsidRPr="0072470A">
              <w:rPr>
                <w:rFonts w:ascii="Arial" w:eastAsia="Calibri" w:hAnsi="Arial" w:cs="Arial"/>
                <w:b/>
                <w:bCs/>
                <w:sz w:val="20"/>
                <w:szCs w:val="20"/>
                <w:lang w:eastAsia="en-US"/>
              </w:rPr>
              <w:t>REGLAMENTOS EN MATERIA DE FISCALIZACIÓN</w:t>
            </w:r>
          </w:p>
          <w:p w14:paraId="50A01B57" w14:textId="77777777" w:rsidR="0022355A" w:rsidRPr="0072470A" w:rsidRDefault="0022355A" w:rsidP="0022355A">
            <w:pPr>
              <w:pStyle w:val="NormalWeb"/>
              <w:spacing w:before="0" w:beforeAutospacing="0" w:after="0" w:afterAutospacing="0"/>
              <w:ind w:left="40"/>
              <w:jc w:val="center"/>
              <w:cnfStyle w:val="000000000000" w:firstRow="0" w:lastRow="0" w:firstColumn="0" w:lastColumn="0" w:oddVBand="0" w:evenVBand="0" w:oddHBand="0" w:evenHBand="0" w:firstRowFirstColumn="0" w:firstRowLastColumn="0" w:lastRowFirstColumn="0" w:lastRowLastColumn="0"/>
              <w:rPr>
                <w:rFonts w:ascii="Arial" w:eastAsia="Calibri" w:hAnsi="Arial" w:cs="Arial"/>
                <w:sz w:val="20"/>
                <w:szCs w:val="20"/>
                <w:lang w:eastAsia="en-US"/>
              </w:rPr>
            </w:pPr>
          </w:p>
          <w:p w14:paraId="5E4081B7" w14:textId="2945B1C6" w:rsidR="0022355A" w:rsidRPr="0072470A" w:rsidRDefault="00727A3F" w:rsidP="0022355A">
            <w:pPr>
              <w:pStyle w:val="NormalWeb"/>
              <w:spacing w:before="0" w:beforeAutospacing="0" w:after="0" w:afterAutospacing="0"/>
              <w:ind w:left="40"/>
              <w:jc w:val="both"/>
              <w:cnfStyle w:val="000000000000" w:firstRow="0" w:lastRow="0" w:firstColumn="0" w:lastColumn="0" w:oddVBand="0" w:evenVBand="0" w:oddHBand="0" w:evenHBand="0" w:firstRowFirstColumn="0" w:firstRowLastColumn="0" w:lastRowFirstColumn="0" w:lastRowLastColumn="0"/>
              <w:rPr>
                <w:rFonts w:ascii="Arial" w:eastAsia="Calibri" w:hAnsi="Arial" w:cs="Arial"/>
                <w:b/>
                <w:bCs/>
                <w:sz w:val="20"/>
                <w:szCs w:val="20"/>
                <w:lang w:eastAsia="en-US"/>
              </w:rPr>
            </w:pPr>
            <w:hyperlink r:id="rId9" w:history="1">
              <w:r w:rsidR="0022355A" w:rsidRPr="0072470A">
                <w:rPr>
                  <w:rStyle w:val="Hipervnculo"/>
                  <w:rFonts w:eastAsia="Calibri"/>
                  <w:sz w:val="20"/>
                  <w:szCs w:val="20"/>
                  <w:lang w:eastAsia="en-US"/>
                </w:rPr>
                <w:t>REGLAMENTO EN MATERIA DE FISCALIZACION DE LOS RECURSOS DE LOS PARTIDOS POLITICOS, DEL ESTADO DE SAN LUIS POTOSI</w:t>
              </w:r>
            </w:hyperlink>
          </w:p>
        </w:tc>
      </w:tr>
      <w:tr w:rsidR="0022355A" w:rsidRPr="0072470A" w14:paraId="1D1EC90E" w14:textId="77777777" w:rsidTr="00727A3F">
        <w:trPr>
          <w:cnfStyle w:val="000000100000" w:firstRow="0" w:lastRow="0" w:firstColumn="0" w:lastColumn="0" w:oddVBand="0" w:evenVBand="0" w:oddHBand="1" w:evenHBand="0" w:firstRowFirstColumn="0" w:firstRowLastColumn="0" w:lastRowFirstColumn="0" w:lastRowLastColumn="0"/>
          <w:trHeight w:val="650"/>
          <w:jc w:val="center"/>
        </w:trPr>
        <w:tc>
          <w:tcPr>
            <w:cnfStyle w:val="001000000000" w:firstRow="0" w:lastRow="0" w:firstColumn="1" w:lastColumn="0" w:oddVBand="0" w:evenVBand="0" w:oddHBand="0" w:evenHBand="0" w:firstRowFirstColumn="0" w:firstRowLastColumn="0" w:lastRowFirstColumn="0" w:lastRowLastColumn="0"/>
            <w:tcW w:w="846" w:type="dxa"/>
            <w:shd w:val="clear" w:color="auto" w:fill="auto"/>
            <w:vAlign w:val="center"/>
          </w:tcPr>
          <w:p w14:paraId="188F26B4" w14:textId="1A125652" w:rsidR="0022355A" w:rsidRPr="0072470A" w:rsidRDefault="0022355A" w:rsidP="0022355A">
            <w:pPr>
              <w:ind w:left="360"/>
              <w:jc w:val="center"/>
              <w:rPr>
                <w:rFonts w:ascii="Arial" w:hAnsi="Arial" w:cs="Arial"/>
                <w:sz w:val="20"/>
                <w:szCs w:val="20"/>
              </w:rPr>
            </w:pPr>
            <w:r w:rsidRPr="0072470A">
              <w:rPr>
                <w:rFonts w:ascii="Arial" w:eastAsia="Calibri" w:hAnsi="Arial" w:cs="Arial"/>
                <w:sz w:val="20"/>
                <w:szCs w:val="20"/>
              </w:rPr>
              <w:t>3</w:t>
            </w:r>
          </w:p>
        </w:tc>
        <w:tc>
          <w:tcPr>
            <w:tcW w:w="1417" w:type="dxa"/>
            <w:shd w:val="clear" w:color="auto" w:fill="auto"/>
            <w:vAlign w:val="center"/>
          </w:tcPr>
          <w:p w14:paraId="46CC8368" w14:textId="4C8649E0" w:rsidR="0022355A" w:rsidRPr="0072470A" w:rsidRDefault="0022355A" w:rsidP="0022355A">
            <w:pPr>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72470A">
              <w:rPr>
                <w:rFonts w:ascii="Arial" w:eastAsia="Calibri" w:hAnsi="Arial" w:cs="Arial"/>
                <w:b/>
                <w:bCs/>
                <w:sz w:val="20"/>
                <w:szCs w:val="20"/>
              </w:rPr>
              <w:t>SAN LUIS POTOSI</w:t>
            </w:r>
          </w:p>
        </w:tc>
        <w:tc>
          <w:tcPr>
            <w:tcW w:w="15451" w:type="dxa"/>
            <w:gridSpan w:val="2"/>
            <w:shd w:val="clear" w:color="auto" w:fill="auto"/>
            <w:vAlign w:val="center"/>
          </w:tcPr>
          <w:p w14:paraId="0E1D53FE" w14:textId="77777777" w:rsidR="0022355A" w:rsidRPr="0072470A" w:rsidRDefault="0022355A" w:rsidP="0022355A">
            <w:pPr>
              <w:pStyle w:val="NormalWeb"/>
              <w:spacing w:before="0" w:beforeAutospacing="0" w:after="0" w:afterAutospacing="0"/>
              <w:ind w:left="40"/>
              <w:jc w:val="center"/>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lang w:eastAsia="en-US"/>
              </w:rPr>
            </w:pPr>
            <w:r w:rsidRPr="0072470A">
              <w:rPr>
                <w:rFonts w:ascii="Arial" w:eastAsia="Calibri" w:hAnsi="Arial" w:cs="Arial"/>
                <w:b/>
                <w:bCs/>
                <w:sz w:val="20"/>
                <w:szCs w:val="20"/>
                <w:lang w:eastAsia="en-US"/>
              </w:rPr>
              <w:t>LINEAMIENTOS EN MATERIA DE FISCALIZACIÓN</w:t>
            </w:r>
          </w:p>
          <w:p w14:paraId="162BEA74" w14:textId="77777777" w:rsidR="0022355A" w:rsidRPr="0072470A" w:rsidRDefault="0022355A" w:rsidP="0022355A">
            <w:pPr>
              <w:pStyle w:val="NormalWeb"/>
              <w:spacing w:before="0" w:beforeAutospacing="0" w:after="0" w:afterAutospacing="0"/>
              <w:ind w:left="40"/>
              <w:jc w:val="center"/>
              <w:cnfStyle w:val="000000100000" w:firstRow="0" w:lastRow="0" w:firstColumn="0" w:lastColumn="0" w:oddVBand="0" w:evenVBand="0" w:oddHBand="1" w:evenHBand="0" w:firstRowFirstColumn="0" w:firstRowLastColumn="0" w:lastRowFirstColumn="0" w:lastRowLastColumn="0"/>
              <w:rPr>
                <w:rStyle w:val="Hipervnculo"/>
                <w:rFonts w:eastAsia="Calibri"/>
                <w:sz w:val="20"/>
                <w:szCs w:val="20"/>
              </w:rPr>
            </w:pPr>
          </w:p>
          <w:p w14:paraId="2DCE19F1" w14:textId="77777777" w:rsidR="0022355A" w:rsidRPr="0072470A" w:rsidRDefault="00727A3F" w:rsidP="0022355A">
            <w:pPr>
              <w:pStyle w:val="NormalWeb"/>
              <w:spacing w:before="0" w:beforeAutospacing="0" w:after="0" w:afterAutospacing="0"/>
              <w:ind w:left="40"/>
              <w:jc w:val="center"/>
              <w:cnfStyle w:val="000000100000" w:firstRow="0" w:lastRow="0" w:firstColumn="0" w:lastColumn="0" w:oddVBand="0" w:evenVBand="0" w:oddHBand="1" w:evenHBand="0" w:firstRowFirstColumn="0" w:firstRowLastColumn="0" w:lastRowFirstColumn="0" w:lastRowLastColumn="0"/>
              <w:rPr>
                <w:rStyle w:val="Hipervnculo"/>
                <w:rFonts w:eastAsia="Calibri"/>
                <w:sz w:val="20"/>
                <w:szCs w:val="20"/>
              </w:rPr>
            </w:pPr>
            <w:hyperlink r:id="rId10" w:history="1">
              <w:r w:rsidR="0022355A" w:rsidRPr="0072470A">
                <w:rPr>
                  <w:rStyle w:val="Hipervnculo"/>
                  <w:rFonts w:eastAsia="Calibri"/>
                  <w:sz w:val="20"/>
                  <w:szCs w:val="20"/>
                  <w:lang w:eastAsia="en-US"/>
                </w:rPr>
                <w:t>LINEAMIENTOS PARA LA DISOLUCIÓN Y LIQUIDACIÓN DE LAS ASOCIACIONES CIVILES CONSTITUIDAS PARA LAS CANDIDATURAS INDEPENDIENTES REGISTRADAS EN SAN LUIS POTOSÍ</w:t>
              </w:r>
            </w:hyperlink>
          </w:p>
          <w:p w14:paraId="56C5F60F" w14:textId="77777777" w:rsidR="0022355A" w:rsidRPr="0072470A" w:rsidRDefault="0022355A" w:rsidP="0022355A">
            <w:pPr>
              <w:pStyle w:val="NormalWeb"/>
              <w:spacing w:before="0" w:beforeAutospacing="0" w:after="0" w:afterAutospacing="0"/>
              <w:ind w:left="40"/>
              <w:jc w:val="center"/>
              <w:cnfStyle w:val="000000100000" w:firstRow="0" w:lastRow="0" w:firstColumn="0" w:lastColumn="0" w:oddVBand="0" w:evenVBand="0" w:oddHBand="1" w:evenHBand="0" w:firstRowFirstColumn="0" w:firstRowLastColumn="0" w:lastRowFirstColumn="0" w:lastRowLastColumn="0"/>
              <w:rPr>
                <w:rStyle w:val="Hipervnculo"/>
                <w:rFonts w:eastAsia="Calibri"/>
                <w:sz w:val="20"/>
                <w:szCs w:val="20"/>
              </w:rPr>
            </w:pPr>
          </w:p>
          <w:p w14:paraId="001412B8" w14:textId="037D908B" w:rsidR="0022355A" w:rsidRPr="0072470A" w:rsidRDefault="00727A3F" w:rsidP="0022355A">
            <w:pPr>
              <w:pStyle w:val="NormalWeb"/>
              <w:spacing w:before="0" w:beforeAutospacing="0" w:after="0" w:afterAutospacing="0"/>
              <w:ind w:left="40"/>
              <w:jc w:val="both"/>
              <w:cnfStyle w:val="000000100000" w:firstRow="0" w:lastRow="0" w:firstColumn="0" w:lastColumn="0" w:oddVBand="0" w:evenVBand="0" w:oddHBand="1" w:evenHBand="0" w:firstRowFirstColumn="0" w:firstRowLastColumn="0" w:lastRowFirstColumn="0" w:lastRowLastColumn="0"/>
              <w:rPr>
                <w:rFonts w:ascii="Arial" w:eastAsia="Calibri" w:hAnsi="Arial" w:cs="Arial"/>
                <w:b/>
                <w:bCs/>
                <w:sz w:val="20"/>
                <w:szCs w:val="20"/>
                <w:lang w:eastAsia="en-US"/>
              </w:rPr>
            </w:pPr>
            <w:hyperlink r:id="rId11" w:history="1">
              <w:r w:rsidR="0022355A" w:rsidRPr="0072470A">
                <w:rPr>
                  <w:rStyle w:val="Hipervnculo"/>
                  <w:rFonts w:eastAsia="Calibri"/>
                  <w:sz w:val="20"/>
                  <w:szCs w:val="20"/>
                  <w:lang w:eastAsia="en-US"/>
                </w:rPr>
                <w:t>LINEAMIENTOS PARA EL REGISTRO DE ASPIRANTES A LAS CANDIDATURAS INDEPENDIENTES PARA LOS CARGOS DE GUBERNATURA DEL ESTADO, DIPUTACIONES DE MAYORÍA RELATIVA Y AYUNTAMIENTOS PARA EL ESTADO DE SAN LUIS POTOSÍ, EN EL PROCESO ELECTORAL LOCAL 2020 – 2021.</w:t>
              </w:r>
            </w:hyperlink>
          </w:p>
        </w:tc>
      </w:tr>
    </w:tbl>
    <w:p w14:paraId="180A76E1" w14:textId="77777777" w:rsidR="000E7006" w:rsidRPr="00FF0B07" w:rsidRDefault="000E7006" w:rsidP="00B32E57">
      <w:pPr>
        <w:spacing w:after="0" w:line="240" w:lineRule="auto"/>
        <w:contextualSpacing/>
        <w:rPr>
          <w:rFonts w:ascii="Century Gothic" w:hAnsi="Century Gothic" w:cs="Arial"/>
          <w:b/>
          <w:bCs/>
          <w:sz w:val="20"/>
          <w:szCs w:val="20"/>
        </w:rPr>
      </w:pPr>
    </w:p>
    <w:sectPr w:rsidR="000E7006" w:rsidRPr="00FF0B07" w:rsidSect="00014A68">
      <w:headerReference w:type="default" r:id="rId12"/>
      <w:pgSz w:w="20160" w:h="12240" w:orient="landscape" w:code="5"/>
      <w:pgMar w:top="170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B523F9" w14:textId="77777777" w:rsidR="00FB5A41" w:rsidRDefault="00FB5A41" w:rsidP="0066719E">
      <w:pPr>
        <w:spacing w:after="0" w:line="240" w:lineRule="auto"/>
      </w:pPr>
      <w:r>
        <w:separator/>
      </w:r>
    </w:p>
  </w:endnote>
  <w:endnote w:type="continuationSeparator" w:id="0">
    <w:p w14:paraId="7ED69B34" w14:textId="77777777" w:rsidR="00FB5A41" w:rsidRDefault="00FB5A41" w:rsidP="006671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altName w:val="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7F4949" w14:textId="77777777" w:rsidR="00FB5A41" w:rsidRDefault="00FB5A41" w:rsidP="0066719E">
      <w:pPr>
        <w:spacing w:after="0" w:line="240" w:lineRule="auto"/>
      </w:pPr>
      <w:r>
        <w:separator/>
      </w:r>
    </w:p>
  </w:footnote>
  <w:footnote w:type="continuationSeparator" w:id="0">
    <w:p w14:paraId="58220DF2" w14:textId="77777777" w:rsidR="00FB5A41" w:rsidRDefault="00FB5A41" w:rsidP="006671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621B5" w14:textId="08FF51A2" w:rsidR="00727A3F" w:rsidRDefault="00727A3F" w:rsidP="00727A3F">
    <w:pPr>
      <w:ind w:right="115"/>
      <w:jc w:val="right"/>
      <w:rPr>
        <w:rFonts w:ascii="Arial" w:eastAsia="Arial" w:hAnsi="Arial" w:cs="Arial"/>
        <w:b/>
        <w:i/>
        <w:sz w:val="18"/>
      </w:rPr>
    </w:pPr>
    <w:r>
      <w:rPr>
        <w:noProof/>
      </w:rPr>
      <w:drawing>
        <wp:anchor distT="0" distB="0" distL="0" distR="0" simplePos="0" relativeHeight="251659264" behindDoc="0" locked="0" layoutInCell="1" allowOverlap="1" wp14:anchorId="584C17DE" wp14:editId="15504D99">
          <wp:simplePos x="0" y="0"/>
          <wp:positionH relativeFrom="margin">
            <wp:align>left</wp:align>
          </wp:positionH>
          <wp:positionV relativeFrom="paragraph">
            <wp:posOffset>-167226</wp:posOffset>
          </wp:positionV>
          <wp:extent cx="1040725" cy="1001236"/>
          <wp:effectExtent l="0" t="0" r="7620" b="889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040725" cy="1001236"/>
                  </a:xfrm>
                  <a:prstGeom prst="rect">
                    <a:avLst/>
                  </a:prstGeom>
                </pic:spPr>
              </pic:pic>
            </a:graphicData>
          </a:graphic>
        </wp:anchor>
      </w:drawing>
    </w:r>
    <w:r>
      <w:rPr>
        <w:rFonts w:ascii="Arial" w:eastAsia="Arial" w:hAnsi="Arial" w:cs="Arial"/>
        <w:b/>
        <w:i/>
      </w:rPr>
      <w:t>D</w:t>
    </w:r>
    <w:r>
      <w:rPr>
        <w:rFonts w:ascii="Arial" w:eastAsia="Arial" w:hAnsi="Arial" w:cs="Arial"/>
        <w:b/>
        <w:i/>
        <w:sz w:val="18"/>
        <w:szCs w:val="18"/>
      </w:rPr>
      <w:t>IRECCIÓN</w:t>
    </w:r>
    <w:r>
      <w:rPr>
        <w:rFonts w:ascii="Arial" w:eastAsia="Arial" w:hAnsi="Arial" w:cs="Arial"/>
        <w:b/>
        <w:i/>
      </w:rPr>
      <w:t xml:space="preserve"> G</w:t>
    </w:r>
    <w:r>
      <w:rPr>
        <w:rFonts w:ascii="Arial" w:eastAsia="Arial" w:hAnsi="Arial" w:cs="Arial"/>
        <w:b/>
        <w:i/>
        <w:sz w:val="18"/>
        <w:szCs w:val="18"/>
      </w:rPr>
      <w:t>ENERAL</w:t>
    </w:r>
    <w:r>
      <w:rPr>
        <w:rFonts w:ascii="Arial" w:eastAsia="Arial" w:hAnsi="Arial" w:cs="Arial"/>
        <w:b/>
        <w:i/>
      </w:rPr>
      <w:t xml:space="preserve"> </w:t>
    </w:r>
    <w:r>
      <w:rPr>
        <w:rFonts w:ascii="Arial" w:eastAsia="Arial" w:hAnsi="Arial" w:cs="Arial"/>
        <w:b/>
        <w:i/>
        <w:sz w:val="18"/>
      </w:rPr>
      <w:t xml:space="preserve">DE </w:t>
    </w:r>
    <w:r>
      <w:rPr>
        <w:rFonts w:ascii="Arial" w:eastAsia="Arial" w:hAnsi="Arial" w:cs="Arial"/>
        <w:b/>
        <w:i/>
      </w:rPr>
      <w:t>J</w:t>
    </w:r>
    <w:r>
      <w:rPr>
        <w:rFonts w:ascii="Arial" w:eastAsia="Arial" w:hAnsi="Arial" w:cs="Arial"/>
        <w:b/>
        <w:i/>
        <w:sz w:val="18"/>
      </w:rPr>
      <w:t>URISPRUDENCIA</w:t>
    </w:r>
    <w:r>
      <w:rPr>
        <w:rFonts w:ascii="Arial" w:eastAsia="Arial" w:hAnsi="Arial" w:cs="Arial"/>
        <w:b/>
        <w:i/>
      </w:rPr>
      <w:t>,</w:t>
    </w:r>
    <w:r>
      <w:rPr>
        <w:rFonts w:ascii="Arial" w:eastAsia="Arial" w:hAnsi="Arial" w:cs="Arial"/>
        <w:b/>
        <w:i/>
        <w:sz w:val="18"/>
      </w:rPr>
      <w:t xml:space="preserve"> SEGUIMIENTO Y CONSULTA</w:t>
    </w:r>
  </w:p>
  <w:p w14:paraId="45EB58CB" w14:textId="70BA2C46" w:rsidR="00727A3F" w:rsidRDefault="00727A3F" w:rsidP="00727A3F">
    <w:pPr>
      <w:ind w:right="115"/>
      <w:jc w:val="right"/>
      <w:rPr>
        <w:rFonts w:ascii="Arial" w:eastAsia="Arial" w:hAnsi="Arial" w:cs="Arial"/>
        <w:b/>
        <w:i/>
        <w:sz w:val="18"/>
      </w:rPr>
    </w:pPr>
  </w:p>
  <w:p w14:paraId="3141730A" w14:textId="77777777" w:rsidR="00727A3F" w:rsidRDefault="00727A3F" w:rsidP="00727A3F">
    <w:pPr>
      <w:ind w:right="115"/>
      <w:jc w:val="right"/>
      <w:rPr>
        <w:rFonts w:ascii="Arial" w:eastAsia="Arial" w:hAnsi="Arial" w:cs="Arial"/>
        <w:b/>
        <w:i/>
        <w:sz w:val="18"/>
      </w:rPr>
    </w:pPr>
  </w:p>
  <w:p w14:paraId="60E3A52B" w14:textId="68085E35" w:rsidR="00AF1061" w:rsidRDefault="00AF1061" w:rsidP="00727A3F">
    <w:pPr>
      <w:pStyle w:val="Encabezado"/>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3D6FF8"/>
    <w:multiLevelType w:val="hybridMultilevel"/>
    <w:tmpl w:val="343670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50F756D"/>
    <w:multiLevelType w:val="hybridMultilevel"/>
    <w:tmpl w:val="BC045F9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87E22C0"/>
    <w:multiLevelType w:val="hybridMultilevel"/>
    <w:tmpl w:val="223A681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2A5F40CC"/>
    <w:multiLevelType w:val="hybridMultilevel"/>
    <w:tmpl w:val="437426E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2ABF22EC"/>
    <w:multiLevelType w:val="hybridMultilevel"/>
    <w:tmpl w:val="FC947802"/>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54B0336C"/>
    <w:multiLevelType w:val="hybridMultilevel"/>
    <w:tmpl w:val="457E86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C177CDA"/>
    <w:multiLevelType w:val="hybridMultilevel"/>
    <w:tmpl w:val="3DB470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78C61C76"/>
    <w:multiLevelType w:val="hybridMultilevel"/>
    <w:tmpl w:val="23AAB3FE"/>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
  </w:num>
  <w:num w:numId="4">
    <w:abstractNumId w:val="4"/>
  </w:num>
  <w:num w:numId="5">
    <w:abstractNumId w:val="6"/>
  </w:num>
  <w:num w:numId="6">
    <w:abstractNumId w:val="2"/>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9BA"/>
    <w:rsid w:val="00001AE5"/>
    <w:rsid w:val="000037F6"/>
    <w:rsid w:val="00005618"/>
    <w:rsid w:val="00011D12"/>
    <w:rsid w:val="00014710"/>
    <w:rsid w:val="00014A68"/>
    <w:rsid w:val="000233C9"/>
    <w:rsid w:val="00034E91"/>
    <w:rsid w:val="00035203"/>
    <w:rsid w:val="00041BC7"/>
    <w:rsid w:val="00041F6F"/>
    <w:rsid w:val="00044864"/>
    <w:rsid w:val="00045E37"/>
    <w:rsid w:val="00047692"/>
    <w:rsid w:val="000579F2"/>
    <w:rsid w:val="00060D9A"/>
    <w:rsid w:val="00063E5D"/>
    <w:rsid w:val="0006518A"/>
    <w:rsid w:val="00071174"/>
    <w:rsid w:val="000736B5"/>
    <w:rsid w:val="0007579E"/>
    <w:rsid w:val="0008087B"/>
    <w:rsid w:val="00090B3F"/>
    <w:rsid w:val="0009603A"/>
    <w:rsid w:val="00096C28"/>
    <w:rsid w:val="00097D40"/>
    <w:rsid w:val="000A66A3"/>
    <w:rsid w:val="000A6EC7"/>
    <w:rsid w:val="000A7990"/>
    <w:rsid w:val="000B72EB"/>
    <w:rsid w:val="000C2908"/>
    <w:rsid w:val="000C5449"/>
    <w:rsid w:val="000D1C49"/>
    <w:rsid w:val="000D32E2"/>
    <w:rsid w:val="000E25F0"/>
    <w:rsid w:val="000E29F9"/>
    <w:rsid w:val="000E2C72"/>
    <w:rsid w:val="000E2CE1"/>
    <w:rsid w:val="000E327E"/>
    <w:rsid w:val="000E7006"/>
    <w:rsid w:val="000F1454"/>
    <w:rsid w:val="000F4C45"/>
    <w:rsid w:val="000F62D2"/>
    <w:rsid w:val="00100C5C"/>
    <w:rsid w:val="00101F0B"/>
    <w:rsid w:val="00103BE3"/>
    <w:rsid w:val="00105506"/>
    <w:rsid w:val="001075DB"/>
    <w:rsid w:val="00110AA6"/>
    <w:rsid w:val="00112DAF"/>
    <w:rsid w:val="00121E12"/>
    <w:rsid w:val="00122B67"/>
    <w:rsid w:val="00122BA6"/>
    <w:rsid w:val="00124918"/>
    <w:rsid w:val="00132802"/>
    <w:rsid w:val="00133EDC"/>
    <w:rsid w:val="00134041"/>
    <w:rsid w:val="001504C9"/>
    <w:rsid w:val="00151BCB"/>
    <w:rsid w:val="00157D83"/>
    <w:rsid w:val="00162CBA"/>
    <w:rsid w:val="00172FEC"/>
    <w:rsid w:val="00174239"/>
    <w:rsid w:val="00180C66"/>
    <w:rsid w:val="00183254"/>
    <w:rsid w:val="00190C20"/>
    <w:rsid w:val="001A33E3"/>
    <w:rsid w:val="001B5C53"/>
    <w:rsid w:val="001C332A"/>
    <w:rsid w:val="001C3D12"/>
    <w:rsid w:val="001C4401"/>
    <w:rsid w:val="001C604C"/>
    <w:rsid w:val="001C7E8D"/>
    <w:rsid w:val="001D10C2"/>
    <w:rsid w:val="001F011D"/>
    <w:rsid w:val="001F5D22"/>
    <w:rsid w:val="001F64DB"/>
    <w:rsid w:val="001F65B1"/>
    <w:rsid w:val="00205382"/>
    <w:rsid w:val="002114E7"/>
    <w:rsid w:val="00216013"/>
    <w:rsid w:val="00220986"/>
    <w:rsid w:val="0022355A"/>
    <w:rsid w:val="00231632"/>
    <w:rsid w:val="002322EE"/>
    <w:rsid w:val="00232E4D"/>
    <w:rsid w:val="00235430"/>
    <w:rsid w:val="00235F6F"/>
    <w:rsid w:val="00236029"/>
    <w:rsid w:val="00241317"/>
    <w:rsid w:val="002420B2"/>
    <w:rsid w:val="002427EA"/>
    <w:rsid w:val="002535CA"/>
    <w:rsid w:val="00253C9A"/>
    <w:rsid w:val="00275B7E"/>
    <w:rsid w:val="00283D06"/>
    <w:rsid w:val="00291643"/>
    <w:rsid w:val="00294B77"/>
    <w:rsid w:val="002A0AB8"/>
    <w:rsid w:val="002A3B77"/>
    <w:rsid w:val="002B1137"/>
    <w:rsid w:val="002B11A6"/>
    <w:rsid w:val="002C1411"/>
    <w:rsid w:val="002C1A46"/>
    <w:rsid w:val="002C6D50"/>
    <w:rsid w:val="002C7483"/>
    <w:rsid w:val="002C7A4C"/>
    <w:rsid w:val="002D0EC8"/>
    <w:rsid w:val="002D1134"/>
    <w:rsid w:val="002D2571"/>
    <w:rsid w:val="002D3784"/>
    <w:rsid w:val="002D6F78"/>
    <w:rsid w:val="002D6FC4"/>
    <w:rsid w:val="002E3111"/>
    <w:rsid w:val="002F17E9"/>
    <w:rsid w:val="002F6414"/>
    <w:rsid w:val="002F6B8B"/>
    <w:rsid w:val="0030255F"/>
    <w:rsid w:val="003032DD"/>
    <w:rsid w:val="003070A2"/>
    <w:rsid w:val="00307577"/>
    <w:rsid w:val="00310301"/>
    <w:rsid w:val="003114AD"/>
    <w:rsid w:val="003159FF"/>
    <w:rsid w:val="00317706"/>
    <w:rsid w:val="00323C45"/>
    <w:rsid w:val="0032427F"/>
    <w:rsid w:val="00333E04"/>
    <w:rsid w:val="003347D9"/>
    <w:rsid w:val="00343740"/>
    <w:rsid w:val="003553BB"/>
    <w:rsid w:val="003557F6"/>
    <w:rsid w:val="00356318"/>
    <w:rsid w:val="00362061"/>
    <w:rsid w:val="00367C8D"/>
    <w:rsid w:val="00371366"/>
    <w:rsid w:val="00371CD3"/>
    <w:rsid w:val="0037200D"/>
    <w:rsid w:val="00372A97"/>
    <w:rsid w:val="00376467"/>
    <w:rsid w:val="00381411"/>
    <w:rsid w:val="003840D9"/>
    <w:rsid w:val="00390190"/>
    <w:rsid w:val="00390A69"/>
    <w:rsid w:val="003959AF"/>
    <w:rsid w:val="003A441C"/>
    <w:rsid w:val="003A5324"/>
    <w:rsid w:val="003A5C9E"/>
    <w:rsid w:val="003B6AF2"/>
    <w:rsid w:val="003C360B"/>
    <w:rsid w:val="003C427A"/>
    <w:rsid w:val="003C4541"/>
    <w:rsid w:val="003D2771"/>
    <w:rsid w:val="003D5BE1"/>
    <w:rsid w:val="003E5C0B"/>
    <w:rsid w:val="003F02F5"/>
    <w:rsid w:val="003F4DEF"/>
    <w:rsid w:val="003F539B"/>
    <w:rsid w:val="003F5B01"/>
    <w:rsid w:val="003F68C4"/>
    <w:rsid w:val="003F71FF"/>
    <w:rsid w:val="00403A5F"/>
    <w:rsid w:val="00406EC5"/>
    <w:rsid w:val="004178AE"/>
    <w:rsid w:val="00417A73"/>
    <w:rsid w:val="00421C6F"/>
    <w:rsid w:val="00424E79"/>
    <w:rsid w:val="0042675C"/>
    <w:rsid w:val="00431F2F"/>
    <w:rsid w:val="004379B0"/>
    <w:rsid w:val="00443800"/>
    <w:rsid w:val="00447B23"/>
    <w:rsid w:val="004668FF"/>
    <w:rsid w:val="00473536"/>
    <w:rsid w:val="004735CE"/>
    <w:rsid w:val="00474E2C"/>
    <w:rsid w:val="004760EE"/>
    <w:rsid w:val="004764F6"/>
    <w:rsid w:val="00480923"/>
    <w:rsid w:val="004831EC"/>
    <w:rsid w:val="004837BB"/>
    <w:rsid w:val="004876F0"/>
    <w:rsid w:val="0049137A"/>
    <w:rsid w:val="00493D44"/>
    <w:rsid w:val="00494ADA"/>
    <w:rsid w:val="00496CEC"/>
    <w:rsid w:val="004A4252"/>
    <w:rsid w:val="004A7093"/>
    <w:rsid w:val="004B208A"/>
    <w:rsid w:val="004B39F2"/>
    <w:rsid w:val="004B3A6B"/>
    <w:rsid w:val="004B4CEC"/>
    <w:rsid w:val="004C3146"/>
    <w:rsid w:val="004C54B0"/>
    <w:rsid w:val="004C54DD"/>
    <w:rsid w:val="004C6030"/>
    <w:rsid w:val="004D63EE"/>
    <w:rsid w:val="004D6F56"/>
    <w:rsid w:val="004F0F19"/>
    <w:rsid w:val="00500CFB"/>
    <w:rsid w:val="00502A39"/>
    <w:rsid w:val="0050488A"/>
    <w:rsid w:val="00506F0C"/>
    <w:rsid w:val="00512B91"/>
    <w:rsid w:val="005140C2"/>
    <w:rsid w:val="00515EAF"/>
    <w:rsid w:val="00517274"/>
    <w:rsid w:val="005205E7"/>
    <w:rsid w:val="00520CC1"/>
    <w:rsid w:val="00523B88"/>
    <w:rsid w:val="00524C1C"/>
    <w:rsid w:val="005251B2"/>
    <w:rsid w:val="00536518"/>
    <w:rsid w:val="005402EC"/>
    <w:rsid w:val="0054082B"/>
    <w:rsid w:val="00540CC5"/>
    <w:rsid w:val="00544EE1"/>
    <w:rsid w:val="0055106B"/>
    <w:rsid w:val="005530DC"/>
    <w:rsid w:val="005537DF"/>
    <w:rsid w:val="0055796C"/>
    <w:rsid w:val="00557AD5"/>
    <w:rsid w:val="00557FC4"/>
    <w:rsid w:val="00565B7C"/>
    <w:rsid w:val="00571690"/>
    <w:rsid w:val="00574B4A"/>
    <w:rsid w:val="0058130E"/>
    <w:rsid w:val="00583A48"/>
    <w:rsid w:val="00583A81"/>
    <w:rsid w:val="00583A86"/>
    <w:rsid w:val="00590467"/>
    <w:rsid w:val="005951A8"/>
    <w:rsid w:val="00595C35"/>
    <w:rsid w:val="005A533C"/>
    <w:rsid w:val="005A6AF5"/>
    <w:rsid w:val="005B07D0"/>
    <w:rsid w:val="005B5F8F"/>
    <w:rsid w:val="005C5AC1"/>
    <w:rsid w:val="005C6F32"/>
    <w:rsid w:val="005C779A"/>
    <w:rsid w:val="005D1780"/>
    <w:rsid w:val="005D4851"/>
    <w:rsid w:val="005F5E80"/>
    <w:rsid w:val="005F7A02"/>
    <w:rsid w:val="00600A62"/>
    <w:rsid w:val="0060221F"/>
    <w:rsid w:val="00603FBB"/>
    <w:rsid w:val="00607597"/>
    <w:rsid w:val="00612B51"/>
    <w:rsid w:val="00614FDF"/>
    <w:rsid w:val="006162EA"/>
    <w:rsid w:val="00621AE4"/>
    <w:rsid w:val="006239F1"/>
    <w:rsid w:val="00624BEA"/>
    <w:rsid w:val="00630B00"/>
    <w:rsid w:val="00631C8A"/>
    <w:rsid w:val="00632A2A"/>
    <w:rsid w:val="0063409C"/>
    <w:rsid w:val="00636304"/>
    <w:rsid w:val="00637540"/>
    <w:rsid w:val="00642DC7"/>
    <w:rsid w:val="0064777E"/>
    <w:rsid w:val="00647B63"/>
    <w:rsid w:val="00652959"/>
    <w:rsid w:val="006534C3"/>
    <w:rsid w:val="00653B9C"/>
    <w:rsid w:val="006608DA"/>
    <w:rsid w:val="00666328"/>
    <w:rsid w:val="0066719E"/>
    <w:rsid w:val="00667641"/>
    <w:rsid w:val="00671124"/>
    <w:rsid w:val="006720C0"/>
    <w:rsid w:val="00674D06"/>
    <w:rsid w:val="00675EF1"/>
    <w:rsid w:val="006806E3"/>
    <w:rsid w:val="00692FF5"/>
    <w:rsid w:val="00693291"/>
    <w:rsid w:val="006939EF"/>
    <w:rsid w:val="00697E23"/>
    <w:rsid w:val="006A0765"/>
    <w:rsid w:val="006B48AE"/>
    <w:rsid w:val="006B5493"/>
    <w:rsid w:val="006B668C"/>
    <w:rsid w:val="006C0FF1"/>
    <w:rsid w:val="006C1FA8"/>
    <w:rsid w:val="006C482C"/>
    <w:rsid w:val="006D4D0A"/>
    <w:rsid w:val="006D6333"/>
    <w:rsid w:val="006E494E"/>
    <w:rsid w:val="006F25C7"/>
    <w:rsid w:val="006F50DF"/>
    <w:rsid w:val="006F681E"/>
    <w:rsid w:val="007018D1"/>
    <w:rsid w:val="0070402F"/>
    <w:rsid w:val="007061D5"/>
    <w:rsid w:val="0071071F"/>
    <w:rsid w:val="00710ADD"/>
    <w:rsid w:val="00714C31"/>
    <w:rsid w:val="0072470A"/>
    <w:rsid w:val="00726E40"/>
    <w:rsid w:val="00727A3F"/>
    <w:rsid w:val="00756244"/>
    <w:rsid w:val="00756684"/>
    <w:rsid w:val="0077486F"/>
    <w:rsid w:val="007812B9"/>
    <w:rsid w:val="00782F61"/>
    <w:rsid w:val="0078377A"/>
    <w:rsid w:val="00786ADD"/>
    <w:rsid w:val="00797ACC"/>
    <w:rsid w:val="007B7E33"/>
    <w:rsid w:val="007C0C96"/>
    <w:rsid w:val="007C383E"/>
    <w:rsid w:val="007D0E9E"/>
    <w:rsid w:val="007D1433"/>
    <w:rsid w:val="007D2DD5"/>
    <w:rsid w:val="007D376A"/>
    <w:rsid w:val="007D4A19"/>
    <w:rsid w:val="007E170A"/>
    <w:rsid w:val="007E7F02"/>
    <w:rsid w:val="007F2329"/>
    <w:rsid w:val="007F568E"/>
    <w:rsid w:val="008022EC"/>
    <w:rsid w:val="00803084"/>
    <w:rsid w:val="00805985"/>
    <w:rsid w:val="00805DAE"/>
    <w:rsid w:val="00806C66"/>
    <w:rsid w:val="008073AD"/>
    <w:rsid w:val="00807F4E"/>
    <w:rsid w:val="008118A1"/>
    <w:rsid w:val="00814A6B"/>
    <w:rsid w:val="00816B42"/>
    <w:rsid w:val="00821F8A"/>
    <w:rsid w:val="00823C1B"/>
    <w:rsid w:val="008320D3"/>
    <w:rsid w:val="00832272"/>
    <w:rsid w:val="00832899"/>
    <w:rsid w:val="00834430"/>
    <w:rsid w:val="00836A4F"/>
    <w:rsid w:val="00844F09"/>
    <w:rsid w:val="008549B1"/>
    <w:rsid w:val="008701DD"/>
    <w:rsid w:val="00887C30"/>
    <w:rsid w:val="008950A8"/>
    <w:rsid w:val="0089715E"/>
    <w:rsid w:val="008B1A4C"/>
    <w:rsid w:val="008B281A"/>
    <w:rsid w:val="008B4C3E"/>
    <w:rsid w:val="008B7AC0"/>
    <w:rsid w:val="008C2F78"/>
    <w:rsid w:val="008C36CE"/>
    <w:rsid w:val="008C5F23"/>
    <w:rsid w:val="008E3E22"/>
    <w:rsid w:val="008E585A"/>
    <w:rsid w:val="008F108F"/>
    <w:rsid w:val="008F7F99"/>
    <w:rsid w:val="00903F69"/>
    <w:rsid w:val="00910B80"/>
    <w:rsid w:val="00913BAA"/>
    <w:rsid w:val="00922C4B"/>
    <w:rsid w:val="009239A9"/>
    <w:rsid w:val="00940941"/>
    <w:rsid w:val="0094097C"/>
    <w:rsid w:val="009418D2"/>
    <w:rsid w:val="0094304C"/>
    <w:rsid w:val="009443E3"/>
    <w:rsid w:val="009463C8"/>
    <w:rsid w:val="00951036"/>
    <w:rsid w:val="00952C93"/>
    <w:rsid w:val="0096028A"/>
    <w:rsid w:val="0096462E"/>
    <w:rsid w:val="009655CA"/>
    <w:rsid w:val="00975825"/>
    <w:rsid w:val="0097588A"/>
    <w:rsid w:val="00976D9A"/>
    <w:rsid w:val="0098149A"/>
    <w:rsid w:val="00986B44"/>
    <w:rsid w:val="009913ED"/>
    <w:rsid w:val="009A678E"/>
    <w:rsid w:val="009A6969"/>
    <w:rsid w:val="009B4DA1"/>
    <w:rsid w:val="009B5ADA"/>
    <w:rsid w:val="009B6502"/>
    <w:rsid w:val="009C425F"/>
    <w:rsid w:val="009C6834"/>
    <w:rsid w:val="009D49B1"/>
    <w:rsid w:val="009D60CC"/>
    <w:rsid w:val="009D6D03"/>
    <w:rsid w:val="009D73CD"/>
    <w:rsid w:val="009E2A5C"/>
    <w:rsid w:val="009E3144"/>
    <w:rsid w:val="009E763B"/>
    <w:rsid w:val="00A07325"/>
    <w:rsid w:val="00A12BAF"/>
    <w:rsid w:val="00A205B5"/>
    <w:rsid w:val="00A226A3"/>
    <w:rsid w:val="00A24AC3"/>
    <w:rsid w:val="00A25F1D"/>
    <w:rsid w:val="00A25F79"/>
    <w:rsid w:val="00A271BC"/>
    <w:rsid w:val="00A278EC"/>
    <w:rsid w:val="00A35EC3"/>
    <w:rsid w:val="00A37BDE"/>
    <w:rsid w:val="00A57322"/>
    <w:rsid w:val="00A6151C"/>
    <w:rsid w:val="00A747D2"/>
    <w:rsid w:val="00A92CE6"/>
    <w:rsid w:val="00A972C7"/>
    <w:rsid w:val="00AA4705"/>
    <w:rsid w:val="00AA6942"/>
    <w:rsid w:val="00AA79E6"/>
    <w:rsid w:val="00AB60D0"/>
    <w:rsid w:val="00AC421F"/>
    <w:rsid w:val="00AE25D0"/>
    <w:rsid w:val="00AE4DA6"/>
    <w:rsid w:val="00AF1061"/>
    <w:rsid w:val="00AF490F"/>
    <w:rsid w:val="00AF6B0E"/>
    <w:rsid w:val="00AF6F88"/>
    <w:rsid w:val="00B03E0E"/>
    <w:rsid w:val="00B11828"/>
    <w:rsid w:val="00B11A27"/>
    <w:rsid w:val="00B219B1"/>
    <w:rsid w:val="00B2331F"/>
    <w:rsid w:val="00B25770"/>
    <w:rsid w:val="00B30FCC"/>
    <w:rsid w:val="00B31482"/>
    <w:rsid w:val="00B32E57"/>
    <w:rsid w:val="00B47C1D"/>
    <w:rsid w:val="00B47DC6"/>
    <w:rsid w:val="00B5134D"/>
    <w:rsid w:val="00B529A0"/>
    <w:rsid w:val="00B53E42"/>
    <w:rsid w:val="00B67AA7"/>
    <w:rsid w:val="00B7155B"/>
    <w:rsid w:val="00B73155"/>
    <w:rsid w:val="00B74353"/>
    <w:rsid w:val="00B8161D"/>
    <w:rsid w:val="00B83D81"/>
    <w:rsid w:val="00B90CD2"/>
    <w:rsid w:val="00B9743A"/>
    <w:rsid w:val="00BA0FB1"/>
    <w:rsid w:val="00BA3B37"/>
    <w:rsid w:val="00BA4515"/>
    <w:rsid w:val="00BA6A1E"/>
    <w:rsid w:val="00BA7CE4"/>
    <w:rsid w:val="00BB23DF"/>
    <w:rsid w:val="00BB6F73"/>
    <w:rsid w:val="00BC0555"/>
    <w:rsid w:val="00BC14B9"/>
    <w:rsid w:val="00BD1C38"/>
    <w:rsid w:val="00BD4173"/>
    <w:rsid w:val="00BD6F18"/>
    <w:rsid w:val="00BE4580"/>
    <w:rsid w:val="00BF2DCF"/>
    <w:rsid w:val="00BF6711"/>
    <w:rsid w:val="00C06006"/>
    <w:rsid w:val="00C1249B"/>
    <w:rsid w:val="00C128BE"/>
    <w:rsid w:val="00C2046F"/>
    <w:rsid w:val="00C20D7D"/>
    <w:rsid w:val="00C22D4A"/>
    <w:rsid w:val="00C24733"/>
    <w:rsid w:val="00C26F0E"/>
    <w:rsid w:val="00C27C28"/>
    <w:rsid w:val="00C3200C"/>
    <w:rsid w:val="00C35DFB"/>
    <w:rsid w:val="00C37F3B"/>
    <w:rsid w:val="00C416B5"/>
    <w:rsid w:val="00C53EC7"/>
    <w:rsid w:val="00C61AD1"/>
    <w:rsid w:val="00C62B0B"/>
    <w:rsid w:val="00C71864"/>
    <w:rsid w:val="00C726E6"/>
    <w:rsid w:val="00C7618C"/>
    <w:rsid w:val="00C80197"/>
    <w:rsid w:val="00C83E89"/>
    <w:rsid w:val="00C84213"/>
    <w:rsid w:val="00C85860"/>
    <w:rsid w:val="00C87D2A"/>
    <w:rsid w:val="00C92EC3"/>
    <w:rsid w:val="00C93457"/>
    <w:rsid w:val="00C936C2"/>
    <w:rsid w:val="00CA55CC"/>
    <w:rsid w:val="00CA6057"/>
    <w:rsid w:val="00CB1D78"/>
    <w:rsid w:val="00CB4AF5"/>
    <w:rsid w:val="00CB54E1"/>
    <w:rsid w:val="00CC0D99"/>
    <w:rsid w:val="00CC1C63"/>
    <w:rsid w:val="00CC2F45"/>
    <w:rsid w:val="00CD1159"/>
    <w:rsid w:val="00CE2B86"/>
    <w:rsid w:val="00CE63A0"/>
    <w:rsid w:val="00CE79C0"/>
    <w:rsid w:val="00CF2894"/>
    <w:rsid w:val="00D03F11"/>
    <w:rsid w:val="00D13788"/>
    <w:rsid w:val="00D2194C"/>
    <w:rsid w:val="00D2237C"/>
    <w:rsid w:val="00D23ED9"/>
    <w:rsid w:val="00D2670F"/>
    <w:rsid w:val="00D304D3"/>
    <w:rsid w:val="00D41557"/>
    <w:rsid w:val="00D42412"/>
    <w:rsid w:val="00D51030"/>
    <w:rsid w:val="00D6205D"/>
    <w:rsid w:val="00D64519"/>
    <w:rsid w:val="00D66BC6"/>
    <w:rsid w:val="00D70D86"/>
    <w:rsid w:val="00D719BA"/>
    <w:rsid w:val="00D71B0E"/>
    <w:rsid w:val="00D847F2"/>
    <w:rsid w:val="00D8596D"/>
    <w:rsid w:val="00D968C2"/>
    <w:rsid w:val="00DA1909"/>
    <w:rsid w:val="00DA1E20"/>
    <w:rsid w:val="00DB1F00"/>
    <w:rsid w:val="00DB36A1"/>
    <w:rsid w:val="00DB4EF5"/>
    <w:rsid w:val="00DC2FEC"/>
    <w:rsid w:val="00DD7DA7"/>
    <w:rsid w:val="00DE397C"/>
    <w:rsid w:val="00DE4639"/>
    <w:rsid w:val="00DF3EB5"/>
    <w:rsid w:val="00DF7C5E"/>
    <w:rsid w:val="00E025A1"/>
    <w:rsid w:val="00E04921"/>
    <w:rsid w:val="00E06075"/>
    <w:rsid w:val="00E1496A"/>
    <w:rsid w:val="00E16A5D"/>
    <w:rsid w:val="00E22C9D"/>
    <w:rsid w:val="00E25CAD"/>
    <w:rsid w:val="00E314D1"/>
    <w:rsid w:val="00E449E7"/>
    <w:rsid w:val="00E50082"/>
    <w:rsid w:val="00E5182E"/>
    <w:rsid w:val="00E559CD"/>
    <w:rsid w:val="00E56B27"/>
    <w:rsid w:val="00E623E5"/>
    <w:rsid w:val="00E64497"/>
    <w:rsid w:val="00E66BFF"/>
    <w:rsid w:val="00E709D2"/>
    <w:rsid w:val="00E70AA1"/>
    <w:rsid w:val="00E73331"/>
    <w:rsid w:val="00E73612"/>
    <w:rsid w:val="00E73657"/>
    <w:rsid w:val="00E831AE"/>
    <w:rsid w:val="00E84592"/>
    <w:rsid w:val="00E84BAE"/>
    <w:rsid w:val="00E86BCF"/>
    <w:rsid w:val="00E93444"/>
    <w:rsid w:val="00E95E56"/>
    <w:rsid w:val="00E95EA8"/>
    <w:rsid w:val="00E96041"/>
    <w:rsid w:val="00E97067"/>
    <w:rsid w:val="00EA320A"/>
    <w:rsid w:val="00EA589A"/>
    <w:rsid w:val="00EA5987"/>
    <w:rsid w:val="00EB3675"/>
    <w:rsid w:val="00EB5553"/>
    <w:rsid w:val="00EC12CC"/>
    <w:rsid w:val="00ED36FC"/>
    <w:rsid w:val="00ED5618"/>
    <w:rsid w:val="00ED5F9F"/>
    <w:rsid w:val="00EF572A"/>
    <w:rsid w:val="00EF5993"/>
    <w:rsid w:val="00EF7EAC"/>
    <w:rsid w:val="00F054D3"/>
    <w:rsid w:val="00F144DE"/>
    <w:rsid w:val="00F276E5"/>
    <w:rsid w:val="00F32991"/>
    <w:rsid w:val="00F34C74"/>
    <w:rsid w:val="00F3637A"/>
    <w:rsid w:val="00F41723"/>
    <w:rsid w:val="00F4222F"/>
    <w:rsid w:val="00F5598B"/>
    <w:rsid w:val="00F65CC0"/>
    <w:rsid w:val="00F67A67"/>
    <w:rsid w:val="00F67C1B"/>
    <w:rsid w:val="00F76256"/>
    <w:rsid w:val="00F850D7"/>
    <w:rsid w:val="00F94BF6"/>
    <w:rsid w:val="00FA0291"/>
    <w:rsid w:val="00FA09F5"/>
    <w:rsid w:val="00FA19BA"/>
    <w:rsid w:val="00FA46D8"/>
    <w:rsid w:val="00FA4904"/>
    <w:rsid w:val="00FA5A57"/>
    <w:rsid w:val="00FB0CC9"/>
    <w:rsid w:val="00FB12F6"/>
    <w:rsid w:val="00FB21FA"/>
    <w:rsid w:val="00FB3A4E"/>
    <w:rsid w:val="00FB5A41"/>
    <w:rsid w:val="00FB79D8"/>
    <w:rsid w:val="00FB7A88"/>
    <w:rsid w:val="00FD29CB"/>
    <w:rsid w:val="00FD2B97"/>
    <w:rsid w:val="00FD5778"/>
    <w:rsid w:val="00FE05BD"/>
    <w:rsid w:val="00FE0E73"/>
    <w:rsid w:val="00FE53D7"/>
    <w:rsid w:val="00FE7734"/>
    <w:rsid w:val="00FF0B07"/>
    <w:rsid w:val="00FF55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C858F62"/>
  <w15:docId w15:val="{0F4EB7E2-E68F-4607-883F-BD83836AB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082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FA19BA"/>
    <w:rPr>
      <w:rFonts w:ascii="Arial" w:hAnsi="Arial" w:cs="Arial" w:hint="default"/>
      <w:strike w:val="0"/>
      <w:dstrike w:val="0"/>
      <w:color w:val="762123"/>
      <w:sz w:val="27"/>
      <w:szCs w:val="27"/>
      <w:u w:val="none"/>
      <w:effect w:val="none"/>
    </w:rPr>
  </w:style>
  <w:style w:type="paragraph" w:styleId="NormalWeb">
    <w:name w:val="Normal (Web)"/>
    <w:aliases w:val="Normal (Web) Car1 Car,Normal (Web) Car Car Car,Normal (Web) Car1 Car Car Car,Normal (Web) Car Car Car Car Car,Car Car Car Car Car,Car Car Car Car1,Car Car Car1,Normal (Web) Car Car Car Car Car Car Car,Car Car,Car Car Car C Car Car,Car,Ca,C"/>
    <w:basedOn w:val="Normal"/>
    <w:uiPriority w:val="99"/>
    <w:unhideWhenUsed/>
    <w:qFormat/>
    <w:rsid w:val="00FA19BA"/>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66719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719E"/>
  </w:style>
  <w:style w:type="paragraph" w:styleId="Piedepgina">
    <w:name w:val="footer"/>
    <w:basedOn w:val="Normal"/>
    <w:link w:val="PiedepginaCar"/>
    <w:uiPriority w:val="99"/>
    <w:unhideWhenUsed/>
    <w:rsid w:val="0066719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719E"/>
  </w:style>
  <w:style w:type="paragraph" w:styleId="Textodeglobo">
    <w:name w:val="Balloon Text"/>
    <w:basedOn w:val="Normal"/>
    <w:link w:val="TextodegloboCar"/>
    <w:uiPriority w:val="99"/>
    <w:semiHidden/>
    <w:unhideWhenUsed/>
    <w:rsid w:val="0066719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6719E"/>
    <w:rPr>
      <w:rFonts w:ascii="Tahoma" w:hAnsi="Tahoma" w:cs="Tahoma"/>
      <w:sz w:val="16"/>
      <w:szCs w:val="16"/>
    </w:rPr>
  </w:style>
  <w:style w:type="table" w:styleId="Tablaconcuadrcula">
    <w:name w:val="Table Grid"/>
    <w:basedOn w:val="Tablanormal"/>
    <w:uiPriority w:val="59"/>
    <w:rsid w:val="006671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6239F1"/>
    <w:rPr>
      <w:color w:val="800080" w:themeColor="followedHyperlink"/>
      <w:u w:val="single"/>
    </w:rPr>
  </w:style>
  <w:style w:type="character" w:styleId="Textoennegrita">
    <w:name w:val="Strong"/>
    <w:basedOn w:val="Fuentedeprrafopredeter"/>
    <w:uiPriority w:val="22"/>
    <w:qFormat/>
    <w:rsid w:val="003553BB"/>
    <w:rPr>
      <w:b/>
      <w:bCs/>
    </w:rPr>
  </w:style>
  <w:style w:type="paragraph" w:styleId="Prrafodelista">
    <w:name w:val="List Paragraph"/>
    <w:basedOn w:val="Normal"/>
    <w:uiPriority w:val="34"/>
    <w:qFormat/>
    <w:rsid w:val="00381411"/>
    <w:pPr>
      <w:ind w:left="720"/>
      <w:contextualSpacing/>
    </w:pPr>
  </w:style>
  <w:style w:type="paragraph" w:styleId="Textonotapie">
    <w:name w:val="footnote text"/>
    <w:basedOn w:val="Normal"/>
    <w:link w:val="TextonotapieCar"/>
    <w:uiPriority w:val="99"/>
    <w:semiHidden/>
    <w:unhideWhenUsed/>
    <w:rsid w:val="00C53EC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53EC7"/>
    <w:rPr>
      <w:sz w:val="20"/>
      <w:szCs w:val="20"/>
    </w:rPr>
  </w:style>
  <w:style w:type="character" w:styleId="Refdenotaalpie">
    <w:name w:val="footnote reference"/>
    <w:basedOn w:val="Fuentedeprrafopredeter"/>
    <w:uiPriority w:val="99"/>
    <w:semiHidden/>
    <w:unhideWhenUsed/>
    <w:rsid w:val="00C53EC7"/>
    <w:rPr>
      <w:vertAlign w:val="superscript"/>
    </w:rPr>
  </w:style>
  <w:style w:type="character" w:styleId="Refdecomentario">
    <w:name w:val="annotation reference"/>
    <w:basedOn w:val="Fuentedeprrafopredeter"/>
    <w:uiPriority w:val="99"/>
    <w:semiHidden/>
    <w:unhideWhenUsed/>
    <w:rsid w:val="006B5493"/>
    <w:rPr>
      <w:sz w:val="16"/>
      <w:szCs w:val="16"/>
    </w:rPr>
  </w:style>
  <w:style w:type="paragraph" w:styleId="Textocomentario">
    <w:name w:val="annotation text"/>
    <w:basedOn w:val="Normal"/>
    <w:link w:val="TextocomentarioCar"/>
    <w:uiPriority w:val="99"/>
    <w:semiHidden/>
    <w:unhideWhenUsed/>
    <w:rsid w:val="006B549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6B5493"/>
    <w:rPr>
      <w:sz w:val="20"/>
      <w:szCs w:val="20"/>
    </w:rPr>
  </w:style>
  <w:style w:type="paragraph" w:styleId="Asuntodelcomentario">
    <w:name w:val="annotation subject"/>
    <w:basedOn w:val="Textocomentario"/>
    <w:next w:val="Textocomentario"/>
    <w:link w:val="AsuntodelcomentarioCar"/>
    <w:uiPriority w:val="99"/>
    <w:semiHidden/>
    <w:unhideWhenUsed/>
    <w:rsid w:val="006B5493"/>
    <w:rPr>
      <w:b/>
      <w:bCs/>
    </w:rPr>
  </w:style>
  <w:style w:type="character" w:customStyle="1" w:styleId="AsuntodelcomentarioCar">
    <w:name w:val="Asunto del comentario Car"/>
    <w:basedOn w:val="TextocomentarioCar"/>
    <w:link w:val="Asuntodelcomentario"/>
    <w:uiPriority w:val="99"/>
    <w:semiHidden/>
    <w:rsid w:val="006B5493"/>
    <w:rPr>
      <w:b/>
      <w:bCs/>
      <w:sz w:val="20"/>
      <w:szCs w:val="20"/>
    </w:rPr>
  </w:style>
  <w:style w:type="table" w:styleId="Tablanormal1">
    <w:name w:val="Plain Table 1"/>
    <w:basedOn w:val="Tablanormal"/>
    <w:uiPriority w:val="41"/>
    <w:rsid w:val="008320D3"/>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Mencinsinresolver">
    <w:name w:val="Unresolved Mention"/>
    <w:basedOn w:val="Fuentedeprrafopredeter"/>
    <w:uiPriority w:val="99"/>
    <w:semiHidden/>
    <w:unhideWhenUsed/>
    <w:rsid w:val="005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090408">
      <w:bodyDiv w:val="1"/>
      <w:marLeft w:val="0"/>
      <w:marRight w:val="0"/>
      <w:marTop w:val="0"/>
      <w:marBottom w:val="0"/>
      <w:divBdr>
        <w:top w:val="none" w:sz="0" w:space="0" w:color="auto"/>
        <w:left w:val="none" w:sz="0" w:space="0" w:color="auto"/>
        <w:bottom w:val="none" w:sz="0" w:space="0" w:color="auto"/>
        <w:right w:val="none" w:sz="0" w:space="0" w:color="auto"/>
      </w:divBdr>
    </w:div>
    <w:div w:id="38016992">
      <w:bodyDiv w:val="1"/>
      <w:marLeft w:val="0"/>
      <w:marRight w:val="0"/>
      <w:marTop w:val="0"/>
      <w:marBottom w:val="0"/>
      <w:divBdr>
        <w:top w:val="none" w:sz="0" w:space="0" w:color="auto"/>
        <w:left w:val="none" w:sz="0" w:space="0" w:color="auto"/>
        <w:bottom w:val="none" w:sz="0" w:space="0" w:color="auto"/>
        <w:right w:val="none" w:sz="0" w:space="0" w:color="auto"/>
      </w:divBdr>
      <w:divsChild>
        <w:div w:id="272133681">
          <w:marLeft w:val="0"/>
          <w:marRight w:val="0"/>
          <w:marTop w:val="0"/>
          <w:marBottom w:val="0"/>
          <w:divBdr>
            <w:top w:val="none" w:sz="0" w:space="0" w:color="auto"/>
            <w:left w:val="none" w:sz="0" w:space="0" w:color="auto"/>
            <w:bottom w:val="none" w:sz="0" w:space="0" w:color="auto"/>
            <w:right w:val="none" w:sz="0" w:space="0" w:color="auto"/>
          </w:divBdr>
          <w:divsChild>
            <w:div w:id="1387756143">
              <w:marLeft w:val="0"/>
              <w:marRight w:val="0"/>
              <w:marTop w:val="150"/>
              <w:marBottom w:val="150"/>
              <w:divBdr>
                <w:top w:val="none" w:sz="0" w:space="0" w:color="auto"/>
                <w:left w:val="none" w:sz="0" w:space="0" w:color="auto"/>
                <w:bottom w:val="none" w:sz="0" w:space="0" w:color="auto"/>
                <w:right w:val="none" w:sz="0" w:space="0" w:color="auto"/>
              </w:divBdr>
              <w:divsChild>
                <w:div w:id="1433472840">
                  <w:marLeft w:val="0"/>
                  <w:marRight w:val="0"/>
                  <w:marTop w:val="0"/>
                  <w:marBottom w:val="0"/>
                  <w:divBdr>
                    <w:top w:val="none" w:sz="0" w:space="0" w:color="auto"/>
                    <w:left w:val="none" w:sz="0" w:space="0" w:color="auto"/>
                    <w:bottom w:val="none" w:sz="0" w:space="0" w:color="auto"/>
                    <w:right w:val="none" w:sz="0" w:space="0" w:color="auto"/>
                  </w:divBdr>
                  <w:divsChild>
                    <w:div w:id="300698649">
                      <w:marLeft w:val="0"/>
                      <w:marRight w:val="0"/>
                      <w:marTop w:val="0"/>
                      <w:marBottom w:val="0"/>
                      <w:divBdr>
                        <w:top w:val="none" w:sz="0" w:space="0" w:color="auto"/>
                        <w:left w:val="none" w:sz="0" w:space="0" w:color="auto"/>
                        <w:bottom w:val="none" w:sz="0" w:space="0" w:color="auto"/>
                        <w:right w:val="none" w:sz="0" w:space="0" w:color="auto"/>
                      </w:divBdr>
                    </w:div>
                    <w:div w:id="2146582450">
                      <w:marLeft w:val="0"/>
                      <w:marRight w:val="0"/>
                      <w:marTop w:val="0"/>
                      <w:marBottom w:val="0"/>
                      <w:divBdr>
                        <w:top w:val="none" w:sz="0" w:space="0" w:color="auto"/>
                        <w:left w:val="none" w:sz="0" w:space="0" w:color="auto"/>
                        <w:bottom w:val="none" w:sz="0" w:space="0" w:color="auto"/>
                        <w:right w:val="none" w:sz="0" w:space="0" w:color="auto"/>
                      </w:divBdr>
                    </w:div>
                    <w:div w:id="562374618">
                      <w:marLeft w:val="0"/>
                      <w:marRight w:val="0"/>
                      <w:marTop w:val="0"/>
                      <w:marBottom w:val="0"/>
                      <w:divBdr>
                        <w:top w:val="none" w:sz="0" w:space="0" w:color="auto"/>
                        <w:left w:val="none" w:sz="0" w:space="0" w:color="auto"/>
                        <w:bottom w:val="none" w:sz="0" w:space="0" w:color="auto"/>
                        <w:right w:val="none" w:sz="0" w:space="0" w:color="auto"/>
                      </w:divBdr>
                    </w:div>
                    <w:div w:id="148119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793081">
      <w:bodyDiv w:val="1"/>
      <w:marLeft w:val="0"/>
      <w:marRight w:val="0"/>
      <w:marTop w:val="0"/>
      <w:marBottom w:val="0"/>
      <w:divBdr>
        <w:top w:val="none" w:sz="0" w:space="0" w:color="auto"/>
        <w:left w:val="none" w:sz="0" w:space="0" w:color="auto"/>
        <w:bottom w:val="none" w:sz="0" w:space="0" w:color="auto"/>
        <w:right w:val="none" w:sz="0" w:space="0" w:color="auto"/>
      </w:divBdr>
    </w:div>
    <w:div w:id="313728686">
      <w:bodyDiv w:val="1"/>
      <w:marLeft w:val="0"/>
      <w:marRight w:val="0"/>
      <w:marTop w:val="0"/>
      <w:marBottom w:val="0"/>
      <w:divBdr>
        <w:top w:val="none" w:sz="0" w:space="0" w:color="auto"/>
        <w:left w:val="none" w:sz="0" w:space="0" w:color="auto"/>
        <w:bottom w:val="none" w:sz="0" w:space="0" w:color="auto"/>
        <w:right w:val="none" w:sz="0" w:space="0" w:color="auto"/>
      </w:divBdr>
    </w:div>
    <w:div w:id="319386950">
      <w:bodyDiv w:val="1"/>
      <w:marLeft w:val="0"/>
      <w:marRight w:val="0"/>
      <w:marTop w:val="0"/>
      <w:marBottom w:val="0"/>
      <w:divBdr>
        <w:top w:val="none" w:sz="0" w:space="0" w:color="auto"/>
        <w:left w:val="none" w:sz="0" w:space="0" w:color="auto"/>
        <w:bottom w:val="none" w:sz="0" w:space="0" w:color="auto"/>
        <w:right w:val="none" w:sz="0" w:space="0" w:color="auto"/>
      </w:divBdr>
      <w:divsChild>
        <w:div w:id="1434591698">
          <w:marLeft w:val="0"/>
          <w:marRight w:val="0"/>
          <w:marTop w:val="0"/>
          <w:marBottom w:val="0"/>
          <w:divBdr>
            <w:top w:val="none" w:sz="0" w:space="0" w:color="auto"/>
            <w:left w:val="none" w:sz="0" w:space="0" w:color="auto"/>
            <w:bottom w:val="none" w:sz="0" w:space="0" w:color="auto"/>
            <w:right w:val="none" w:sz="0" w:space="0" w:color="auto"/>
          </w:divBdr>
          <w:divsChild>
            <w:div w:id="1462725792">
              <w:marLeft w:val="0"/>
              <w:marRight w:val="0"/>
              <w:marTop w:val="150"/>
              <w:marBottom w:val="150"/>
              <w:divBdr>
                <w:top w:val="none" w:sz="0" w:space="0" w:color="auto"/>
                <w:left w:val="none" w:sz="0" w:space="0" w:color="auto"/>
                <w:bottom w:val="none" w:sz="0" w:space="0" w:color="auto"/>
                <w:right w:val="none" w:sz="0" w:space="0" w:color="auto"/>
              </w:divBdr>
              <w:divsChild>
                <w:div w:id="863372581">
                  <w:marLeft w:val="0"/>
                  <w:marRight w:val="0"/>
                  <w:marTop w:val="0"/>
                  <w:marBottom w:val="0"/>
                  <w:divBdr>
                    <w:top w:val="none" w:sz="0" w:space="0" w:color="auto"/>
                    <w:left w:val="none" w:sz="0" w:space="0" w:color="auto"/>
                    <w:bottom w:val="none" w:sz="0" w:space="0" w:color="auto"/>
                    <w:right w:val="none" w:sz="0" w:space="0" w:color="auto"/>
                  </w:divBdr>
                  <w:divsChild>
                    <w:div w:id="937325064">
                      <w:marLeft w:val="0"/>
                      <w:marRight w:val="0"/>
                      <w:marTop w:val="0"/>
                      <w:marBottom w:val="0"/>
                      <w:divBdr>
                        <w:top w:val="none" w:sz="0" w:space="0" w:color="auto"/>
                        <w:left w:val="none" w:sz="0" w:space="0" w:color="auto"/>
                        <w:bottom w:val="none" w:sz="0" w:space="0" w:color="auto"/>
                        <w:right w:val="none" w:sz="0" w:space="0" w:color="auto"/>
                      </w:divBdr>
                    </w:div>
                    <w:div w:id="1072659039">
                      <w:marLeft w:val="0"/>
                      <w:marRight w:val="0"/>
                      <w:marTop w:val="0"/>
                      <w:marBottom w:val="0"/>
                      <w:divBdr>
                        <w:top w:val="none" w:sz="0" w:space="0" w:color="auto"/>
                        <w:left w:val="none" w:sz="0" w:space="0" w:color="auto"/>
                        <w:bottom w:val="none" w:sz="0" w:space="0" w:color="auto"/>
                        <w:right w:val="none" w:sz="0" w:space="0" w:color="auto"/>
                      </w:divBdr>
                    </w:div>
                    <w:div w:id="728530739">
                      <w:marLeft w:val="0"/>
                      <w:marRight w:val="0"/>
                      <w:marTop w:val="0"/>
                      <w:marBottom w:val="0"/>
                      <w:divBdr>
                        <w:top w:val="none" w:sz="0" w:space="0" w:color="auto"/>
                        <w:left w:val="none" w:sz="0" w:space="0" w:color="auto"/>
                        <w:bottom w:val="none" w:sz="0" w:space="0" w:color="auto"/>
                        <w:right w:val="none" w:sz="0" w:space="0" w:color="auto"/>
                      </w:divBdr>
                    </w:div>
                    <w:div w:id="2090611257">
                      <w:marLeft w:val="0"/>
                      <w:marRight w:val="0"/>
                      <w:marTop w:val="0"/>
                      <w:marBottom w:val="0"/>
                      <w:divBdr>
                        <w:top w:val="none" w:sz="0" w:space="0" w:color="auto"/>
                        <w:left w:val="none" w:sz="0" w:space="0" w:color="auto"/>
                        <w:bottom w:val="none" w:sz="0" w:space="0" w:color="auto"/>
                        <w:right w:val="none" w:sz="0" w:space="0" w:color="auto"/>
                      </w:divBdr>
                    </w:div>
                    <w:div w:id="1205216139">
                      <w:marLeft w:val="0"/>
                      <w:marRight w:val="0"/>
                      <w:marTop w:val="0"/>
                      <w:marBottom w:val="0"/>
                      <w:divBdr>
                        <w:top w:val="none" w:sz="0" w:space="0" w:color="auto"/>
                        <w:left w:val="none" w:sz="0" w:space="0" w:color="auto"/>
                        <w:bottom w:val="none" w:sz="0" w:space="0" w:color="auto"/>
                        <w:right w:val="none" w:sz="0" w:space="0" w:color="auto"/>
                      </w:divBdr>
                    </w:div>
                    <w:div w:id="30115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7029">
      <w:bodyDiv w:val="1"/>
      <w:marLeft w:val="0"/>
      <w:marRight w:val="0"/>
      <w:marTop w:val="0"/>
      <w:marBottom w:val="0"/>
      <w:divBdr>
        <w:top w:val="none" w:sz="0" w:space="0" w:color="auto"/>
        <w:left w:val="none" w:sz="0" w:space="0" w:color="auto"/>
        <w:bottom w:val="none" w:sz="0" w:space="0" w:color="auto"/>
        <w:right w:val="none" w:sz="0" w:space="0" w:color="auto"/>
      </w:divBdr>
    </w:div>
    <w:div w:id="404382230">
      <w:bodyDiv w:val="1"/>
      <w:marLeft w:val="0"/>
      <w:marRight w:val="0"/>
      <w:marTop w:val="0"/>
      <w:marBottom w:val="0"/>
      <w:divBdr>
        <w:top w:val="none" w:sz="0" w:space="0" w:color="auto"/>
        <w:left w:val="none" w:sz="0" w:space="0" w:color="auto"/>
        <w:bottom w:val="none" w:sz="0" w:space="0" w:color="auto"/>
        <w:right w:val="none" w:sz="0" w:space="0" w:color="auto"/>
      </w:divBdr>
    </w:div>
    <w:div w:id="434054122">
      <w:bodyDiv w:val="1"/>
      <w:marLeft w:val="0"/>
      <w:marRight w:val="0"/>
      <w:marTop w:val="0"/>
      <w:marBottom w:val="0"/>
      <w:divBdr>
        <w:top w:val="none" w:sz="0" w:space="0" w:color="auto"/>
        <w:left w:val="none" w:sz="0" w:space="0" w:color="auto"/>
        <w:bottom w:val="none" w:sz="0" w:space="0" w:color="auto"/>
        <w:right w:val="none" w:sz="0" w:space="0" w:color="auto"/>
      </w:divBdr>
    </w:div>
    <w:div w:id="441731737">
      <w:bodyDiv w:val="1"/>
      <w:marLeft w:val="0"/>
      <w:marRight w:val="0"/>
      <w:marTop w:val="0"/>
      <w:marBottom w:val="0"/>
      <w:divBdr>
        <w:top w:val="none" w:sz="0" w:space="0" w:color="auto"/>
        <w:left w:val="none" w:sz="0" w:space="0" w:color="auto"/>
        <w:bottom w:val="none" w:sz="0" w:space="0" w:color="auto"/>
        <w:right w:val="none" w:sz="0" w:space="0" w:color="auto"/>
      </w:divBdr>
    </w:div>
    <w:div w:id="474303604">
      <w:bodyDiv w:val="1"/>
      <w:marLeft w:val="0"/>
      <w:marRight w:val="0"/>
      <w:marTop w:val="0"/>
      <w:marBottom w:val="0"/>
      <w:divBdr>
        <w:top w:val="none" w:sz="0" w:space="0" w:color="auto"/>
        <w:left w:val="none" w:sz="0" w:space="0" w:color="auto"/>
        <w:bottom w:val="none" w:sz="0" w:space="0" w:color="auto"/>
        <w:right w:val="none" w:sz="0" w:space="0" w:color="auto"/>
      </w:divBdr>
    </w:div>
    <w:div w:id="498692594">
      <w:bodyDiv w:val="1"/>
      <w:marLeft w:val="0"/>
      <w:marRight w:val="0"/>
      <w:marTop w:val="0"/>
      <w:marBottom w:val="0"/>
      <w:divBdr>
        <w:top w:val="none" w:sz="0" w:space="0" w:color="auto"/>
        <w:left w:val="none" w:sz="0" w:space="0" w:color="auto"/>
        <w:bottom w:val="none" w:sz="0" w:space="0" w:color="auto"/>
        <w:right w:val="none" w:sz="0" w:space="0" w:color="auto"/>
      </w:divBdr>
    </w:div>
    <w:div w:id="506943712">
      <w:bodyDiv w:val="1"/>
      <w:marLeft w:val="0"/>
      <w:marRight w:val="0"/>
      <w:marTop w:val="0"/>
      <w:marBottom w:val="0"/>
      <w:divBdr>
        <w:top w:val="none" w:sz="0" w:space="0" w:color="auto"/>
        <w:left w:val="none" w:sz="0" w:space="0" w:color="auto"/>
        <w:bottom w:val="none" w:sz="0" w:space="0" w:color="auto"/>
        <w:right w:val="none" w:sz="0" w:space="0" w:color="auto"/>
      </w:divBdr>
    </w:div>
    <w:div w:id="525291752">
      <w:bodyDiv w:val="1"/>
      <w:marLeft w:val="0"/>
      <w:marRight w:val="0"/>
      <w:marTop w:val="0"/>
      <w:marBottom w:val="0"/>
      <w:divBdr>
        <w:top w:val="none" w:sz="0" w:space="0" w:color="auto"/>
        <w:left w:val="none" w:sz="0" w:space="0" w:color="auto"/>
        <w:bottom w:val="none" w:sz="0" w:space="0" w:color="auto"/>
        <w:right w:val="none" w:sz="0" w:space="0" w:color="auto"/>
      </w:divBdr>
      <w:divsChild>
        <w:div w:id="1014114051">
          <w:marLeft w:val="0"/>
          <w:marRight w:val="0"/>
          <w:marTop w:val="0"/>
          <w:marBottom w:val="0"/>
          <w:divBdr>
            <w:top w:val="none" w:sz="0" w:space="0" w:color="auto"/>
            <w:left w:val="none" w:sz="0" w:space="0" w:color="auto"/>
            <w:bottom w:val="none" w:sz="0" w:space="0" w:color="auto"/>
            <w:right w:val="none" w:sz="0" w:space="0" w:color="auto"/>
          </w:divBdr>
          <w:divsChild>
            <w:div w:id="1269503743">
              <w:marLeft w:val="0"/>
              <w:marRight w:val="0"/>
              <w:marTop w:val="150"/>
              <w:marBottom w:val="150"/>
              <w:divBdr>
                <w:top w:val="none" w:sz="0" w:space="0" w:color="auto"/>
                <w:left w:val="none" w:sz="0" w:space="0" w:color="auto"/>
                <w:bottom w:val="none" w:sz="0" w:space="0" w:color="auto"/>
                <w:right w:val="none" w:sz="0" w:space="0" w:color="auto"/>
              </w:divBdr>
              <w:divsChild>
                <w:div w:id="195238939">
                  <w:marLeft w:val="0"/>
                  <w:marRight w:val="0"/>
                  <w:marTop w:val="0"/>
                  <w:marBottom w:val="0"/>
                  <w:divBdr>
                    <w:top w:val="none" w:sz="0" w:space="0" w:color="auto"/>
                    <w:left w:val="none" w:sz="0" w:space="0" w:color="auto"/>
                    <w:bottom w:val="none" w:sz="0" w:space="0" w:color="auto"/>
                    <w:right w:val="none" w:sz="0" w:space="0" w:color="auto"/>
                  </w:divBdr>
                  <w:divsChild>
                    <w:div w:id="386614468">
                      <w:marLeft w:val="0"/>
                      <w:marRight w:val="0"/>
                      <w:marTop w:val="0"/>
                      <w:marBottom w:val="0"/>
                      <w:divBdr>
                        <w:top w:val="none" w:sz="0" w:space="0" w:color="auto"/>
                        <w:left w:val="none" w:sz="0" w:space="0" w:color="auto"/>
                        <w:bottom w:val="none" w:sz="0" w:space="0" w:color="auto"/>
                        <w:right w:val="none" w:sz="0" w:space="0" w:color="auto"/>
                      </w:divBdr>
                    </w:div>
                    <w:div w:id="488059545">
                      <w:marLeft w:val="0"/>
                      <w:marRight w:val="0"/>
                      <w:marTop w:val="0"/>
                      <w:marBottom w:val="0"/>
                      <w:divBdr>
                        <w:top w:val="none" w:sz="0" w:space="0" w:color="auto"/>
                        <w:left w:val="none" w:sz="0" w:space="0" w:color="auto"/>
                        <w:bottom w:val="none" w:sz="0" w:space="0" w:color="auto"/>
                        <w:right w:val="none" w:sz="0" w:space="0" w:color="auto"/>
                      </w:divBdr>
                    </w:div>
                    <w:div w:id="603611490">
                      <w:marLeft w:val="0"/>
                      <w:marRight w:val="0"/>
                      <w:marTop w:val="0"/>
                      <w:marBottom w:val="0"/>
                      <w:divBdr>
                        <w:top w:val="none" w:sz="0" w:space="0" w:color="auto"/>
                        <w:left w:val="none" w:sz="0" w:space="0" w:color="auto"/>
                        <w:bottom w:val="none" w:sz="0" w:space="0" w:color="auto"/>
                        <w:right w:val="none" w:sz="0" w:space="0" w:color="auto"/>
                      </w:divBdr>
                    </w:div>
                    <w:div w:id="414402226">
                      <w:marLeft w:val="0"/>
                      <w:marRight w:val="0"/>
                      <w:marTop w:val="0"/>
                      <w:marBottom w:val="0"/>
                      <w:divBdr>
                        <w:top w:val="none" w:sz="0" w:space="0" w:color="auto"/>
                        <w:left w:val="none" w:sz="0" w:space="0" w:color="auto"/>
                        <w:bottom w:val="none" w:sz="0" w:space="0" w:color="auto"/>
                        <w:right w:val="none" w:sz="0" w:space="0" w:color="auto"/>
                      </w:divBdr>
                    </w:div>
                    <w:div w:id="677118137">
                      <w:marLeft w:val="0"/>
                      <w:marRight w:val="0"/>
                      <w:marTop w:val="0"/>
                      <w:marBottom w:val="0"/>
                      <w:divBdr>
                        <w:top w:val="none" w:sz="0" w:space="0" w:color="auto"/>
                        <w:left w:val="none" w:sz="0" w:space="0" w:color="auto"/>
                        <w:bottom w:val="none" w:sz="0" w:space="0" w:color="auto"/>
                        <w:right w:val="none" w:sz="0" w:space="0" w:color="auto"/>
                      </w:divBdr>
                    </w:div>
                    <w:div w:id="101445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27190">
      <w:bodyDiv w:val="1"/>
      <w:marLeft w:val="0"/>
      <w:marRight w:val="0"/>
      <w:marTop w:val="0"/>
      <w:marBottom w:val="0"/>
      <w:divBdr>
        <w:top w:val="none" w:sz="0" w:space="0" w:color="auto"/>
        <w:left w:val="none" w:sz="0" w:space="0" w:color="auto"/>
        <w:bottom w:val="none" w:sz="0" w:space="0" w:color="auto"/>
        <w:right w:val="none" w:sz="0" w:space="0" w:color="auto"/>
      </w:divBdr>
      <w:divsChild>
        <w:div w:id="1797597718">
          <w:marLeft w:val="0"/>
          <w:marRight w:val="0"/>
          <w:marTop w:val="0"/>
          <w:marBottom w:val="0"/>
          <w:divBdr>
            <w:top w:val="none" w:sz="0" w:space="0" w:color="auto"/>
            <w:left w:val="none" w:sz="0" w:space="0" w:color="auto"/>
            <w:bottom w:val="none" w:sz="0" w:space="0" w:color="auto"/>
            <w:right w:val="none" w:sz="0" w:space="0" w:color="auto"/>
          </w:divBdr>
          <w:divsChild>
            <w:div w:id="1821262849">
              <w:marLeft w:val="0"/>
              <w:marRight w:val="0"/>
              <w:marTop w:val="150"/>
              <w:marBottom w:val="150"/>
              <w:divBdr>
                <w:top w:val="none" w:sz="0" w:space="0" w:color="auto"/>
                <w:left w:val="none" w:sz="0" w:space="0" w:color="auto"/>
                <w:bottom w:val="none" w:sz="0" w:space="0" w:color="auto"/>
                <w:right w:val="none" w:sz="0" w:space="0" w:color="auto"/>
              </w:divBdr>
              <w:divsChild>
                <w:div w:id="1026323073">
                  <w:marLeft w:val="0"/>
                  <w:marRight w:val="0"/>
                  <w:marTop w:val="0"/>
                  <w:marBottom w:val="0"/>
                  <w:divBdr>
                    <w:top w:val="none" w:sz="0" w:space="0" w:color="auto"/>
                    <w:left w:val="none" w:sz="0" w:space="0" w:color="auto"/>
                    <w:bottom w:val="none" w:sz="0" w:space="0" w:color="auto"/>
                    <w:right w:val="none" w:sz="0" w:space="0" w:color="auto"/>
                  </w:divBdr>
                  <w:divsChild>
                    <w:div w:id="1541480290">
                      <w:marLeft w:val="0"/>
                      <w:marRight w:val="0"/>
                      <w:marTop w:val="0"/>
                      <w:marBottom w:val="0"/>
                      <w:divBdr>
                        <w:top w:val="none" w:sz="0" w:space="0" w:color="auto"/>
                        <w:left w:val="none" w:sz="0" w:space="0" w:color="auto"/>
                        <w:bottom w:val="none" w:sz="0" w:space="0" w:color="auto"/>
                        <w:right w:val="none" w:sz="0" w:space="0" w:color="auto"/>
                      </w:divBdr>
                    </w:div>
                    <w:div w:id="213276294">
                      <w:marLeft w:val="0"/>
                      <w:marRight w:val="0"/>
                      <w:marTop w:val="0"/>
                      <w:marBottom w:val="0"/>
                      <w:divBdr>
                        <w:top w:val="none" w:sz="0" w:space="0" w:color="auto"/>
                        <w:left w:val="none" w:sz="0" w:space="0" w:color="auto"/>
                        <w:bottom w:val="none" w:sz="0" w:space="0" w:color="auto"/>
                        <w:right w:val="none" w:sz="0" w:space="0" w:color="auto"/>
                      </w:divBdr>
                    </w:div>
                    <w:div w:id="55129119">
                      <w:marLeft w:val="0"/>
                      <w:marRight w:val="0"/>
                      <w:marTop w:val="0"/>
                      <w:marBottom w:val="0"/>
                      <w:divBdr>
                        <w:top w:val="none" w:sz="0" w:space="0" w:color="auto"/>
                        <w:left w:val="none" w:sz="0" w:space="0" w:color="auto"/>
                        <w:bottom w:val="none" w:sz="0" w:space="0" w:color="auto"/>
                        <w:right w:val="none" w:sz="0" w:space="0" w:color="auto"/>
                      </w:divBdr>
                    </w:div>
                    <w:div w:id="38791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0713">
      <w:bodyDiv w:val="1"/>
      <w:marLeft w:val="0"/>
      <w:marRight w:val="0"/>
      <w:marTop w:val="0"/>
      <w:marBottom w:val="0"/>
      <w:divBdr>
        <w:top w:val="none" w:sz="0" w:space="0" w:color="auto"/>
        <w:left w:val="none" w:sz="0" w:space="0" w:color="auto"/>
        <w:bottom w:val="none" w:sz="0" w:space="0" w:color="auto"/>
        <w:right w:val="none" w:sz="0" w:space="0" w:color="auto"/>
      </w:divBdr>
    </w:div>
    <w:div w:id="695155288">
      <w:bodyDiv w:val="1"/>
      <w:marLeft w:val="0"/>
      <w:marRight w:val="0"/>
      <w:marTop w:val="0"/>
      <w:marBottom w:val="0"/>
      <w:divBdr>
        <w:top w:val="none" w:sz="0" w:space="0" w:color="auto"/>
        <w:left w:val="none" w:sz="0" w:space="0" w:color="auto"/>
        <w:bottom w:val="none" w:sz="0" w:space="0" w:color="auto"/>
        <w:right w:val="none" w:sz="0" w:space="0" w:color="auto"/>
      </w:divBdr>
    </w:div>
    <w:div w:id="728580094">
      <w:bodyDiv w:val="1"/>
      <w:marLeft w:val="0"/>
      <w:marRight w:val="0"/>
      <w:marTop w:val="0"/>
      <w:marBottom w:val="0"/>
      <w:divBdr>
        <w:top w:val="none" w:sz="0" w:space="0" w:color="auto"/>
        <w:left w:val="none" w:sz="0" w:space="0" w:color="auto"/>
        <w:bottom w:val="none" w:sz="0" w:space="0" w:color="auto"/>
        <w:right w:val="none" w:sz="0" w:space="0" w:color="auto"/>
      </w:divBdr>
    </w:div>
    <w:div w:id="818763653">
      <w:bodyDiv w:val="1"/>
      <w:marLeft w:val="0"/>
      <w:marRight w:val="0"/>
      <w:marTop w:val="0"/>
      <w:marBottom w:val="0"/>
      <w:divBdr>
        <w:top w:val="none" w:sz="0" w:space="0" w:color="auto"/>
        <w:left w:val="none" w:sz="0" w:space="0" w:color="auto"/>
        <w:bottom w:val="none" w:sz="0" w:space="0" w:color="auto"/>
        <w:right w:val="none" w:sz="0" w:space="0" w:color="auto"/>
      </w:divBdr>
    </w:div>
    <w:div w:id="831684036">
      <w:bodyDiv w:val="1"/>
      <w:marLeft w:val="0"/>
      <w:marRight w:val="0"/>
      <w:marTop w:val="0"/>
      <w:marBottom w:val="0"/>
      <w:divBdr>
        <w:top w:val="none" w:sz="0" w:space="0" w:color="auto"/>
        <w:left w:val="none" w:sz="0" w:space="0" w:color="auto"/>
        <w:bottom w:val="none" w:sz="0" w:space="0" w:color="auto"/>
        <w:right w:val="none" w:sz="0" w:space="0" w:color="auto"/>
      </w:divBdr>
      <w:divsChild>
        <w:div w:id="1119449461">
          <w:marLeft w:val="0"/>
          <w:marRight w:val="0"/>
          <w:marTop w:val="0"/>
          <w:marBottom w:val="0"/>
          <w:divBdr>
            <w:top w:val="none" w:sz="0" w:space="0" w:color="auto"/>
            <w:left w:val="none" w:sz="0" w:space="0" w:color="auto"/>
            <w:bottom w:val="none" w:sz="0" w:space="0" w:color="auto"/>
            <w:right w:val="none" w:sz="0" w:space="0" w:color="auto"/>
          </w:divBdr>
          <w:divsChild>
            <w:div w:id="143282934">
              <w:marLeft w:val="0"/>
              <w:marRight w:val="0"/>
              <w:marTop w:val="150"/>
              <w:marBottom w:val="150"/>
              <w:divBdr>
                <w:top w:val="none" w:sz="0" w:space="0" w:color="auto"/>
                <w:left w:val="none" w:sz="0" w:space="0" w:color="auto"/>
                <w:bottom w:val="none" w:sz="0" w:space="0" w:color="auto"/>
                <w:right w:val="none" w:sz="0" w:space="0" w:color="auto"/>
              </w:divBdr>
              <w:divsChild>
                <w:div w:id="1384672527">
                  <w:marLeft w:val="0"/>
                  <w:marRight w:val="0"/>
                  <w:marTop w:val="0"/>
                  <w:marBottom w:val="0"/>
                  <w:divBdr>
                    <w:top w:val="none" w:sz="0" w:space="0" w:color="auto"/>
                    <w:left w:val="none" w:sz="0" w:space="0" w:color="auto"/>
                    <w:bottom w:val="none" w:sz="0" w:space="0" w:color="auto"/>
                    <w:right w:val="none" w:sz="0" w:space="0" w:color="auto"/>
                  </w:divBdr>
                  <w:divsChild>
                    <w:div w:id="138690565">
                      <w:marLeft w:val="0"/>
                      <w:marRight w:val="0"/>
                      <w:marTop w:val="0"/>
                      <w:marBottom w:val="0"/>
                      <w:divBdr>
                        <w:top w:val="none" w:sz="0" w:space="0" w:color="auto"/>
                        <w:left w:val="none" w:sz="0" w:space="0" w:color="auto"/>
                        <w:bottom w:val="none" w:sz="0" w:space="0" w:color="auto"/>
                        <w:right w:val="none" w:sz="0" w:space="0" w:color="auto"/>
                      </w:divBdr>
                    </w:div>
                    <w:div w:id="434059539">
                      <w:marLeft w:val="0"/>
                      <w:marRight w:val="0"/>
                      <w:marTop w:val="0"/>
                      <w:marBottom w:val="0"/>
                      <w:divBdr>
                        <w:top w:val="none" w:sz="0" w:space="0" w:color="auto"/>
                        <w:left w:val="none" w:sz="0" w:space="0" w:color="auto"/>
                        <w:bottom w:val="none" w:sz="0" w:space="0" w:color="auto"/>
                        <w:right w:val="none" w:sz="0" w:space="0" w:color="auto"/>
                      </w:divBdr>
                    </w:div>
                    <w:div w:id="536742130">
                      <w:marLeft w:val="0"/>
                      <w:marRight w:val="0"/>
                      <w:marTop w:val="0"/>
                      <w:marBottom w:val="0"/>
                      <w:divBdr>
                        <w:top w:val="none" w:sz="0" w:space="0" w:color="auto"/>
                        <w:left w:val="none" w:sz="0" w:space="0" w:color="auto"/>
                        <w:bottom w:val="none" w:sz="0" w:space="0" w:color="auto"/>
                        <w:right w:val="none" w:sz="0" w:space="0" w:color="auto"/>
                      </w:divBdr>
                    </w:div>
                    <w:div w:id="117345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0064048">
      <w:bodyDiv w:val="1"/>
      <w:marLeft w:val="0"/>
      <w:marRight w:val="0"/>
      <w:marTop w:val="0"/>
      <w:marBottom w:val="0"/>
      <w:divBdr>
        <w:top w:val="none" w:sz="0" w:space="0" w:color="auto"/>
        <w:left w:val="none" w:sz="0" w:space="0" w:color="auto"/>
        <w:bottom w:val="none" w:sz="0" w:space="0" w:color="auto"/>
        <w:right w:val="none" w:sz="0" w:space="0" w:color="auto"/>
      </w:divBdr>
    </w:div>
    <w:div w:id="971834862">
      <w:bodyDiv w:val="1"/>
      <w:marLeft w:val="0"/>
      <w:marRight w:val="0"/>
      <w:marTop w:val="0"/>
      <w:marBottom w:val="0"/>
      <w:divBdr>
        <w:top w:val="none" w:sz="0" w:space="0" w:color="auto"/>
        <w:left w:val="none" w:sz="0" w:space="0" w:color="auto"/>
        <w:bottom w:val="none" w:sz="0" w:space="0" w:color="auto"/>
        <w:right w:val="none" w:sz="0" w:space="0" w:color="auto"/>
      </w:divBdr>
    </w:div>
    <w:div w:id="977613931">
      <w:bodyDiv w:val="1"/>
      <w:marLeft w:val="0"/>
      <w:marRight w:val="0"/>
      <w:marTop w:val="0"/>
      <w:marBottom w:val="0"/>
      <w:divBdr>
        <w:top w:val="none" w:sz="0" w:space="0" w:color="auto"/>
        <w:left w:val="none" w:sz="0" w:space="0" w:color="auto"/>
        <w:bottom w:val="none" w:sz="0" w:space="0" w:color="auto"/>
        <w:right w:val="none" w:sz="0" w:space="0" w:color="auto"/>
      </w:divBdr>
      <w:divsChild>
        <w:div w:id="2100902113">
          <w:marLeft w:val="0"/>
          <w:marRight w:val="0"/>
          <w:marTop w:val="0"/>
          <w:marBottom w:val="0"/>
          <w:divBdr>
            <w:top w:val="none" w:sz="0" w:space="0" w:color="auto"/>
            <w:left w:val="none" w:sz="0" w:space="0" w:color="auto"/>
            <w:bottom w:val="none" w:sz="0" w:space="0" w:color="auto"/>
            <w:right w:val="none" w:sz="0" w:space="0" w:color="auto"/>
          </w:divBdr>
          <w:divsChild>
            <w:div w:id="1325471859">
              <w:marLeft w:val="0"/>
              <w:marRight w:val="0"/>
              <w:marTop w:val="150"/>
              <w:marBottom w:val="150"/>
              <w:divBdr>
                <w:top w:val="none" w:sz="0" w:space="0" w:color="auto"/>
                <w:left w:val="none" w:sz="0" w:space="0" w:color="auto"/>
                <w:bottom w:val="none" w:sz="0" w:space="0" w:color="auto"/>
                <w:right w:val="none" w:sz="0" w:space="0" w:color="auto"/>
              </w:divBdr>
              <w:divsChild>
                <w:div w:id="1781995717">
                  <w:marLeft w:val="0"/>
                  <w:marRight w:val="0"/>
                  <w:marTop w:val="0"/>
                  <w:marBottom w:val="0"/>
                  <w:divBdr>
                    <w:top w:val="none" w:sz="0" w:space="0" w:color="auto"/>
                    <w:left w:val="none" w:sz="0" w:space="0" w:color="auto"/>
                    <w:bottom w:val="none" w:sz="0" w:space="0" w:color="auto"/>
                    <w:right w:val="none" w:sz="0" w:space="0" w:color="auto"/>
                  </w:divBdr>
                  <w:divsChild>
                    <w:div w:id="1678533591">
                      <w:marLeft w:val="0"/>
                      <w:marRight w:val="0"/>
                      <w:marTop w:val="0"/>
                      <w:marBottom w:val="0"/>
                      <w:divBdr>
                        <w:top w:val="none" w:sz="0" w:space="0" w:color="auto"/>
                        <w:left w:val="none" w:sz="0" w:space="0" w:color="auto"/>
                        <w:bottom w:val="none" w:sz="0" w:space="0" w:color="auto"/>
                        <w:right w:val="none" w:sz="0" w:space="0" w:color="auto"/>
                      </w:divBdr>
                    </w:div>
                    <w:div w:id="1714495370">
                      <w:marLeft w:val="0"/>
                      <w:marRight w:val="0"/>
                      <w:marTop w:val="0"/>
                      <w:marBottom w:val="0"/>
                      <w:divBdr>
                        <w:top w:val="none" w:sz="0" w:space="0" w:color="auto"/>
                        <w:left w:val="none" w:sz="0" w:space="0" w:color="auto"/>
                        <w:bottom w:val="none" w:sz="0" w:space="0" w:color="auto"/>
                        <w:right w:val="none" w:sz="0" w:space="0" w:color="auto"/>
                      </w:divBdr>
                    </w:div>
                    <w:div w:id="132871629">
                      <w:marLeft w:val="0"/>
                      <w:marRight w:val="0"/>
                      <w:marTop w:val="0"/>
                      <w:marBottom w:val="0"/>
                      <w:divBdr>
                        <w:top w:val="none" w:sz="0" w:space="0" w:color="auto"/>
                        <w:left w:val="none" w:sz="0" w:space="0" w:color="auto"/>
                        <w:bottom w:val="none" w:sz="0" w:space="0" w:color="auto"/>
                        <w:right w:val="none" w:sz="0" w:space="0" w:color="auto"/>
                      </w:divBdr>
                    </w:div>
                    <w:div w:id="153249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9866902">
      <w:bodyDiv w:val="1"/>
      <w:marLeft w:val="0"/>
      <w:marRight w:val="0"/>
      <w:marTop w:val="0"/>
      <w:marBottom w:val="0"/>
      <w:divBdr>
        <w:top w:val="none" w:sz="0" w:space="0" w:color="auto"/>
        <w:left w:val="none" w:sz="0" w:space="0" w:color="auto"/>
        <w:bottom w:val="none" w:sz="0" w:space="0" w:color="auto"/>
        <w:right w:val="none" w:sz="0" w:space="0" w:color="auto"/>
      </w:divBdr>
    </w:div>
    <w:div w:id="1052731240">
      <w:bodyDiv w:val="1"/>
      <w:marLeft w:val="0"/>
      <w:marRight w:val="0"/>
      <w:marTop w:val="0"/>
      <w:marBottom w:val="0"/>
      <w:divBdr>
        <w:top w:val="none" w:sz="0" w:space="0" w:color="auto"/>
        <w:left w:val="none" w:sz="0" w:space="0" w:color="auto"/>
        <w:bottom w:val="none" w:sz="0" w:space="0" w:color="auto"/>
        <w:right w:val="none" w:sz="0" w:space="0" w:color="auto"/>
      </w:divBdr>
    </w:div>
    <w:div w:id="1072040987">
      <w:bodyDiv w:val="1"/>
      <w:marLeft w:val="0"/>
      <w:marRight w:val="0"/>
      <w:marTop w:val="0"/>
      <w:marBottom w:val="0"/>
      <w:divBdr>
        <w:top w:val="none" w:sz="0" w:space="0" w:color="auto"/>
        <w:left w:val="none" w:sz="0" w:space="0" w:color="auto"/>
        <w:bottom w:val="none" w:sz="0" w:space="0" w:color="auto"/>
        <w:right w:val="none" w:sz="0" w:space="0" w:color="auto"/>
      </w:divBdr>
    </w:div>
    <w:div w:id="1094322756">
      <w:bodyDiv w:val="1"/>
      <w:marLeft w:val="0"/>
      <w:marRight w:val="0"/>
      <w:marTop w:val="0"/>
      <w:marBottom w:val="0"/>
      <w:divBdr>
        <w:top w:val="none" w:sz="0" w:space="0" w:color="auto"/>
        <w:left w:val="none" w:sz="0" w:space="0" w:color="auto"/>
        <w:bottom w:val="none" w:sz="0" w:space="0" w:color="auto"/>
        <w:right w:val="none" w:sz="0" w:space="0" w:color="auto"/>
      </w:divBdr>
    </w:div>
    <w:div w:id="1128475229">
      <w:bodyDiv w:val="1"/>
      <w:marLeft w:val="0"/>
      <w:marRight w:val="0"/>
      <w:marTop w:val="0"/>
      <w:marBottom w:val="0"/>
      <w:divBdr>
        <w:top w:val="none" w:sz="0" w:space="0" w:color="auto"/>
        <w:left w:val="none" w:sz="0" w:space="0" w:color="auto"/>
        <w:bottom w:val="none" w:sz="0" w:space="0" w:color="auto"/>
        <w:right w:val="none" w:sz="0" w:space="0" w:color="auto"/>
      </w:divBdr>
    </w:div>
    <w:div w:id="1173834035">
      <w:bodyDiv w:val="1"/>
      <w:marLeft w:val="0"/>
      <w:marRight w:val="0"/>
      <w:marTop w:val="0"/>
      <w:marBottom w:val="0"/>
      <w:divBdr>
        <w:top w:val="none" w:sz="0" w:space="0" w:color="auto"/>
        <w:left w:val="none" w:sz="0" w:space="0" w:color="auto"/>
        <w:bottom w:val="none" w:sz="0" w:space="0" w:color="auto"/>
        <w:right w:val="none" w:sz="0" w:space="0" w:color="auto"/>
      </w:divBdr>
    </w:div>
    <w:div w:id="1198347235">
      <w:bodyDiv w:val="1"/>
      <w:marLeft w:val="0"/>
      <w:marRight w:val="0"/>
      <w:marTop w:val="0"/>
      <w:marBottom w:val="0"/>
      <w:divBdr>
        <w:top w:val="none" w:sz="0" w:space="0" w:color="auto"/>
        <w:left w:val="none" w:sz="0" w:space="0" w:color="auto"/>
        <w:bottom w:val="none" w:sz="0" w:space="0" w:color="auto"/>
        <w:right w:val="none" w:sz="0" w:space="0" w:color="auto"/>
      </w:divBdr>
    </w:div>
    <w:div w:id="1211960200">
      <w:bodyDiv w:val="1"/>
      <w:marLeft w:val="0"/>
      <w:marRight w:val="0"/>
      <w:marTop w:val="0"/>
      <w:marBottom w:val="0"/>
      <w:divBdr>
        <w:top w:val="none" w:sz="0" w:space="0" w:color="auto"/>
        <w:left w:val="none" w:sz="0" w:space="0" w:color="auto"/>
        <w:bottom w:val="none" w:sz="0" w:space="0" w:color="auto"/>
        <w:right w:val="none" w:sz="0" w:space="0" w:color="auto"/>
      </w:divBdr>
    </w:div>
    <w:div w:id="1218475313">
      <w:bodyDiv w:val="1"/>
      <w:marLeft w:val="0"/>
      <w:marRight w:val="0"/>
      <w:marTop w:val="0"/>
      <w:marBottom w:val="0"/>
      <w:divBdr>
        <w:top w:val="none" w:sz="0" w:space="0" w:color="auto"/>
        <w:left w:val="none" w:sz="0" w:space="0" w:color="auto"/>
        <w:bottom w:val="none" w:sz="0" w:space="0" w:color="auto"/>
        <w:right w:val="none" w:sz="0" w:space="0" w:color="auto"/>
      </w:divBdr>
    </w:div>
    <w:div w:id="1242905726">
      <w:bodyDiv w:val="1"/>
      <w:marLeft w:val="0"/>
      <w:marRight w:val="0"/>
      <w:marTop w:val="0"/>
      <w:marBottom w:val="0"/>
      <w:divBdr>
        <w:top w:val="none" w:sz="0" w:space="0" w:color="auto"/>
        <w:left w:val="none" w:sz="0" w:space="0" w:color="auto"/>
        <w:bottom w:val="none" w:sz="0" w:space="0" w:color="auto"/>
        <w:right w:val="none" w:sz="0" w:space="0" w:color="auto"/>
      </w:divBdr>
    </w:div>
    <w:div w:id="1322343215">
      <w:bodyDiv w:val="1"/>
      <w:marLeft w:val="0"/>
      <w:marRight w:val="0"/>
      <w:marTop w:val="0"/>
      <w:marBottom w:val="0"/>
      <w:divBdr>
        <w:top w:val="none" w:sz="0" w:space="0" w:color="auto"/>
        <w:left w:val="none" w:sz="0" w:space="0" w:color="auto"/>
        <w:bottom w:val="none" w:sz="0" w:space="0" w:color="auto"/>
        <w:right w:val="none" w:sz="0" w:space="0" w:color="auto"/>
      </w:divBdr>
    </w:div>
    <w:div w:id="1350521515">
      <w:bodyDiv w:val="1"/>
      <w:marLeft w:val="0"/>
      <w:marRight w:val="0"/>
      <w:marTop w:val="0"/>
      <w:marBottom w:val="0"/>
      <w:divBdr>
        <w:top w:val="none" w:sz="0" w:space="0" w:color="auto"/>
        <w:left w:val="none" w:sz="0" w:space="0" w:color="auto"/>
        <w:bottom w:val="none" w:sz="0" w:space="0" w:color="auto"/>
        <w:right w:val="none" w:sz="0" w:space="0" w:color="auto"/>
      </w:divBdr>
    </w:div>
    <w:div w:id="1361393388">
      <w:bodyDiv w:val="1"/>
      <w:marLeft w:val="0"/>
      <w:marRight w:val="0"/>
      <w:marTop w:val="0"/>
      <w:marBottom w:val="0"/>
      <w:divBdr>
        <w:top w:val="none" w:sz="0" w:space="0" w:color="auto"/>
        <w:left w:val="none" w:sz="0" w:space="0" w:color="auto"/>
        <w:bottom w:val="none" w:sz="0" w:space="0" w:color="auto"/>
        <w:right w:val="none" w:sz="0" w:space="0" w:color="auto"/>
      </w:divBdr>
      <w:divsChild>
        <w:div w:id="1379086818">
          <w:marLeft w:val="0"/>
          <w:marRight w:val="0"/>
          <w:marTop w:val="0"/>
          <w:marBottom w:val="0"/>
          <w:divBdr>
            <w:top w:val="none" w:sz="0" w:space="0" w:color="auto"/>
            <w:left w:val="none" w:sz="0" w:space="0" w:color="auto"/>
            <w:bottom w:val="none" w:sz="0" w:space="0" w:color="auto"/>
            <w:right w:val="none" w:sz="0" w:space="0" w:color="auto"/>
          </w:divBdr>
          <w:divsChild>
            <w:div w:id="350380851">
              <w:marLeft w:val="0"/>
              <w:marRight w:val="0"/>
              <w:marTop w:val="150"/>
              <w:marBottom w:val="150"/>
              <w:divBdr>
                <w:top w:val="none" w:sz="0" w:space="0" w:color="auto"/>
                <w:left w:val="none" w:sz="0" w:space="0" w:color="auto"/>
                <w:bottom w:val="none" w:sz="0" w:space="0" w:color="auto"/>
                <w:right w:val="none" w:sz="0" w:space="0" w:color="auto"/>
              </w:divBdr>
              <w:divsChild>
                <w:div w:id="748381315">
                  <w:marLeft w:val="0"/>
                  <w:marRight w:val="0"/>
                  <w:marTop w:val="0"/>
                  <w:marBottom w:val="0"/>
                  <w:divBdr>
                    <w:top w:val="none" w:sz="0" w:space="0" w:color="auto"/>
                    <w:left w:val="none" w:sz="0" w:space="0" w:color="auto"/>
                    <w:bottom w:val="none" w:sz="0" w:space="0" w:color="auto"/>
                    <w:right w:val="none" w:sz="0" w:space="0" w:color="auto"/>
                  </w:divBdr>
                  <w:divsChild>
                    <w:div w:id="208345044">
                      <w:marLeft w:val="0"/>
                      <w:marRight w:val="0"/>
                      <w:marTop w:val="0"/>
                      <w:marBottom w:val="0"/>
                      <w:divBdr>
                        <w:top w:val="none" w:sz="0" w:space="0" w:color="auto"/>
                        <w:left w:val="none" w:sz="0" w:space="0" w:color="auto"/>
                        <w:bottom w:val="none" w:sz="0" w:space="0" w:color="auto"/>
                        <w:right w:val="none" w:sz="0" w:space="0" w:color="auto"/>
                      </w:divBdr>
                    </w:div>
                    <w:div w:id="528951266">
                      <w:marLeft w:val="0"/>
                      <w:marRight w:val="0"/>
                      <w:marTop w:val="0"/>
                      <w:marBottom w:val="0"/>
                      <w:divBdr>
                        <w:top w:val="none" w:sz="0" w:space="0" w:color="auto"/>
                        <w:left w:val="none" w:sz="0" w:space="0" w:color="auto"/>
                        <w:bottom w:val="none" w:sz="0" w:space="0" w:color="auto"/>
                        <w:right w:val="none" w:sz="0" w:space="0" w:color="auto"/>
                      </w:divBdr>
                    </w:div>
                    <w:div w:id="583682807">
                      <w:marLeft w:val="0"/>
                      <w:marRight w:val="0"/>
                      <w:marTop w:val="0"/>
                      <w:marBottom w:val="0"/>
                      <w:divBdr>
                        <w:top w:val="none" w:sz="0" w:space="0" w:color="auto"/>
                        <w:left w:val="none" w:sz="0" w:space="0" w:color="auto"/>
                        <w:bottom w:val="none" w:sz="0" w:space="0" w:color="auto"/>
                        <w:right w:val="none" w:sz="0" w:space="0" w:color="auto"/>
                      </w:divBdr>
                    </w:div>
                    <w:div w:id="1994142962">
                      <w:marLeft w:val="0"/>
                      <w:marRight w:val="0"/>
                      <w:marTop w:val="0"/>
                      <w:marBottom w:val="0"/>
                      <w:divBdr>
                        <w:top w:val="none" w:sz="0" w:space="0" w:color="auto"/>
                        <w:left w:val="none" w:sz="0" w:space="0" w:color="auto"/>
                        <w:bottom w:val="none" w:sz="0" w:space="0" w:color="auto"/>
                        <w:right w:val="none" w:sz="0" w:space="0" w:color="auto"/>
                      </w:divBdr>
                    </w:div>
                    <w:div w:id="1015882842">
                      <w:marLeft w:val="0"/>
                      <w:marRight w:val="0"/>
                      <w:marTop w:val="0"/>
                      <w:marBottom w:val="0"/>
                      <w:divBdr>
                        <w:top w:val="none" w:sz="0" w:space="0" w:color="auto"/>
                        <w:left w:val="none" w:sz="0" w:space="0" w:color="auto"/>
                        <w:bottom w:val="none" w:sz="0" w:space="0" w:color="auto"/>
                        <w:right w:val="none" w:sz="0" w:space="0" w:color="auto"/>
                      </w:divBdr>
                    </w:div>
                    <w:div w:id="369649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3652466">
      <w:bodyDiv w:val="1"/>
      <w:marLeft w:val="0"/>
      <w:marRight w:val="0"/>
      <w:marTop w:val="0"/>
      <w:marBottom w:val="0"/>
      <w:divBdr>
        <w:top w:val="none" w:sz="0" w:space="0" w:color="auto"/>
        <w:left w:val="none" w:sz="0" w:space="0" w:color="auto"/>
        <w:bottom w:val="none" w:sz="0" w:space="0" w:color="auto"/>
        <w:right w:val="none" w:sz="0" w:space="0" w:color="auto"/>
      </w:divBdr>
      <w:divsChild>
        <w:div w:id="114449757">
          <w:marLeft w:val="0"/>
          <w:marRight w:val="0"/>
          <w:marTop w:val="0"/>
          <w:marBottom w:val="0"/>
          <w:divBdr>
            <w:top w:val="none" w:sz="0" w:space="0" w:color="auto"/>
            <w:left w:val="none" w:sz="0" w:space="0" w:color="auto"/>
            <w:bottom w:val="none" w:sz="0" w:space="0" w:color="auto"/>
            <w:right w:val="none" w:sz="0" w:space="0" w:color="auto"/>
          </w:divBdr>
          <w:divsChild>
            <w:div w:id="1488671416">
              <w:marLeft w:val="0"/>
              <w:marRight w:val="0"/>
              <w:marTop w:val="150"/>
              <w:marBottom w:val="150"/>
              <w:divBdr>
                <w:top w:val="none" w:sz="0" w:space="0" w:color="auto"/>
                <w:left w:val="none" w:sz="0" w:space="0" w:color="auto"/>
                <w:bottom w:val="none" w:sz="0" w:space="0" w:color="auto"/>
                <w:right w:val="none" w:sz="0" w:space="0" w:color="auto"/>
              </w:divBdr>
              <w:divsChild>
                <w:div w:id="1263999644">
                  <w:marLeft w:val="0"/>
                  <w:marRight w:val="0"/>
                  <w:marTop w:val="0"/>
                  <w:marBottom w:val="0"/>
                  <w:divBdr>
                    <w:top w:val="none" w:sz="0" w:space="0" w:color="auto"/>
                    <w:left w:val="none" w:sz="0" w:space="0" w:color="auto"/>
                    <w:bottom w:val="none" w:sz="0" w:space="0" w:color="auto"/>
                    <w:right w:val="none" w:sz="0" w:space="0" w:color="auto"/>
                  </w:divBdr>
                  <w:divsChild>
                    <w:div w:id="895240876">
                      <w:marLeft w:val="0"/>
                      <w:marRight w:val="0"/>
                      <w:marTop w:val="0"/>
                      <w:marBottom w:val="0"/>
                      <w:divBdr>
                        <w:top w:val="none" w:sz="0" w:space="0" w:color="auto"/>
                        <w:left w:val="none" w:sz="0" w:space="0" w:color="auto"/>
                        <w:bottom w:val="none" w:sz="0" w:space="0" w:color="auto"/>
                        <w:right w:val="none" w:sz="0" w:space="0" w:color="auto"/>
                      </w:divBdr>
                    </w:div>
                    <w:div w:id="1493451462">
                      <w:marLeft w:val="0"/>
                      <w:marRight w:val="0"/>
                      <w:marTop w:val="0"/>
                      <w:marBottom w:val="0"/>
                      <w:divBdr>
                        <w:top w:val="none" w:sz="0" w:space="0" w:color="auto"/>
                        <w:left w:val="none" w:sz="0" w:space="0" w:color="auto"/>
                        <w:bottom w:val="none" w:sz="0" w:space="0" w:color="auto"/>
                        <w:right w:val="none" w:sz="0" w:space="0" w:color="auto"/>
                      </w:divBdr>
                    </w:div>
                    <w:div w:id="1034159488">
                      <w:marLeft w:val="0"/>
                      <w:marRight w:val="0"/>
                      <w:marTop w:val="0"/>
                      <w:marBottom w:val="0"/>
                      <w:divBdr>
                        <w:top w:val="none" w:sz="0" w:space="0" w:color="auto"/>
                        <w:left w:val="none" w:sz="0" w:space="0" w:color="auto"/>
                        <w:bottom w:val="none" w:sz="0" w:space="0" w:color="auto"/>
                        <w:right w:val="none" w:sz="0" w:space="0" w:color="auto"/>
                      </w:divBdr>
                    </w:div>
                    <w:div w:id="2045908433">
                      <w:marLeft w:val="0"/>
                      <w:marRight w:val="0"/>
                      <w:marTop w:val="0"/>
                      <w:marBottom w:val="0"/>
                      <w:divBdr>
                        <w:top w:val="none" w:sz="0" w:space="0" w:color="auto"/>
                        <w:left w:val="none" w:sz="0" w:space="0" w:color="auto"/>
                        <w:bottom w:val="none" w:sz="0" w:space="0" w:color="auto"/>
                        <w:right w:val="none" w:sz="0" w:space="0" w:color="auto"/>
                      </w:divBdr>
                    </w:div>
                    <w:div w:id="336226485">
                      <w:marLeft w:val="0"/>
                      <w:marRight w:val="0"/>
                      <w:marTop w:val="0"/>
                      <w:marBottom w:val="0"/>
                      <w:divBdr>
                        <w:top w:val="none" w:sz="0" w:space="0" w:color="auto"/>
                        <w:left w:val="none" w:sz="0" w:space="0" w:color="auto"/>
                        <w:bottom w:val="none" w:sz="0" w:space="0" w:color="auto"/>
                        <w:right w:val="none" w:sz="0" w:space="0" w:color="auto"/>
                      </w:divBdr>
                    </w:div>
                    <w:div w:id="476412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2826805">
      <w:bodyDiv w:val="1"/>
      <w:marLeft w:val="0"/>
      <w:marRight w:val="0"/>
      <w:marTop w:val="0"/>
      <w:marBottom w:val="0"/>
      <w:divBdr>
        <w:top w:val="none" w:sz="0" w:space="0" w:color="auto"/>
        <w:left w:val="none" w:sz="0" w:space="0" w:color="auto"/>
        <w:bottom w:val="none" w:sz="0" w:space="0" w:color="auto"/>
        <w:right w:val="none" w:sz="0" w:space="0" w:color="auto"/>
      </w:divBdr>
    </w:div>
    <w:div w:id="1389452006">
      <w:bodyDiv w:val="1"/>
      <w:marLeft w:val="0"/>
      <w:marRight w:val="0"/>
      <w:marTop w:val="0"/>
      <w:marBottom w:val="0"/>
      <w:divBdr>
        <w:top w:val="none" w:sz="0" w:space="0" w:color="auto"/>
        <w:left w:val="none" w:sz="0" w:space="0" w:color="auto"/>
        <w:bottom w:val="none" w:sz="0" w:space="0" w:color="auto"/>
        <w:right w:val="none" w:sz="0" w:space="0" w:color="auto"/>
      </w:divBdr>
    </w:div>
    <w:div w:id="1393193200">
      <w:bodyDiv w:val="1"/>
      <w:marLeft w:val="0"/>
      <w:marRight w:val="0"/>
      <w:marTop w:val="0"/>
      <w:marBottom w:val="0"/>
      <w:divBdr>
        <w:top w:val="none" w:sz="0" w:space="0" w:color="auto"/>
        <w:left w:val="none" w:sz="0" w:space="0" w:color="auto"/>
        <w:bottom w:val="none" w:sz="0" w:space="0" w:color="auto"/>
        <w:right w:val="none" w:sz="0" w:space="0" w:color="auto"/>
      </w:divBdr>
    </w:div>
    <w:div w:id="1472405118">
      <w:bodyDiv w:val="1"/>
      <w:marLeft w:val="0"/>
      <w:marRight w:val="0"/>
      <w:marTop w:val="0"/>
      <w:marBottom w:val="0"/>
      <w:divBdr>
        <w:top w:val="none" w:sz="0" w:space="0" w:color="auto"/>
        <w:left w:val="none" w:sz="0" w:space="0" w:color="auto"/>
        <w:bottom w:val="none" w:sz="0" w:space="0" w:color="auto"/>
        <w:right w:val="none" w:sz="0" w:space="0" w:color="auto"/>
      </w:divBdr>
      <w:divsChild>
        <w:div w:id="1061291764">
          <w:marLeft w:val="0"/>
          <w:marRight w:val="0"/>
          <w:marTop w:val="0"/>
          <w:marBottom w:val="0"/>
          <w:divBdr>
            <w:top w:val="none" w:sz="0" w:space="0" w:color="auto"/>
            <w:left w:val="none" w:sz="0" w:space="0" w:color="auto"/>
            <w:bottom w:val="none" w:sz="0" w:space="0" w:color="auto"/>
            <w:right w:val="none" w:sz="0" w:space="0" w:color="auto"/>
          </w:divBdr>
          <w:divsChild>
            <w:div w:id="224610004">
              <w:marLeft w:val="0"/>
              <w:marRight w:val="0"/>
              <w:marTop w:val="150"/>
              <w:marBottom w:val="150"/>
              <w:divBdr>
                <w:top w:val="none" w:sz="0" w:space="0" w:color="auto"/>
                <w:left w:val="none" w:sz="0" w:space="0" w:color="auto"/>
                <w:bottom w:val="none" w:sz="0" w:space="0" w:color="auto"/>
                <w:right w:val="none" w:sz="0" w:space="0" w:color="auto"/>
              </w:divBdr>
              <w:divsChild>
                <w:div w:id="1530408353">
                  <w:marLeft w:val="0"/>
                  <w:marRight w:val="0"/>
                  <w:marTop w:val="0"/>
                  <w:marBottom w:val="0"/>
                  <w:divBdr>
                    <w:top w:val="none" w:sz="0" w:space="0" w:color="auto"/>
                    <w:left w:val="none" w:sz="0" w:space="0" w:color="auto"/>
                    <w:bottom w:val="none" w:sz="0" w:space="0" w:color="auto"/>
                    <w:right w:val="none" w:sz="0" w:space="0" w:color="auto"/>
                  </w:divBdr>
                  <w:divsChild>
                    <w:div w:id="883952180">
                      <w:marLeft w:val="0"/>
                      <w:marRight w:val="0"/>
                      <w:marTop w:val="0"/>
                      <w:marBottom w:val="0"/>
                      <w:divBdr>
                        <w:top w:val="none" w:sz="0" w:space="0" w:color="auto"/>
                        <w:left w:val="none" w:sz="0" w:space="0" w:color="auto"/>
                        <w:bottom w:val="none" w:sz="0" w:space="0" w:color="auto"/>
                        <w:right w:val="none" w:sz="0" w:space="0" w:color="auto"/>
                      </w:divBdr>
                    </w:div>
                    <w:div w:id="2030450769">
                      <w:marLeft w:val="0"/>
                      <w:marRight w:val="0"/>
                      <w:marTop w:val="0"/>
                      <w:marBottom w:val="0"/>
                      <w:divBdr>
                        <w:top w:val="none" w:sz="0" w:space="0" w:color="auto"/>
                        <w:left w:val="none" w:sz="0" w:space="0" w:color="auto"/>
                        <w:bottom w:val="none" w:sz="0" w:space="0" w:color="auto"/>
                        <w:right w:val="none" w:sz="0" w:space="0" w:color="auto"/>
                      </w:divBdr>
                    </w:div>
                    <w:div w:id="33307752">
                      <w:marLeft w:val="0"/>
                      <w:marRight w:val="0"/>
                      <w:marTop w:val="0"/>
                      <w:marBottom w:val="0"/>
                      <w:divBdr>
                        <w:top w:val="none" w:sz="0" w:space="0" w:color="auto"/>
                        <w:left w:val="none" w:sz="0" w:space="0" w:color="auto"/>
                        <w:bottom w:val="none" w:sz="0" w:space="0" w:color="auto"/>
                        <w:right w:val="none" w:sz="0" w:space="0" w:color="auto"/>
                      </w:divBdr>
                    </w:div>
                    <w:div w:id="42026196">
                      <w:marLeft w:val="0"/>
                      <w:marRight w:val="0"/>
                      <w:marTop w:val="0"/>
                      <w:marBottom w:val="0"/>
                      <w:divBdr>
                        <w:top w:val="none" w:sz="0" w:space="0" w:color="auto"/>
                        <w:left w:val="none" w:sz="0" w:space="0" w:color="auto"/>
                        <w:bottom w:val="none" w:sz="0" w:space="0" w:color="auto"/>
                        <w:right w:val="none" w:sz="0" w:space="0" w:color="auto"/>
                      </w:divBdr>
                    </w:div>
                    <w:div w:id="398864118">
                      <w:marLeft w:val="0"/>
                      <w:marRight w:val="0"/>
                      <w:marTop w:val="0"/>
                      <w:marBottom w:val="0"/>
                      <w:divBdr>
                        <w:top w:val="none" w:sz="0" w:space="0" w:color="auto"/>
                        <w:left w:val="none" w:sz="0" w:space="0" w:color="auto"/>
                        <w:bottom w:val="none" w:sz="0" w:space="0" w:color="auto"/>
                        <w:right w:val="none" w:sz="0" w:space="0" w:color="auto"/>
                      </w:divBdr>
                    </w:div>
                    <w:div w:id="63341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7133360">
      <w:bodyDiv w:val="1"/>
      <w:marLeft w:val="0"/>
      <w:marRight w:val="0"/>
      <w:marTop w:val="0"/>
      <w:marBottom w:val="0"/>
      <w:divBdr>
        <w:top w:val="none" w:sz="0" w:space="0" w:color="auto"/>
        <w:left w:val="none" w:sz="0" w:space="0" w:color="auto"/>
        <w:bottom w:val="none" w:sz="0" w:space="0" w:color="auto"/>
        <w:right w:val="none" w:sz="0" w:space="0" w:color="auto"/>
      </w:divBdr>
    </w:div>
    <w:div w:id="1652827826">
      <w:bodyDiv w:val="1"/>
      <w:marLeft w:val="0"/>
      <w:marRight w:val="0"/>
      <w:marTop w:val="0"/>
      <w:marBottom w:val="0"/>
      <w:divBdr>
        <w:top w:val="none" w:sz="0" w:space="0" w:color="auto"/>
        <w:left w:val="none" w:sz="0" w:space="0" w:color="auto"/>
        <w:bottom w:val="none" w:sz="0" w:space="0" w:color="auto"/>
        <w:right w:val="none" w:sz="0" w:space="0" w:color="auto"/>
      </w:divBdr>
    </w:div>
    <w:div w:id="1683623861">
      <w:bodyDiv w:val="1"/>
      <w:marLeft w:val="0"/>
      <w:marRight w:val="0"/>
      <w:marTop w:val="0"/>
      <w:marBottom w:val="0"/>
      <w:divBdr>
        <w:top w:val="none" w:sz="0" w:space="0" w:color="auto"/>
        <w:left w:val="none" w:sz="0" w:space="0" w:color="auto"/>
        <w:bottom w:val="none" w:sz="0" w:space="0" w:color="auto"/>
        <w:right w:val="none" w:sz="0" w:space="0" w:color="auto"/>
      </w:divBdr>
    </w:div>
    <w:div w:id="1688293447">
      <w:bodyDiv w:val="1"/>
      <w:marLeft w:val="0"/>
      <w:marRight w:val="0"/>
      <w:marTop w:val="0"/>
      <w:marBottom w:val="0"/>
      <w:divBdr>
        <w:top w:val="none" w:sz="0" w:space="0" w:color="auto"/>
        <w:left w:val="none" w:sz="0" w:space="0" w:color="auto"/>
        <w:bottom w:val="none" w:sz="0" w:space="0" w:color="auto"/>
        <w:right w:val="none" w:sz="0" w:space="0" w:color="auto"/>
      </w:divBdr>
    </w:div>
    <w:div w:id="1706103389">
      <w:bodyDiv w:val="1"/>
      <w:marLeft w:val="0"/>
      <w:marRight w:val="0"/>
      <w:marTop w:val="0"/>
      <w:marBottom w:val="0"/>
      <w:divBdr>
        <w:top w:val="none" w:sz="0" w:space="0" w:color="auto"/>
        <w:left w:val="none" w:sz="0" w:space="0" w:color="auto"/>
        <w:bottom w:val="none" w:sz="0" w:space="0" w:color="auto"/>
        <w:right w:val="none" w:sz="0" w:space="0" w:color="auto"/>
      </w:divBdr>
    </w:div>
    <w:div w:id="1708529262">
      <w:bodyDiv w:val="1"/>
      <w:marLeft w:val="0"/>
      <w:marRight w:val="0"/>
      <w:marTop w:val="0"/>
      <w:marBottom w:val="0"/>
      <w:divBdr>
        <w:top w:val="none" w:sz="0" w:space="0" w:color="auto"/>
        <w:left w:val="none" w:sz="0" w:space="0" w:color="auto"/>
        <w:bottom w:val="none" w:sz="0" w:space="0" w:color="auto"/>
        <w:right w:val="none" w:sz="0" w:space="0" w:color="auto"/>
      </w:divBdr>
    </w:div>
    <w:div w:id="1752316996">
      <w:bodyDiv w:val="1"/>
      <w:marLeft w:val="0"/>
      <w:marRight w:val="0"/>
      <w:marTop w:val="0"/>
      <w:marBottom w:val="0"/>
      <w:divBdr>
        <w:top w:val="none" w:sz="0" w:space="0" w:color="auto"/>
        <w:left w:val="none" w:sz="0" w:space="0" w:color="auto"/>
        <w:bottom w:val="none" w:sz="0" w:space="0" w:color="auto"/>
        <w:right w:val="none" w:sz="0" w:space="0" w:color="auto"/>
      </w:divBdr>
    </w:div>
    <w:div w:id="1809587262">
      <w:bodyDiv w:val="1"/>
      <w:marLeft w:val="0"/>
      <w:marRight w:val="0"/>
      <w:marTop w:val="0"/>
      <w:marBottom w:val="0"/>
      <w:divBdr>
        <w:top w:val="none" w:sz="0" w:space="0" w:color="auto"/>
        <w:left w:val="none" w:sz="0" w:space="0" w:color="auto"/>
        <w:bottom w:val="none" w:sz="0" w:space="0" w:color="auto"/>
        <w:right w:val="none" w:sz="0" w:space="0" w:color="auto"/>
      </w:divBdr>
    </w:div>
    <w:div w:id="1828931801">
      <w:bodyDiv w:val="1"/>
      <w:marLeft w:val="0"/>
      <w:marRight w:val="0"/>
      <w:marTop w:val="0"/>
      <w:marBottom w:val="0"/>
      <w:divBdr>
        <w:top w:val="none" w:sz="0" w:space="0" w:color="auto"/>
        <w:left w:val="none" w:sz="0" w:space="0" w:color="auto"/>
        <w:bottom w:val="none" w:sz="0" w:space="0" w:color="auto"/>
        <w:right w:val="none" w:sz="0" w:space="0" w:color="auto"/>
      </w:divBdr>
      <w:divsChild>
        <w:div w:id="1795053263">
          <w:marLeft w:val="0"/>
          <w:marRight w:val="0"/>
          <w:marTop w:val="0"/>
          <w:marBottom w:val="0"/>
          <w:divBdr>
            <w:top w:val="none" w:sz="0" w:space="0" w:color="auto"/>
            <w:left w:val="none" w:sz="0" w:space="0" w:color="auto"/>
            <w:bottom w:val="none" w:sz="0" w:space="0" w:color="auto"/>
            <w:right w:val="none" w:sz="0" w:space="0" w:color="auto"/>
          </w:divBdr>
          <w:divsChild>
            <w:div w:id="1277298468">
              <w:marLeft w:val="0"/>
              <w:marRight w:val="0"/>
              <w:marTop w:val="150"/>
              <w:marBottom w:val="150"/>
              <w:divBdr>
                <w:top w:val="none" w:sz="0" w:space="0" w:color="auto"/>
                <w:left w:val="none" w:sz="0" w:space="0" w:color="auto"/>
                <w:bottom w:val="none" w:sz="0" w:space="0" w:color="auto"/>
                <w:right w:val="none" w:sz="0" w:space="0" w:color="auto"/>
              </w:divBdr>
              <w:divsChild>
                <w:div w:id="1727990273">
                  <w:marLeft w:val="0"/>
                  <w:marRight w:val="0"/>
                  <w:marTop w:val="0"/>
                  <w:marBottom w:val="0"/>
                  <w:divBdr>
                    <w:top w:val="none" w:sz="0" w:space="0" w:color="auto"/>
                    <w:left w:val="none" w:sz="0" w:space="0" w:color="auto"/>
                    <w:bottom w:val="none" w:sz="0" w:space="0" w:color="auto"/>
                    <w:right w:val="none" w:sz="0" w:space="0" w:color="auto"/>
                  </w:divBdr>
                  <w:divsChild>
                    <w:div w:id="1842502406">
                      <w:marLeft w:val="0"/>
                      <w:marRight w:val="0"/>
                      <w:marTop w:val="0"/>
                      <w:marBottom w:val="0"/>
                      <w:divBdr>
                        <w:top w:val="none" w:sz="0" w:space="0" w:color="auto"/>
                        <w:left w:val="none" w:sz="0" w:space="0" w:color="auto"/>
                        <w:bottom w:val="none" w:sz="0" w:space="0" w:color="auto"/>
                        <w:right w:val="none" w:sz="0" w:space="0" w:color="auto"/>
                      </w:divBdr>
                    </w:div>
                    <w:div w:id="578560991">
                      <w:marLeft w:val="0"/>
                      <w:marRight w:val="0"/>
                      <w:marTop w:val="0"/>
                      <w:marBottom w:val="0"/>
                      <w:divBdr>
                        <w:top w:val="none" w:sz="0" w:space="0" w:color="auto"/>
                        <w:left w:val="none" w:sz="0" w:space="0" w:color="auto"/>
                        <w:bottom w:val="none" w:sz="0" w:space="0" w:color="auto"/>
                        <w:right w:val="none" w:sz="0" w:space="0" w:color="auto"/>
                      </w:divBdr>
                    </w:div>
                    <w:div w:id="784539037">
                      <w:marLeft w:val="0"/>
                      <w:marRight w:val="0"/>
                      <w:marTop w:val="0"/>
                      <w:marBottom w:val="0"/>
                      <w:divBdr>
                        <w:top w:val="none" w:sz="0" w:space="0" w:color="auto"/>
                        <w:left w:val="none" w:sz="0" w:space="0" w:color="auto"/>
                        <w:bottom w:val="none" w:sz="0" w:space="0" w:color="auto"/>
                        <w:right w:val="none" w:sz="0" w:space="0" w:color="auto"/>
                      </w:divBdr>
                    </w:div>
                    <w:div w:id="7835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437120">
      <w:bodyDiv w:val="1"/>
      <w:marLeft w:val="0"/>
      <w:marRight w:val="0"/>
      <w:marTop w:val="0"/>
      <w:marBottom w:val="0"/>
      <w:divBdr>
        <w:top w:val="none" w:sz="0" w:space="0" w:color="auto"/>
        <w:left w:val="none" w:sz="0" w:space="0" w:color="auto"/>
        <w:bottom w:val="none" w:sz="0" w:space="0" w:color="auto"/>
        <w:right w:val="none" w:sz="0" w:space="0" w:color="auto"/>
      </w:divBdr>
    </w:div>
    <w:div w:id="1934974815">
      <w:bodyDiv w:val="1"/>
      <w:marLeft w:val="0"/>
      <w:marRight w:val="0"/>
      <w:marTop w:val="0"/>
      <w:marBottom w:val="0"/>
      <w:divBdr>
        <w:top w:val="none" w:sz="0" w:space="0" w:color="auto"/>
        <w:left w:val="none" w:sz="0" w:space="0" w:color="auto"/>
        <w:bottom w:val="none" w:sz="0" w:space="0" w:color="auto"/>
        <w:right w:val="none" w:sz="0" w:space="0" w:color="auto"/>
      </w:divBdr>
      <w:divsChild>
        <w:div w:id="1202980110">
          <w:marLeft w:val="0"/>
          <w:marRight w:val="0"/>
          <w:marTop w:val="0"/>
          <w:marBottom w:val="0"/>
          <w:divBdr>
            <w:top w:val="none" w:sz="0" w:space="0" w:color="auto"/>
            <w:left w:val="none" w:sz="0" w:space="0" w:color="auto"/>
            <w:bottom w:val="none" w:sz="0" w:space="0" w:color="auto"/>
            <w:right w:val="none" w:sz="0" w:space="0" w:color="auto"/>
          </w:divBdr>
          <w:divsChild>
            <w:div w:id="1306353259">
              <w:marLeft w:val="0"/>
              <w:marRight w:val="0"/>
              <w:marTop w:val="150"/>
              <w:marBottom w:val="150"/>
              <w:divBdr>
                <w:top w:val="none" w:sz="0" w:space="0" w:color="auto"/>
                <w:left w:val="none" w:sz="0" w:space="0" w:color="auto"/>
                <w:bottom w:val="none" w:sz="0" w:space="0" w:color="auto"/>
                <w:right w:val="none" w:sz="0" w:space="0" w:color="auto"/>
              </w:divBdr>
              <w:divsChild>
                <w:div w:id="267081960">
                  <w:marLeft w:val="0"/>
                  <w:marRight w:val="0"/>
                  <w:marTop w:val="0"/>
                  <w:marBottom w:val="0"/>
                  <w:divBdr>
                    <w:top w:val="none" w:sz="0" w:space="0" w:color="auto"/>
                    <w:left w:val="none" w:sz="0" w:space="0" w:color="auto"/>
                    <w:bottom w:val="none" w:sz="0" w:space="0" w:color="auto"/>
                    <w:right w:val="none" w:sz="0" w:space="0" w:color="auto"/>
                  </w:divBdr>
                  <w:divsChild>
                    <w:div w:id="2136370529">
                      <w:marLeft w:val="0"/>
                      <w:marRight w:val="0"/>
                      <w:marTop w:val="0"/>
                      <w:marBottom w:val="0"/>
                      <w:divBdr>
                        <w:top w:val="none" w:sz="0" w:space="0" w:color="auto"/>
                        <w:left w:val="none" w:sz="0" w:space="0" w:color="auto"/>
                        <w:bottom w:val="none" w:sz="0" w:space="0" w:color="auto"/>
                        <w:right w:val="none" w:sz="0" w:space="0" w:color="auto"/>
                      </w:divBdr>
                    </w:div>
                    <w:div w:id="1086807561">
                      <w:marLeft w:val="0"/>
                      <w:marRight w:val="0"/>
                      <w:marTop w:val="0"/>
                      <w:marBottom w:val="0"/>
                      <w:divBdr>
                        <w:top w:val="none" w:sz="0" w:space="0" w:color="auto"/>
                        <w:left w:val="none" w:sz="0" w:space="0" w:color="auto"/>
                        <w:bottom w:val="none" w:sz="0" w:space="0" w:color="auto"/>
                        <w:right w:val="none" w:sz="0" w:space="0" w:color="auto"/>
                      </w:divBdr>
                    </w:div>
                    <w:div w:id="672344694">
                      <w:marLeft w:val="0"/>
                      <w:marRight w:val="0"/>
                      <w:marTop w:val="0"/>
                      <w:marBottom w:val="0"/>
                      <w:divBdr>
                        <w:top w:val="none" w:sz="0" w:space="0" w:color="auto"/>
                        <w:left w:val="none" w:sz="0" w:space="0" w:color="auto"/>
                        <w:bottom w:val="none" w:sz="0" w:space="0" w:color="auto"/>
                        <w:right w:val="none" w:sz="0" w:space="0" w:color="auto"/>
                      </w:divBdr>
                    </w:div>
                    <w:div w:id="213236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3071820">
      <w:bodyDiv w:val="1"/>
      <w:marLeft w:val="0"/>
      <w:marRight w:val="0"/>
      <w:marTop w:val="0"/>
      <w:marBottom w:val="0"/>
      <w:divBdr>
        <w:top w:val="none" w:sz="0" w:space="0" w:color="auto"/>
        <w:left w:val="none" w:sz="0" w:space="0" w:color="auto"/>
        <w:bottom w:val="none" w:sz="0" w:space="0" w:color="auto"/>
        <w:right w:val="none" w:sz="0" w:space="0" w:color="auto"/>
      </w:divBdr>
    </w:div>
    <w:div w:id="2000845360">
      <w:bodyDiv w:val="1"/>
      <w:marLeft w:val="0"/>
      <w:marRight w:val="0"/>
      <w:marTop w:val="0"/>
      <w:marBottom w:val="0"/>
      <w:divBdr>
        <w:top w:val="none" w:sz="0" w:space="0" w:color="auto"/>
        <w:left w:val="none" w:sz="0" w:space="0" w:color="auto"/>
        <w:bottom w:val="none" w:sz="0" w:space="0" w:color="auto"/>
        <w:right w:val="none" w:sz="0" w:space="0" w:color="auto"/>
      </w:divBdr>
    </w:div>
    <w:div w:id="2007200400">
      <w:bodyDiv w:val="1"/>
      <w:marLeft w:val="0"/>
      <w:marRight w:val="0"/>
      <w:marTop w:val="0"/>
      <w:marBottom w:val="0"/>
      <w:divBdr>
        <w:top w:val="none" w:sz="0" w:space="0" w:color="auto"/>
        <w:left w:val="none" w:sz="0" w:space="0" w:color="auto"/>
        <w:bottom w:val="none" w:sz="0" w:space="0" w:color="auto"/>
        <w:right w:val="none" w:sz="0" w:space="0" w:color="auto"/>
      </w:divBdr>
    </w:div>
    <w:div w:id="2017341301">
      <w:bodyDiv w:val="1"/>
      <w:marLeft w:val="0"/>
      <w:marRight w:val="0"/>
      <w:marTop w:val="0"/>
      <w:marBottom w:val="0"/>
      <w:divBdr>
        <w:top w:val="none" w:sz="0" w:space="0" w:color="auto"/>
        <w:left w:val="none" w:sz="0" w:space="0" w:color="auto"/>
        <w:bottom w:val="none" w:sz="0" w:space="0" w:color="auto"/>
        <w:right w:val="none" w:sz="0" w:space="0" w:color="auto"/>
      </w:divBdr>
    </w:div>
    <w:div w:id="2052220518">
      <w:bodyDiv w:val="1"/>
      <w:marLeft w:val="0"/>
      <w:marRight w:val="0"/>
      <w:marTop w:val="0"/>
      <w:marBottom w:val="0"/>
      <w:divBdr>
        <w:top w:val="none" w:sz="0" w:space="0" w:color="auto"/>
        <w:left w:val="none" w:sz="0" w:space="0" w:color="auto"/>
        <w:bottom w:val="none" w:sz="0" w:space="0" w:color="auto"/>
        <w:right w:val="none" w:sz="0" w:space="0" w:color="auto"/>
      </w:divBdr>
    </w:div>
    <w:div w:id="2066952815">
      <w:bodyDiv w:val="1"/>
      <w:marLeft w:val="0"/>
      <w:marRight w:val="0"/>
      <w:marTop w:val="0"/>
      <w:marBottom w:val="0"/>
      <w:divBdr>
        <w:top w:val="none" w:sz="0" w:space="0" w:color="auto"/>
        <w:left w:val="none" w:sz="0" w:space="0" w:color="auto"/>
        <w:bottom w:val="none" w:sz="0" w:space="0" w:color="auto"/>
        <w:right w:val="none" w:sz="0" w:space="0" w:color="auto"/>
      </w:divBdr>
    </w:div>
    <w:div w:id="2121222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gislacion.scjn.gob.mx/Buscador/Paginas/AbrirDocArticulo.aspx?q=u+uol4XmeVVQSBV20oBZUxRw7+pzvUGAnOmL/gSP9DhtoVuu1tGrbs+7Cj8Ff4UYZmsJvGRns0M+iopz6W8Pzw=="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eepacslp.org.mx/ceepac/uploads2/files/4_%20ACUERDO%20INDEPENDIENTES%20CON%20CONVOCATORIA%20Y%20ANEXOS.pdf" TargetMode="External"/><Relationship Id="rId5" Type="http://schemas.openxmlformats.org/officeDocument/2006/relationships/webSettings" Target="webSettings.xml"/><Relationship Id="rId10" Type="http://schemas.openxmlformats.org/officeDocument/2006/relationships/hyperlink" Target="http://ceepacslp.org.mx/ceepac/uploads2/files/LINEAMIENTOS%20LIQUIDACI%C3%93N%20ASOCIACIONES%20CIVILES(1).pdf" TargetMode="External"/><Relationship Id="rId4" Type="http://schemas.openxmlformats.org/officeDocument/2006/relationships/settings" Target="settings.xml"/><Relationship Id="rId9" Type="http://schemas.openxmlformats.org/officeDocument/2006/relationships/hyperlink" Target="https://legislacion.scjn.gob.mx/Buscador/Paginas/AbrirDocArticulo.aspx?q=rBug4UgqRVqRTdjsM+Wyo+eIOwq1eZdTH5WGw9FfMou+crzeiD1hATXmLuW3mU0O9R3QVGQntg5N8sM1ybeDYw=="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A9EEFC-E032-48D4-93E7-3E94C41DC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4054</Words>
  <Characters>22298</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Iván Isay Martínez Flores</dc:creator>
  <cp:lastModifiedBy>José Francisco Jiménez Guerrero</cp:lastModifiedBy>
  <cp:revision>108</cp:revision>
  <cp:lastPrinted>2015-04-17T18:02:00Z</cp:lastPrinted>
  <dcterms:created xsi:type="dcterms:W3CDTF">2021-04-21T16:01:00Z</dcterms:created>
  <dcterms:modified xsi:type="dcterms:W3CDTF">2021-11-03T20:08:00Z</dcterms:modified>
</cp:coreProperties>
</file>