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B32E57" w:rsidRDefault="002420B2" w:rsidP="00B32E57">
      <w:pPr>
        <w:spacing w:after="0" w:line="240" w:lineRule="auto"/>
        <w:contextualSpacing/>
        <w:rPr>
          <w:rFonts w:ascii="Century Gothic" w:hAnsi="Century Gothic" w:cs="Arial"/>
          <w:b/>
          <w:bCs/>
          <w:sz w:val="20"/>
          <w:szCs w:val="20"/>
        </w:rPr>
      </w:pPr>
    </w:p>
    <w:tbl>
      <w:tblPr>
        <w:tblStyle w:val="Tablanormal1"/>
        <w:tblW w:w="17431" w:type="dxa"/>
        <w:jc w:val="center"/>
        <w:tblLayout w:type="fixed"/>
        <w:tblLook w:val="04A0" w:firstRow="1" w:lastRow="0" w:firstColumn="1" w:lastColumn="0" w:noHBand="0" w:noVBand="1"/>
      </w:tblPr>
      <w:tblGrid>
        <w:gridCol w:w="846"/>
        <w:gridCol w:w="1559"/>
        <w:gridCol w:w="2552"/>
        <w:gridCol w:w="12474"/>
      </w:tblGrid>
      <w:tr w:rsidR="00797161" w:rsidRPr="00F04828" w14:paraId="13442222" w14:textId="4A5A189F" w:rsidTr="00371BF7">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tcPr>
          <w:p w14:paraId="17AE3450" w14:textId="77777777" w:rsidR="00797161" w:rsidRPr="00F04828" w:rsidRDefault="00797161" w:rsidP="00B32E57">
            <w:pPr>
              <w:pStyle w:val="NormalWeb"/>
              <w:spacing w:before="0" w:beforeAutospacing="0" w:after="0" w:afterAutospacing="0"/>
              <w:ind w:left="720"/>
              <w:rPr>
                <w:rFonts w:ascii="Arial" w:eastAsia="Calibri" w:hAnsi="Arial" w:cs="Arial"/>
                <w:color w:val="FFFFFF" w:themeColor="background1"/>
                <w:sz w:val="20"/>
                <w:szCs w:val="20"/>
                <w:lang w:eastAsia="en-US"/>
              </w:rPr>
            </w:pPr>
          </w:p>
        </w:tc>
        <w:tc>
          <w:tcPr>
            <w:tcW w:w="1559" w:type="dxa"/>
            <w:shd w:val="clear" w:color="auto" w:fill="76923C" w:themeFill="accent3" w:themeFillShade="BF"/>
          </w:tcPr>
          <w:p w14:paraId="1119A04E" w14:textId="77777777" w:rsidR="00797161" w:rsidRPr="00F04828" w:rsidRDefault="00797161"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F04828">
              <w:rPr>
                <w:rFonts w:ascii="Arial" w:eastAsia="Calibri" w:hAnsi="Arial" w:cs="Arial"/>
                <w:bCs w:val="0"/>
                <w:color w:val="FFFFFF" w:themeColor="background1"/>
                <w:sz w:val="20"/>
                <w:szCs w:val="20"/>
                <w:lang w:eastAsia="en-US"/>
              </w:rPr>
              <w:t>ESTADO</w:t>
            </w:r>
          </w:p>
        </w:tc>
        <w:tc>
          <w:tcPr>
            <w:tcW w:w="2552" w:type="dxa"/>
            <w:shd w:val="clear" w:color="auto" w:fill="76923C" w:themeFill="accent3" w:themeFillShade="BF"/>
          </w:tcPr>
          <w:p w14:paraId="1F278F81" w14:textId="77777777" w:rsidR="00797161" w:rsidRPr="00F04828" w:rsidRDefault="00797161"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F04828">
              <w:rPr>
                <w:rFonts w:ascii="Arial" w:eastAsia="Calibri" w:hAnsi="Arial" w:cs="Arial"/>
                <w:bCs w:val="0"/>
                <w:color w:val="FFFFFF" w:themeColor="background1"/>
                <w:sz w:val="20"/>
                <w:szCs w:val="20"/>
                <w:lang w:eastAsia="en-US"/>
              </w:rPr>
              <w:t>LEY</w:t>
            </w:r>
          </w:p>
        </w:tc>
        <w:tc>
          <w:tcPr>
            <w:tcW w:w="12474" w:type="dxa"/>
            <w:shd w:val="clear" w:color="auto" w:fill="76923C" w:themeFill="accent3" w:themeFillShade="BF"/>
          </w:tcPr>
          <w:p w14:paraId="7D6F5856" w14:textId="457E3AEC" w:rsidR="00797161" w:rsidRPr="00797161" w:rsidRDefault="00281BD9"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797161">
              <w:rPr>
                <w:rFonts w:ascii="Arial" w:eastAsia="Century Gothic" w:hAnsi="Arial" w:cs="Arial"/>
                <w:color w:val="FFFFFF"/>
                <w:sz w:val="20"/>
              </w:rPr>
              <w:t>ARTÍCULO (TRANSCRIPCIÓN)</w:t>
            </w:r>
          </w:p>
        </w:tc>
      </w:tr>
      <w:tr w:rsidR="00797161" w:rsidRPr="00F04828" w14:paraId="54AC9B32" w14:textId="7EE7F396" w:rsidTr="00371BF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37DE2E4C" w14:textId="77777777" w:rsidR="00797161" w:rsidRPr="00F04828" w:rsidRDefault="00797161" w:rsidP="00797161">
            <w:pPr>
              <w:ind w:left="360"/>
              <w:jc w:val="center"/>
              <w:rPr>
                <w:rFonts w:ascii="Arial" w:hAnsi="Arial" w:cs="Arial"/>
                <w:sz w:val="20"/>
                <w:szCs w:val="20"/>
              </w:rPr>
            </w:pPr>
            <w:r w:rsidRPr="00F04828">
              <w:rPr>
                <w:rFonts w:ascii="Arial" w:hAnsi="Arial" w:cs="Arial"/>
                <w:sz w:val="20"/>
                <w:szCs w:val="20"/>
              </w:rPr>
              <w:t>1.</w:t>
            </w:r>
          </w:p>
        </w:tc>
        <w:tc>
          <w:tcPr>
            <w:tcW w:w="1559" w:type="dxa"/>
            <w:shd w:val="clear" w:color="auto" w:fill="auto"/>
            <w:vAlign w:val="center"/>
          </w:tcPr>
          <w:p w14:paraId="61A2D912" w14:textId="77777777" w:rsidR="00797161" w:rsidRPr="00F04828" w:rsidRDefault="00797161" w:rsidP="0079716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04828">
              <w:rPr>
                <w:rFonts w:ascii="Arial" w:hAnsi="Arial" w:cs="Arial"/>
                <w:b/>
                <w:sz w:val="20"/>
                <w:szCs w:val="20"/>
              </w:rPr>
              <w:t>QUERÉTARO</w:t>
            </w:r>
          </w:p>
        </w:tc>
        <w:tc>
          <w:tcPr>
            <w:tcW w:w="2552" w:type="dxa"/>
            <w:shd w:val="clear" w:color="auto" w:fill="auto"/>
            <w:vAlign w:val="center"/>
          </w:tcPr>
          <w:p w14:paraId="3F6E81F9" w14:textId="73CA34E2" w:rsidR="00797161" w:rsidRPr="00F04828" w:rsidRDefault="00371BF7" w:rsidP="00797161">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8" w:history="1">
              <w:r w:rsidR="00797161" w:rsidRPr="00F04828">
                <w:rPr>
                  <w:rStyle w:val="Hipervnculo"/>
                  <w:b/>
                  <w:sz w:val="20"/>
                  <w:szCs w:val="20"/>
                </w:rPr>
                <w:t>Ley Electoral del Estado de Querétaro</w:t>
              </w:r>
            </w:hyperlink>
          </w:p>
        </w:tc>
        <w:tc>
          <w:tcPr>
            <w:tcW w:w="12474" w:type="dxa"/>
            <w:shd w:val="clear" w:color="auto" w:fill="auto"/>
          </w:tcPr>
          <w:p w14:paraId="52C93E24" w14:textId="27EB9DDB" w:rsidR="00797161" w:rsidRPr="00797161" w:rsidRDefault="00797161" w:rsidP="002C6D5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
                <w:sz w:val="20"/>
                <w:szCs w:val="20"/>
                <w:lang w:eastAsia="en-US"/>
              </w:rPr>
              <w:t xml:space="preserve">Artículo 34. </w:t>
            </w:r>
            <w:r w:rsidRPr="00797161">
              <w:rPr>
                <w:rFonts w:ascii="Arial" w:eastAsia="Calibri" w:hAnsi="Arial" w:cs="Arial"/>
                <w:bCs/>
                <w:sz w:val="20"/>
                <w:szCs w:val="20"/>
                <w:lang w:eastAsia="en-US"/>
              </w:rPr>
              <w:t>Los partidos políticos están obligados a:</w:t>
            </w:r>
          </w:p>
          <w:p w14:paraId="3A6EE4F5" w14:textId="17396547" w:rsidR="00797161" w:rsidRPr="00797161" w:rsidRDefault="00797161" w:rsidP="002C6D5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70F28868" w14:textId="77777777" w:rsidR="00797161" w:rsidRPr="00797161" w:rsidRDefault="00797161" w:rsidP="002C6D5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rPr>
            </w:pPr>
            <w:r w:rsidRPr="00797161">
              <w:rPr>
                <w:rFonts w:ascii="Arial" w:eastAsia="Calibri" w:hAnsi="Arial" w:cs="Arial"/>
                <w:bCs/>
                <w:sz w:val="20"/>
                <w:szCs w:val="20"/>
              </w:rPr>
              <w:t>XVI. En caso de que el Instituto Nacional delegue la facultad de fiscalización al Instituto, presentar ante éste la información y documentación legal comprobatoria que corresponda, de acuerdo a las Leyes Generales y normatividad aplicable;</w:t>
            </w:r>
          </w:p>
          <w:p w14:paraId="7BD60650" w14:textId="753881B9" w:rsidR="00797161" w:rsidRPr="00797161" w:rsidRDefault="00797161" w:rsidP="002C6D50">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2BC6AD67"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 xml:space="preserve">Artículo 38. </w:t>
            </w:r>
            <w:r w:rsidRPr="00797161">
              <w:rPr>
                <w:rFonts w:ascii="Arial" w:eastAsia="Calibri" w:hAnsi="Arial" w:cs="Arial"/>
                <w:sz w:val="20"/>
                <w:szCs w:val="20"/>
                <w:lang w:eastAsia="en-US"/>
              </w:rPr>
              <w:t>La Ley reconoce como fuentes de financiamiento de los partidos políticos, únicamente el Público y el Privado.</w:t>
            </w:r>
          </w:p>
          <w:p w14:paraId="7FF71D29"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El financiamiento público deberá prevalecer, en todo caso, sobre otros tipos de financiamiento.</w:t>
            </w:r>
          </w:p>
          <w:p w14:paraId="46269871"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Asimismo, los partidos políticos nacionales podrán recibir transferencias de recursos de sus órganos centrales, las cuales se sujetarán a las disposiciones de fiscalización aplicables a los partidos políticos nacionales.</w:t>
            </w:r>
          </w:p>
          <w:p w14:paraId="51B30C47"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 xml:space="preserve">[…] </w:t>
            </w:r>
          </w:p>
          <w:p w14:paraId="5CEAE8D7"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en-US"/>
              </w:rPr>
            </w:pPr>
          </w:p>
          <w:p w14:paraId="3AF37345"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 xml:space="preserve">Artículo 46. </w:t>
            </w:r>
            <w:r w:rsidRPr="00797161">
              <w:rPr>
                <w:rFonts w:ascii="Arial" w:eastAsia="Calibri" w:hAnsi="Arial" w:cs="Arial"/>
                <w:sz w:val="20"/>
                <w:szCs w:val="20"/>
                <w:lang w:eastAsia="en-US"/>
              </w:rPr>
              <w:t>Las asociaciones políticas estatales a través de su dirigencia estatal, deberán acreditar ante el Consejo General, al responsable del órgano interno encargado de las finanzas, quien tendrá las siguientes obligaciones:</w:t>
            </w:r>
          </w:p>
          <w:p w14:paraId="2899FEE0"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6D3A4ED"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706AF1DC"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1CD75FD"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VI.</w:t>
            </w:r>
            <w:r w:rsidRPr="00797161">
              <w:rPr>
                <w:rFonts w:ascii="Arial" w:eastAsia="Calibri" w:hAnsi="Arial" w:cs="Arial"/>
                <w:sz w:val="20"/>
                <w:szCs w:val="20"/>
                <w:lang w:eastAsia="en-US"/>
              </w:rPr>
              <w:t xml:space="preserve"> Cumplir con lo dispuesto en el reglamento de fiscalización del Instituto.</w:t>
            </w:r>
          </w:p>
          <w:p w14:paraId="5234487F"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ACE04F5"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0CA0F629"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47.</w:t>
            </w:r>
            <w:r w:rsidRPr="00797161">
              <w:rPr>
                <w:rFonts w:ascii="Arial" w:eastAsia="Calibri" w:hAnsi="Arial" w:cs="Arial"/>
                <w:sz w:val="20"/>
                <w:szCs w:val="20"/>
                <w:lang w:eastAsia="en-US"/>
              </w:rPr>
              <w:t xml:space="preserve"> La Unidad Técnica de Fiscalización, en un término de tres meses contados a partir del vencimiento del plazo para la presentación de los estados financieros previstos en esta Ley, emitirá su dictamen, mismo que someterá a la consideración del Consejo General.</w:t>
            </w:r>
          </w:p>
          <w:p w14:paraId="16103D7E"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El Consejo General resolverá lo procedente en la sesión ordinaria del mes siguiente a aquel en que sean sometidos a su consideración y, en su caso, podrá iniciar el procedimiento sancionador previsto en esta Ley.</w:t>
            </w:r>
          </w:p>
          <w:p w14:paraId="0813BFE7"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La documentación legal comprobatoria será devuelta a las asociaciones políticas estatales, una vez que cause estado la determinación correspondiente, debiendo conservarla por un periodo de cinco años en términos de las disposiciones fiscales aplicables. Los estados financieros, una vez dictaminados, tendrán el carácter de públicos.</w:t>
            </w:r>
          </w:p>
          <w:p w14:paraId="78B5AC13"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lastRenderedPageBreak/>
              <w:t>Artículo 48.</w:t>
            </w:r>
            <w:r w:rsidRPr="00797161">
              <w:rPr>
                <w:rFonts w:ascii="Arial" w:eastAsia="Calibri" w:hAnsi="Arial" w:cs="Arial"/>
                <w:sz w:val="20"/>
                <w:szCs w:val="20"/>
                <w:lang w:eastAsia="en-US"/>
              </w:rPr>
              <w:t xml:space="preserve"> El Instituto, por conducto de la Unidad Técnica de Fiscalización, podrá requerir a las autoridades estatales y municipales, así como a los particulares, la información, documentos y registros necesarios para compulsarlos con los datos asentados en los estados financieros trimestrales, que presenten las asociaciones políticas estatales y las organizaciones de ciudadanos que pretendan constituirse como partido político local. Las autoridades colaborarán en el cumplimiento de las determinaciones que en materia de fiscalización se dicten.</w:t>
            </w:r>
          </w:p>
          <w:p w14:paraId="6C9746B7"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r w:rsidRPr="00797161">
              <w:rPr>
                <w:rFonts w:ascii="Arial" w:eastAsia="Calibri" w:hAnsi="Arial" w:cs="Arial"/>
                <w:sz w:val="20"/>
                <w:szCs w:val="20"/>
                <w:lang w:eastAsia="en-US"/>
              </w:rPr>
              <w:tab/>
            </w:r>
          </w:p>
          <w:p w14:paraId="0280D764" w14:textId="77777777" w:rsidR="00797161" w:rsidRPr="00797161" w:rsidRDefault="00797161" w:rsidP="0030255F">
            <w:pPr>
              <w:pStyle w:val="NormalWeb"/>
              <w:tabs>
                <w:tab w:val="left" w:pos="810"/>
              </w:tabs>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3D3C303"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61.</w:t>
            </w:r>
            <w:r w:rsidRPr="00797161">
              <w:rPr>
                <w:rFonts w:ascii="Arial" w:eastAsia="Calibri" w:hAnsi="Arial" w:cs="Arial"/>
                <w:sz w:val="20"/>
                <w:szCs w:val="20"/>
                <w:lang w:eastAsia="en-US"/>
              </w:rPr>
              <w:t xml:space="preserve"> El Consejo General tiene competencia para:</w:t>
            </w:r>
          </w:p>
          <w:p w14:paraId="0DED1FF7"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CEFF0FD"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7BFD04D4"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lang w:eastAsia="en-US"/>
              </w:rPr>
            </w:pPr>
          </w:p>
          <w:p w14:paraId="34AF40F0"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 xml:space="preserve">XXIII. </w:t>
            </w:r>
            <w:r w:rsidRPr="00797161">
              <w:rPr>
                <w:rFonts w:ascii="Arial" w:eastAsia="Calibri" w:hAnsi="Arial" w:cs="Arial"/>
                <w:sz w:val="20"/>
                <w:szCs w:val="20"/>
                <w:lang w:eastAsia="en-US"/>
              </w:rPr>
              <w:t>Resolver lo procedente e imponer las sanciones que correspondan respecto de los dictámenes que le presente la Comisión de Fiscalización;</w:t>
            </w:r>
          </w:p>
          <w:p w14:paraId="425AFDD8"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7C92C53"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XXIV.</w:t>
            </w:r>
            <w:r w:rsidRPr="00797161">
              <w:rPr>
                <w:rFonts w:ascii="Arial" w:eastAsia="Calibri" w:hAnsi="Arial" w:cs="Arial"/>
                <w:sz w:val="20"/>
                <w:szCs w:val="20"/>
                <w:lang w:eastAsia="en-US"/>
              </w:rPr>
              <w:t xml:space="preserve"> Ordenar la práctica de auditorías a las asociaciones políticas estatales, a los partidos políticos y candidatos independientes, en caso de que el Instituto Nacional delegue la facultad de fiscalización al Instituto, en términos de las disposiciones aplicables;</w:t>
            </w:r>
          </w:p>
          <w:p w14:paraId="3BB6325C"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7B6D4D4"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1C0FA7F4"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68.</w:t>
            </w:r>
            <w:r w:rsidRPr="00797161">
              <w:rPr>
                <w:rFonts w:ascii="Arial" w:eastAsia="Calibri" w:hAnsi="Arial" w:cs="Arial"/>
                <w:sz w:val="20"/>
                <w:szCs w:val="20"/>
                <w:lang w:eastAsia="en-US"/>
              </w:rPr>
              <w:t xml:space="preserve"> El Consejo General integrará comisiones para la realización de los asuntos de su competencia, con el número de miembros que para cada caso acuerde. El trabajo de las comisiones se sujetará a las disposiciones de esta Ley cuando así lo prevenga y a las competencias y procedimientos que establezca el Reglamento Interior del Instituto.</w:t>
            </w:r>
          </w:p>
          <w:p w14:paraId="1FAAF470"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En todo caso, contará con una Comisión de Fiscalización integrada únicamente por tres Consejeros Electorales, la cual se sujetará a las disposiciones de las Leyes Generales y demás disposiciones que emita el Consejo General del Instituto Nacional; en caso de que el Instituto Nacional delegue la función de fiscalización, esta se realizará de acuerdo con la normatividad aplicable.</w:t>
            </w:r>
          </w:p>
          <w:p w14:paraId="7C703A63"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La Comisión de Fiscalización tendrá las facultades previstas en el reglamento respectivo.</w:t>
            </w:r>
          </w:p>
          <w:p w14:paraId="787CCFAA"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Las facultades de la Comisión de Fiscalización serán ejercidas respetando la plena independencia técnica de la Unidad Técnica de Fiscalización.</w:t>
            </w:r>
          </w:p>
          <w:p w14:paraId="67379595"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 xml:space="preserve">Artículo 73. </w:t>
            </w:r>
            <w:r w:rsidRPr="00797161">
              <w:rPr>
                <w:rFonts w:ascii="Arial" w:eastAsia="Calibri" w:hAnsi="Arial" w:cs="Arial"/>
                <w:sz w:val="20"/>
                <w:szCs w:val="20"/>
                <w:lang w:eastAsia="en-US"/>
              </w:rPr>
              <w:t xml:space="preserve">La Unidad Técnica de Fiscalización es el órgano que tiene a su cargo la recepción y revisión integral de los informes que presenten las asociaciones políticas estatales y las organizaciones de ciudadanos que pretenden constituirse como partido político local, respecto del origen, monto, destino y aplicación de los recursos que reciban por cualquier tipo de financiamiento; así como de los partidos </w:t>
            </w:r>
            <w:r w:rsidRPr="00797161">
              <w:rPr>
                <w:rFonts w:ascii="Arial" w:eastAsia="Calibri" w:hAnsi="Arial" w:cs="Arial"/>
                <w:sz w:val="20"/>
                <w:szCs w:val="20"/>
                <w:lang w:eastAsia="en-US"/>
              </w:rPr>
              <w:lastRenderedPageBreak/>
              <w:t>políticos, cuando el Instituto Nacional delegue esa función; como la de investigar lo relacionado con las quejas y procedimientos oficiosos en materia de rendición de cuentas de los partidos políticos.</w:t>
            </w:r>
          </w:p>
          <w:p w14:paraId="5A725376"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 xml:space="preserve">Las atribuciones de la Unidad Técnica de Fiscalización estarán reguladas en el reglamento interior del Instituto. Tendrá como nivel jerárquico el de una dirección ejecutiva del Instituto. </w:t>
            </w:r>
          </w:p>
          <w:p w14:paraId="6EF8CA01"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74.</w:t>
            </w:r>
            <w:r w:rsidRPr="00797161">
              <w:rPr>
                <w:rFonts w:ascii="Arial" w:eastAsia="Calibri" w:hAnsi="Arial" w:cs="Arial"/>
                <w:sz w:val="20"/>
                <w:szCs w:val="20"/>
                <w:lang w:eastAsia="en-US"/>
              </w:rPr>
              <w:t xml:space="preserve"> Las autoridades y las instituciones públicas y privadas están obligadas a responder a la Unidad Técnica de Fiscalización, las solicitudes de información protegidas por el secreto bancario, fiduciario y fiscal, en un plazo máximo de cinco días después de realizada la solicitud por conducto del Instituto Nacional.</w:t>
            </w:r>
          </w:p>
          <w:p w14:paraId="596A7708" w14:textId="77777777" w:rsidR="00797161" w:rsidRPr="00797161" w:rsidRDefault="00797161" w:rsidP="0030255F">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De igual forma la Unidad Técnica de Fiscalización podrá requerir a los particulares, personas físicas y morales, le proporcionen la información y documentación necesaria para el cumplimiento de sus atribuciones, quienes deberán atender el requerimiento en los plazos señalados en el párrafo inmediato anterior.</w:t>
            </w:r>
          </w:p>
          <w:p w14:paraId="646552AF"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75.</w:t>
            </w:r>
            <w:r w:rsidRPr="00797161">
              <w:rPr>
                <w:rFonts w:ascii="Arial" w:eastAsia="Calibri" w:hAnsi="Arial" w:cs="Arial"/>
                <w:sz w:val="20"/>
                <w:szCs w:val="20"/>
                <w:lang w:eastAsia="en-US"/>
              </w:rPr>
              <w:t xml:space="preserve"> La Dirección Ejecutiva de Organización Electoral, Prerrogativas y Partidos Políticos tiene las siguientes competencias: </w:t>
            </w:r>
          </w:p>
          <w:p w14:paraId="1E21E92E"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15FB48E1"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642797EF"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DFC8E81"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 xml:space="preserve">VIII. Ejecutar los acuerdos en materia de financiamiento y prerrogativas de los candidatos independientes y partidos políticos, que sean de su competencia; </w:t>
            </w:r>
          </w:p>
          <w:p w14:paraId="3CF3CD2B"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012D072" w14:textId="77777777" w:rsidR="00797161" w:rsidRPr="00797161" w:rsidRDefault="00797161" w:rsidP="0030255F">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22099CC4" w14:textId="2A2A78F4"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
                <w:sz w:val="20"/>
                <w:szCs w:val="20"/>
                <w:lang w:eastAsia="en-US"/>
              </w:rPr>
              <w:t xml:space="preserve">Artículo 99. </w:t>
            </w:r>
            <w:r w:rsidRPr="00797161">
              <w:rPr>
                <w:rFonts w:ascii="Arial" w:eastAsia="Calibri" w:hAnsi="Arial" w:cs="Arial"/>
                <w:bCs/>
                <w:sz w:val="20"/>
                <w:szCs w:val="20"/>
                <w:lang w:eastAsia="en-US"/>
              </w:rPr>
              <w:t>La propaganda política o electoral que realicen los partidos políticos, las coaliciones y las precandidaturas, durante las precampañas, será considerada como tal en los mismos términos que la prevista para las de campañas electorales y deberá abstenerse de expresiones que calumnien a las personas o implique violencia política.</w:t>
            </w:r>
          </w:p>
          <w:p w14:paraId="7250B726"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La propaganda que contravenga lo anterior podrá ser retirada o suspendida mediante el procedimiento sancionador correspondiente.</w:t>
            </w:r>
          </w:p>
          <w:p w14:paraId="18DB362F"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Durante la precampaña está prohibido el otorgamiento de artículos promocionales utilitarios, así como la promoción y publicidad de la precandidatura, de forma fija o móvil, en anuncios espectaculares gráficos de gran formato, lonas, bardas, pantallas, vehículos, cápsulas de cine, y otras análogas. La propaganda de precampaña deberá señalar de manera expresa, por medios gráficos o auditivos, la calidad de la precandidatura que es promovida.</w:t>
            </w:r>
          </w:p>
          <w:p w14:paraId="050A3890"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Las precampañas son el conjunto de actividades que realizan los partidos políticos, su militancia y las precandidaturas, llevadas a cabo en un proceso de selección interno de un partido político, con la finalidad de obtener la postulación para contender por los cargos de elección popular.</w:t>
            </w:r>
          </w:p>
          <w:p w14:paraId="53F18C4A"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lastRenderedPageBreak/>
              <w:t>Precandidato o precandidata, es quien pretende su postulación por un partido político como titular de una candidatura a un cargo de elección popular, conforme a esta Ley, las Leyes Generales aplicables en la materia y a los estatutos del partido político, en el proceso de selección interna para tal efecto.</w:t>
            </w:r>
          </w:p>
          <w:p w14:paraId="3246DDD4"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En todos los actos y actividades, deberá manifestarse expresamente que se trata del procedimiento interno de selección de candidaturas.</w:t>
            </w:r>
          </w:p>
          <w:p w14:paraId="4495B168" w14:textId="3B718D2B"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 xml:space="preserve">La preparación de procesos internos de los partidos </w:t>
            </w:r>
            <w:r w:rsidR="00371BF7" w:rsidRPr="00797161">
              <w:rPr>
                <w:rFonts w:ascii="Arial" w:eastAsia="Calibri" w:hAnsi="Arial" w:cs="Arial"/>
                <w:bCs/>
                <w:sz w:val="20"/>
                <w:szCs w:val="20"/>
                <w:lang w:eastAsia="en-US"/>
              </w:rPr>
              <w:t>políticos</w:t>
            </w:r>
            <w:bookmarkStart w:id="0" w:name="_GoBack"/>
            <w:bookmarkEnd w:id="0"/>
            <w:r w:rsidRPr="00797161">
              <w:rPr>
                <w:rFonts w:ascii="Arial" w:eastAsia="Calibri" w:hAnsi="Arial" w:cs="Arial"/>
                <w:bCs/>
                <w:sz w:val="20"/>
                <w:szCs w:val="20"/>
                <w:lang w:eastAsia="en-US"/>
              </w:rPr>
              <w:t xml:space="preserve"> deberá desahogarse quince días previos al inicio de las precampañas.</w:t>
            </w:r>
          </w:p>
          <w:p w14:paraId="1A58A3BA"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El periodo de precampañas iniciará el quince de enero del año que corresponda a las elecciones y tendrá una duración continua de hasta treinta días naturales.</w:t>
            </w:r>
          </w:p>
          <w:p w14:paraId="3F025833"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El Consejo General podrá ajustar las fechas de inicio y término de las precampañas para adecuarlas al calendario que determine el Instituto Nacional para la elección federal.</w:t>
            </w:r>
          </w:p>
          <w:p w14:paraId="57800C49"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Una vez que el partido político apruebe el registro interno de sus precandidaturas, deberá comunicarlo al Consejo General, a más tardar tres días naturales posteriores a su aprobación. Cuando un partido tenga prevista la celebración de una jornada de consulta directa, ésta se realizará el mismo día para todas las precandidaturas.</w:t>
            </w:r>
          </w:p>
          <w:p w14:paraId="2D31514D"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Las personas aspirantes y/o precandidatas a candidaturas a cargos de elección popular que participen en los procesos de selección interna, convocadas por cada partido, sólo podrán realizar actividades de proselitismo o difusión de propaganda en la búsqueda del voto, en los plazos establecidos en este artículo.</w:t>
            </w:r>
          </w:p>
          <w:p w14:paraId="60C780B4"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Los partidos políticos harán uso del tiempo en radio y televisión que conforme a la Ley General les corresponda para la difusión de los procesos de selección interna de candidaturas a cargos de elección popular, de conformidad con las reglas y pautas que determine el Instituto Nacional. Queda prohibido a las personas precandidatas a candidaturas a cargos de elección popular, en todo tiempo, la contratación o adquisición de propaganda o cualquier otra forma de promoción personal en radio y televisión. La violación a esta norma se sancionará con la negativa de registro como titular de una precandidatura o, en su caso, con la cancelación de dicho registro. De comprobarse la violación a esta norma en fecha posterior a la de postulación de la candidatura por el partido de que se trate, el Instituto negará o cancelará el registro de la persona infractora.</w:t>
            </w:r>
          </w:p>
          <w:p w14:paraId="2C471EF7" w14:textId="77777777" w:rsidR="00797161" w:rsidRPr="00797161" w:rsidRDefault="00797161" w:rsidP="00FB79D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Para el cumplimiento de las disposiciones contenidas en este artículo, el Consejo General vigilará:</w:t>
            </w:r>
          </w:p>
          <w:p w14:paraId="645C5A5C" w14:textId="77777777" w:rsidR="00797161" w:rsidRPr="00797161" w:rsidRDefault="00797161" w:rsidP="00976D9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Para el cumplimiento de las disposiciones contenidas en este artículo, el Consejo General vigilará:</w:t>
            </w:r>
          </w:p>
          <w:p w14:paraId="4CF3E808" w14:textId="77777777" w:rsidR="00797161" w:rsidRPr="00797161" w:rsidRDefault="00797161" w:rsidP="00B53E4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75360442" w14:textId="77777777" w:rsidR="00797161" w:rsidRPr="00797161" w:rsidRDefault="00797161" w:rsidP="00976D9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 xml:space="preserve">III. En caso de que el Consejo General del Instituto Nacional delegue en el Instituto la facultad de fiscalización, en auxilio de la fiscalización de los recursos empleados por los partidos políticos o coaliciones en las precampañas electorales, el Consejo General acordará la </w:t>
            </w:r>
            <w:r w:rsidRPr="00797161">
              <w:rPr>
                <w:rFonts w:ascii="Arial" w:eastAsia="Calibri" w:hAnsi="Arial" w:cs="Arial"/>
                <w:bCs/>
                <w:sz w:val="20"/>
                <w:szCs w:val="20"/>
                <w:lang w:eastAsia="en-US"/>
              </w:rPr>
              <w:lastRenderedPageBreak/>
              <w:t>implementación de un monitoreo para vigilar que los gastos se ajusten a los topes establecidos, el cual podrá hacerse con recursos propios o a través de la contratación de empresas especializadas en el ramo.</w:t>
            </w:r>
          </w:p>
          <w:p w14:paraId="63768103" w14:textId="388C1A96" w:rsidR="00797161" w:rsidRPr="00797161" w:rsidRDefault="00797161" w:rsidP="00976D9A">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6426C73E" w14:textId="77777777" w:rsidR="00797161" w:rsidRPr="00797161" w:rsidRDefault="00797161" w:rsidP="00A92CE6">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b/>
                <w:sz w:val="20"/>
                <w:szCs w:val="20"/>
                <w:lang w:eastAsia="en-US"/>
              </w:rPr>
              <w:t>Artículo 102.</w:t>
            </w:r>
            <w:r w:rsidRPr="00797161">
              <w:rPr>
                <w:rFonts w:ascii="Arial" w:eastAsia="Calibri" w:hAnsi="Arial" w:cs="Arial"/>
                <w:sz w:val="20"/>
                <w:szCs w:val="20"/>
                <w:lang w:eastAsia="en-US"/>
              </w:rPr>
              <w:t xml:space="preserve"> Los gastos que realicen los candidatos independientes, partidos políticos, las coaliciones y sus candidatos en campaña, no podrán rebasar los topes que para cada elección acuerde el Consejo General.</w:t>
            </w:r>
          </w:p>
          <w:p w14:paraId="3EB680F9" w14:textId="77777777" w:rsidR="00797161" w:rsidRPr="00797161" w:rsidRDefault="00797161" w:rsidP="00A92CE6">
            <w:pPr>
              <w:pStyle w:val="NormalWeb"/>
              <w:spacing w:after="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Para los efectos de este artículo quedarán comprendidos dentro de los topes de gastos los previstos en las disposiciones aplicables.</w:t>
            </w:r>
          </w:p>
          <w:p w14:paraId="7A7E9610"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El Consejo General, durante los primeros quince días del mes de enero del año de la elección, determinará los topes de gastos de campaña aplicando las siguientes reglas:</w:t>
            </w:r>
          </w:p>
          <w:p w14:paraId="654FDA32"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I. El tope de gastos de campaña para la elección de Gobernador, será una cantidad equivalente al cuarenta por ciento del financiamiento público para actividades ordinarias establecido para todos los partidos políticos en el año de la elección;</w:t>
            </w:r>
          </w:p>
          <w:p w14:paraId="4372B011"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II. El tope de gastos de campaña para la elección de cada diputado de mayoría relativa y de representación proporcional, será un monto equivalente al que resulte de dividir la cantidad determinada conforme a la fracción I de este artículo, entre quince; y</w:t>
            </w:r>
          </w:p>
          <w:p w14:paraId="21D95857"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III. El tope de gastos de campaña para la elección de cada uno los Ayuntamientos, será el que resulte de aplicar el porcentaje que represente el número de ciudadanos inscritos en el padrón electoral del municipio que corresponda, con relación al padrón electoral del Estado actualizada, a la cantidad señalada en la fracción I de este artículo, sumándole la mitad del monto resultante en cada uno de ellos; el resultado será el tope de gastos de campaña para el municipio respectivo.</w:t>
            </w:r>
          </w:p>
          <w:p w14:paraId="2A1EC51E"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No se considerarán dentro de los topes de campaña, los gastos que realicen los partidos políticos para su operación ordinaria y para el sostenimiento de sus órganos directivos y sus organizaciones.</w:t>
            </w:r>
          </w:p>
          <w:p w14:paraId="797CDC9F" w14:textId="77777777"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Cuando un candidato de partido político o coalición obtenga su registro como candidato a diputado por ambos principios, deberá respetar los topes establecidos en esta ley, pudiendo solo erogar y comprobar gastos por el tope asignado a la candidatura del principio de mayoría relativa.</w:t>
            </w:r>
          </w:p>
          <w:p w14:paraId="4628BFF7" w14:textId="77777777" w:rsidR="00797161" w:rsidRPr="00797161" w:rsidRDefault="00797161" w:rsidP="00A92CE6">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 xml:space="preserve">En caso de que el Consejo General del Instituto Nacional delegue en el Instituto la facultad de fiscalización, en auxilio de la fiscalización de los recursos empleados por los candidatos independientes, partidos políticos o coaliciones en las campañas electorales, el Consejo General acordará la implementación de un monitoreo para vigilar que los gastos se ajusten a los topes establecidos, el cual podrá hacerse con recursos propios o a través de la contratación de empresas especializadas en el ramo, debiendo publicarse el resultado en la página electrónica del Instituto. </w:t>
            </w:r>
          </w:p>
          <w:p w14:paraId="2459387B" w14:textId="77777777" w:rsidR="00797161" w:rsidRPr="00797161" w:rsidRDefault="00797161" w:rsidP="00A92CE6">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0DD880AE" w14:textId="77777777" w:rsidR="00797161" w:rsidRPr="00797161" w:rsidRDefault="00797161" w:rsidP="00A92CE6">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797161">
              <w:rPr>
                <w:rFonts w:ascii="Arial" w:eastAsia="Calibri" w:hAnsi="Arial" w:cs="Arial"/>
                <w:sz w:val="20"/>
                <w:szCs w:val="20"/>
                <w:lang w:eastAsia="en-US"/>
              </w:rPr>
              <w:t>[…]</w:t>
            </w:r>
          </w:p>
          <w:p w14:paraId="23610F54" w14:textId="77777777"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
                <w:sz w:val="20"/>
                <w:szCs w:val="20"/>
                <w:lang w:eastAsia="en-US"/>
              </w:rPr>
              <w:lastRenderedPageBreak/>
              <w:t>Artículo 158.</w:t>
            </w:r>
            <w:r w:rsidRPr="00797161">
              <w:rPr>
                <w:rFonts w:ascii="Arial" w:eastAsia="Calibri" w:hAnsi="Arial" w:cs="Arial"/>
                <w:bCs/>
                <w:sz w:val="20"/>
                <w:szCs w:val="20"/>
                <w:lang w:eastAsia="en-US"/>
              </w:rPr>
              <w:t xml:space="preserve"> La asociación política estatal que pierda su registro, deberá entregar al Instituto el remanente de su balance general y sus activos, mediante el procedimiento de liquidación que se prevea en el reglamento respectivo, conforme a las bases siguientes:</w:t>
            </w:r>
          </w:p>
          <w:p w14:paraId="57EFC65F" w14:textId="77777777"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I. El procedimiento estará a cargo de la Comisión de Fiscalización y de la Unidad Técnica de Fiscalización por conducto del visitador o liquidador que al efecto se designe;</w:t>
            </w:r>
          </w:p>
          <w:p w14:paraId="44523A9C" w14:textId="77777777"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II. El procedimiento constará de dos periodos: el de prevención a cargo del visitador; este periodo iniciará cuando se actualicen los supuestos previstos sobre la pérdida del registro y concluirá cuando la autoridad competente determine en definitiva. El periodo de liquidación, a cargo del liquidador, que iniciará con la notificación que la Unidad Técnica de Fiscalización haga a la asociación política estatal, cuya pérdida de registro se declare por determinación o resolución definitiva; este periodo concluirá con la remisión del informe respectivo al Consejo General; y</w:t>
            </w:r>
          </w:p>
          <w:p w14:paraId="74A66D85" w14:textId="77777777"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III. El visitador y el liquidador tendrán las atribuciones y obligaciones previstas en esta Ley, el Reglamento de Fiscalización del Instituto y los acuerdos emanados del Consejo General.</w:t>
            </w:r>
          </w:p>
          <w:p w14:paraId="07ECC3B2" w14:textId="25715C46"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En caso de remanente de bienes, éstos se adjudicarán a favor del Estado, ingresándolos a través de la Secretaría de Planeación y Finanzas del Poder Ejecutivo del Estado de Querétaro.</w:t>
            </w:r>
          </w:p>
          <w:p w14:paraId="29D5F8B6" w14:textId="77777777" w:rsidR="00797161" w:rsidRPr="00797161" w:rsidRDefault="00797161" w:rsidP="00B219B1">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
                <w:sz w:val="20"/>
                <w:szCs w:val="20"/>
                <w:lang w:eastAsia="en-US"/>
              </w:rPr>
              <w:t>Artículo 194.</w:t>
            </w:r>
            <w:r w:rsidRPr="00797161">
              <w:rPr>
                <w:rFonts w:ascii="Arial" w:eastAsia="Calibri" w:hAnsi="Arial" w:cs="Arial"/>
                <w:bCs/>
                <w:sz w:val="20"/>
                <w:szCs w:val="20"/>
                <w:lang w:eastAsia="en-US"/>
              </w:rPr>
              <w:t xml:space="preserve"> Las personas aspirantes a candidaturas independientes deberán cumplir con las obligaciones inherentes a los partidos políticos y candidaturas, en términos de esta Ley.</w:t>
            </w:r>
          </w:p>
          <w:p w14:paraId="08EDB0FD" w14:textId="43E1616C" w:rsidR="00797161" w:rsidRPr="00797161" w:rsidRDefault="00797161" w:rsidP="00B219B1">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Además, deberán cumplir con las obligaciones siguientes:</w:t>
            </w:r>
          </w:p>
          <w:p w14:paraId="500AE1BA" w14:textId="1A5339DE"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05DFB49F" w14:textId="5006FD63"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VIII. Presentar los estados financieros y la documentación justificativa y comprobatoria respecto de los gastos erogados con motivo de la obtención del respaldo de la ciudadanía, en términos de lo dispuesto en el Reglamento de Fiscalización del Instituto Nacional, así como la demás normatividad aplicable.</w:t>
            </w:r>
          </w:p>
          <w:p w14:paraId="45D436FF" w14:textId="7DF470C8" w:rsidR="00797161" w:rsidRPr="00797161" w:rsidRDefault="00797161" w:rsidP="00231632">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1FD9F2C8" w14:textId="77777777" w:rsidR="00797161" w:rsidRPr="00797161" w:rsidRDefault="00797161" w:rsidP="00523B8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
                <w:sz w:val="20"/>
                <w:szCs w:val="20"/>
                <w:lang w:eastAsia="en-US"/>
              </w:rPr>
              <w:t>Artículo 213.</w:t>
            </w:r>
            <w:r w:rsidRPr="00797161">
              <w:rPr>
                <w:rFonts w:ascii="Arial" w:eastAsia="Calibri" w:hAnsi="Arial" w:cs="Arial"/>
                <w:bCs/>
                <w:sz w:val="20"/>
                <w:szCs w:val="20"/>
                <w:lang w:eastAsia="en-US"/>
              </w:rPr>
              <w:t xml:space="preserve"> Constituyen infracciones de los partidos políticos, coaliciones, asociaciones políticas estatales y candidaturas independientes, a la presente Ley:</w:t>
            </w:r>
          </w:p>
          <w:p w14:paraId="4A0843D0" w14:textId="05ABFE47" w:rsidR="00797161" w:rsidRPr="00797161" w:rsidRDefault="00797161" w:rsidP="00523B8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p w14:paraId="3947730A" w14:textId="77777777" w:rsidR="00797161" w:rsidRPr="00797161" w:rsidRDefault="00797161" w:rsidP="00523B8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lastRenderedPageBreak/>
              <w:t>II. El incumplimiento de las obligaciones o la infracción de las prohibiciones y topes que en materia de financiamiento y fiscalización les impone las Leyes Generales y la presente Ley;</w:t>
            </w:r>
          </w:p>
          <w:p w14:paraId="1624184A" w14:textId="77777777" w:rsidR="00797161" w:rsidRPr="00797161" w:rsidRDefault="00797161" w:rsidP="00523B8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III. No presentar en tiempo y forma los informes a que esta Ley se refiere y aquellos en materia de fiscalización, en caso de que sea delegada dicha facultad;</w:t>
            </w:r>
          </w:p>
          <w:p w14:paraId="69F51EA9" w14:textId="77777777" w:rsidR="00797161" w:rsidRPr="00797161" w:rsidRDefault="00797161" w:rsidP="00523B8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IV. Sobrepasar los topes a los gastos señalados por esta Ley;</w:t>
            </w:r>
          </w:p>
          <w:p w14:paraId="2378B901" w14:textId="63CE380B" w:rsidR="00797161" w:rsidRPr="00797161" w:rsidRDefault="00797161" w:rsidP="00A92CE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Cs/>
                <w:sz w:val="20"/>
                <w:szCs w:val="20"/>
                <w:lang w:eastAsia="en-US"/>
              </w:rPr>
            </w:pPr>
            <w:r w:rsidRPr="00797161">
              <w:rPr>
                <w:rFonts w:ascii="Arial" w:eastAsia="Calibri" w:hAnsi="Arial" w:cs="Arial"/>
                <w:bCs/>
                <w:sz w:val="20"/>
                <w:szCs w:val="20"/>
                <w:lang w:eastAsia="en-US"/>
              </w:rPr>
              <w:t>[…]</w:t>
            </w:r>
          </w:p>
        </w:tc>
      </w:tr>
      <w:tr w:rsidR="00797161" w:rsidRPr="00F04828" w14:paraId="58EBBB4A" w14:textId="77777777" w:rsidTr="00371BF7">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03FA42BE" w14:textId="256421DF" w:rsidR="00797161" w:rsidRPr="00F04828" w:rsidRDefault="00797161" w:rsidP="00797161">
            <w:pPr>
              <w:ind w:left="360"/>
              <w:jc w:val="center"/>
              <w:rPr>
                <w:rFonts w:ascii="Arial" w:hAnsi="Arial" w:cs="Arial"/>
                <w:sz w:val="20"/>
                <w:szCs w:val="20"/>
              </w:rPr>
            </w:pPr>
            <w:r w:rsidRPr="00F04828">
              <w:rPr>
                <w:rFonts w:ascii="Arial" w:hAnsi="Arial" w:cs="Arial"/>
                <w:sz w:val="20"/>
                <w:szCs w:val="20"/>
              </w:rPr>
              <w:lastRenderedPageBreak/>
              <w:t>2</w:t>
            </w:r>
          </w:p>
        </w:tc>
        <w:tc>
          <w:tcPr>
            <w:tcW w:w="1559" w:type="dxa"/>
            <w:vAlign w:val="center"/>
          </w:tcPr>
          <w:p w14:paraId="32DF2633" w14:textId="0D742A2D" w:rsidR="00797161" w:rsidRPr="00F04828" w:rsidRDefault="00797161" w:rsidP="007971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04828">
              <w:rPr>
                <w:rFonts w:ascii="Arial" w:hAnsi="Arial" w:cs="Arial"/>
                <w:b/>
                <w:sz w:val="20"/>
                <w:szCs w:val="20"/>
              </w:rPr>
              <w:t>QUERÉTARO</w:t>
            </w:r>
          </w:p>
        </w:tc>
        <w:tc>
          <w:tcPr>
            <w:tcW w:w="15026" w:type="dxa"/>
            <w:gridSpan w:val="2"/>
          </w:tcPr>
          <w:p w14:paraId="60735A42" w14:textId="77777777" w:rsidR="00797161" w:rsidRPr="00797161" w:rsidRDefault="00797161" w:rsidP="0079716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797161">
              <w:rPr>
                <w:rFonts w:ascii="Arial" w:hAnsi="Arial" w:cs="Arial"/>
                <w:b/>
                <w:bCs/>
              </w:rPr>
              <w:t>Reglamentos en materia de Fiscalización</w:t>
            </w:r>
          </w:p>
          <w:p w14:paraId="445A77AF" w14:textId="77777777" w:rsidR="00797161" w:rsidRPr="00797161" w:rsidRDefault="00797161" w:rsidP="00797161">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5DAE4904" w14:textId="77777777" w:rsidR="00797161" w:rsidRPr="00797161" w:rsidRDefault="00371BF7" w:rsidP="0079716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797161" w:rsidRPr="00797161">
                <w:rPr>
                  <w:rStyle w:val="Hipervnculo"/>
                  <w:b/>
                  <w:sz w:val="20"/>
                  <w:szCs w:val="20"/>
                </w:rPr>
                <w:t xml:space="preserve">Reglamento de Fiscalización del Instituto Electoral del Estado de Querétaro </w:t>
              </w:r>
            </w:hyperlink>
            <w:r w:rsidR="00797161" w:rsidRPr="00797161">
              <w:rPr>
                <w:rStyle w:val="Hipervnculo"/>
                <w:sz w:val="20"/>
                <w:szCs w:val="20"/>
              </w:rPr>
              <w:t xml:space="preserve"> </w:t>
            </w:r>
          </w:p>
          <w:p w14:paraId="06DC9FD1" w14:textId="52327DAC" w:rsidR="00797161" w:rsidRPr="00797161" w:rsidRDefault="00371BF7" w:rsidP="00797161">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20"/>
                <w:szCs w:val="20"/>
                <w:lang w:eastAsia="en-US"/>
              </w:rPr>
            </w:pPr>
            <w:hyperlink r:id="rId10" w:history="1">
              <w:r w:rsidR="00797161" w:rsidRPr="00797161">
                <w:rPr>
                  <w:rStyle w:val="Hipervnculo"/>
                  <w:b/>
                  <w:sz w:val="20"/>
                  <w:szCs w:val="20"/>
                </w:rPr>
                <w:t>Reglamento Interior del Instituto Electoral del Estado de Querétaro</w:t>
              </w:r>
            </w:hyperlink>
          </w:p>
        </w:tc>
      </w:tr>
    </w:tbl>
    <w:p w14:paraId="180A76E1" w14:textId="77777777" w:rsidR="000E7006" w:rsidRPr="00FF0B07" w:rsidRDefault="000E7006" w:rsidP="00B32E57">
      <w:pPr>
        <w:spacing w:after="0" w:line="240" w:lineRule="auto"/>
        <w:contextualSpacing/>
        <w:rPr>
          <w:rFonts w:ascii="Century Gothic" w:hAnsi="Century Gothic" w:cs="Arial"/>
          <w:b/>
          <w:bCs/>
          <w:sz w:val="20"/>
          <w:szCs w:val="20"/>
        </w:rPr>
      </w:pPr>
    </w:p>
    <w:sectPr w:rsidR="000E7006" w:rsidRPr="00FF0B07" w:rsidSect="00014A68">
      <w:headerReference w:type="default" r:id="rId11"/>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23F9" w14:textId="77777777" w:rsidR="00FB5A41" w:rsidRDefault="00FB5A41" w:rsidP="0066719E">
      <w:pPr>
        <w:spacing w:after="0" w:line="240" w:lineRule="auto"/>
      </w:pPr>
      <w:r>
        <w:separator/>
      </w:r>
    </w:p>
  </w:endnote>
  <w:endnote w:type="continuationSeparator" w:id="0">
    <w:p w14:paraId="7ED69B34" w14:textId="77777777" w:rsidR="00FB5A41" w:rsidRDefault="00FB5A41"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F4949" w14:textId="77777777" w:rsidR="00FB5A41" w:rsidRDefault="00FB5A41" w:rsidP="0066719E">
      <w:pPr>
        <w:spacing w:after="0" w:line="240" w:lineRule="auto"/>
      </w:pPr>
      <w:r>
        <w:separator/>
      </w:r>
    </w:p>
  </w:footnote>
  <w:footnote w:type="continuationSeparator" w:id="0">
    <w:p w14:paraId="58220DF2" w14:textId="77777777" w:rsidR="00FB5A41" w:rsidRDefault="00FB5A41"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7E66" w14:textId="02C41619" w:rsidR="00371BF7" w:rsidRDefault="00371BF7" w:rsidP="00371BF7">
    <w:pPr>
      <w:ind w:right="115"/>
      <w:jc w:val="right"/>
      <w:rPr>
        <w:rFonts w:ascii="Arial" w:eastAsia="Arial" w:hAnsi="Arial" w:cs="Arial"/>
        <w:b/>
        <w:i/>
        <w:sz w:val="18"/>
      </w:rPr>
    </w:pPr>
    <w:r>
      <w:rPr>
        <w:noProof/>
      </w:rPr>
      <w:drawing>
        <wp:anchor distT="0" distB="0" distL="0" distR="0" simplePos="0" relativeHeight="251659264" behindDoc="0" locked="0" layoutInCell="1" allowOverlap="1" wp14:anchorId="5A26443B" wp14:editId="4B38606E">
          <wp:simplePos x="0" y="0"/>
          <wp:positionH relativeFrom="page">
            <wp:posOffset>984856</wp:posOffset>
          </wp:positionH>
          <wp:positionV relativeFrom="paragraph">
            <wp:posOffset>-378283</wp:posOffset>
          </wp:positionV>
          <wp:extent cx="1040725" cy="10012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77927599" w14:textId="3D065E44" w:rsidR="00371BF7" w:rsidRDefault="00371BF7" w:rsidP="00371BF7">
    <w:pPr>
      <w:ind w:right="115"/>
      <w:jc w:val="right"/>
      <w:rPr>
        <w:rFonts w:ascii="Arial" w:eastAsia="Arial" w:hAnsi="Arial" w:cs="Arial"/>
        <w:b/>
        <w:i/>
        <w:sz w:val="18"/>
      </w:rPr>
    </w:pPr>
  </w:p>
  <w:p w14:paraId="60E3A52B" w14:textId="0E7A3EB3" w:rsidR="00AF1061" w:rsidRDefault="00AF1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1174"/>
    <w:rsid w:val="000736B5"/>
    <w:rsid w:val="0007579E"/>
    <w:rsid w:val="00090B3F"/>
    <w:rsid w:val="0009603A"/>
    <w:rsid w:val="00096C28"/>
    <w:rsid w:val="000A66A3"/>
    <w:rsid w:val="000A6EC7"/>
    <w:rsid w:val="000A7990"/>
    <w:rsid w:val="000B72EB"/>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7D83"/>
    <w:rsid w:val="00162CBA"/>
    <w:rsid w:val="00172FEC"/>
    <w:rsid w:val="00174239"/>
    <w:rsid w:val="00180C66"/>
    <w:rsid w:val="00183254"/>
    <w:rsid w:val="00190C20"/>
    <w:rsid w:val="001B5C53"/>
    <w:rsid w:val="001C3D12"/>
    <w:rsid w:val="001C604C"/>
    <w:rsid w:val="001C7E8D"/>
    <w:rsid w:val="001D10C2"/>
    <w:rsid w:val="001F011D"/>
    <w:rsid w:val="001F5D22"/>
    <w:rsid w:val="001F64DB"/>
    <w:rsid w:val="00205382"/>
    <w:rsid w:val="002114E7"/>
    <w:rsid w:val="00216013"/>
    <w:rsid w:val="00220986"/>
    <w:rsid w:val="00231632"/>
    <w:rsid w:val="002322EE"/>
    <w:rsid w:val="00232E4D"/>
    <w:rsid w:val="00235430"/>
    <w:rsid w:val="00236029"/>
    <w:rsid w:val="00241317"/>
    <w:rsid w:val="002420B2"/>
    <w:rsid w:val="002427EA"/>
    <w:rsid w:val="002535CA"/>
    <w:rsid w:val="00253C9A"/>
    <w:rsid w:val="00275B7E"/>
    <w:rsid w:val="00281BD9"/>
    <w:rsid w:val="00283D06"/>
    <w:rsid w:val="00291643"/>
    <w:rsid w:val="00294B77"/>
    <w:rsid w:val="002A0AB8"/>
    <w:rsid w:val="002A3B77"/>
    <w:rsid w:val="002B1137"/>
    <w:rsid w:val="002C1411"/>
    <w:rsid w:val="002C1A46"/>
    <w:rsid w:val="002C6D50"/>
    <w:rsid w:val="002C7483"/>
    <w:rsid w:val="002D0EC8"/>
    <w:rsid w:val="002D1134"/>
    <w:rsid w:val="002D2571"/>
    <w:rsid w:val="002D3784"/>
    <w:rsid w:val="002D6F78"/>
    <w:rsid w:val="002D6FC4"/>
    <w:rsid w:val="002E3111"/>
    <w:rsid w:val="002F17E9"/>
    <w:rsid w:val="002F6414"/>
    <w:rsid w:val="002F6B8B"/>
    <w:rsid w:val="0030255F"/>
    <w:rsid w:val="003032DD"/>
    <w:rsid w:val="003070A2"/>
    <w:rsid w:val="00310301"/>
    <w:rsid w:val="003114AD"/>
    <w:rsid w:val="003159FF"/>
    <w:rsid w:val="00317706"/>
    <w:rsid w:val="0032427F"/>
    <w:rsid w:val="00333E04"/>
    <w:rsid w:val="003347D9"/>
    <w:rsid w:val="00343740"/>
    <w:rsid w:val="003553BB"/>
    <w:rsid w:val="003557F6"/>
    <w:rsid w:val="00356318"/>
    <w:rsid w:val="00362061"/>
    <w:rsid w:val="00367C8D"/>
    <w:rsid w:val="00371366"/>
    <w:rsid w:val="00371BF7"/>
    <w:rsid w:val="00371CD3"/>
    <w:rsid w:val="00372A97"/>
    <w:rsid w:val="00376467"/>
    <w:rsid w:val="00381411"/>
    <w:rsid w:val="003840D9"/>
    <w:rsid w:val="00390190"/>
    <w:rsid w:val="003959AF"/>
    <w:rsid w:val="003A441C"/>
    <w:rsid w:val="003A5324"/>
    <w:rsid w:val="003A5C9E"/>
    <w:rsid w:val="003B6AF2"/>
    <w:rsid w:val="003C360B"/>
    <w:rsid w:val="003C427A"/>
    <w:rsid w:val="003D5BE1"/>
    <w:rsid w:val="003E5C0B"/>
    <w:rsid w:val="003F02F5"/>
    <w:rsid w:val="003F4DEF"/>
    <w:rsid w:val="003F539B"/>
    <w:rsid w:val="003F5B01"/>
    <w:rsid w:val="003F68C4"/>
    <w:rsid w:val="003F71FF"/>
    <w:rsid w:val="00403A5F"/>
    <w:rsid w:val="00406EC5"/>
    <w:rsid w:val="00417A73"/>
    <w:rsid w:val="00421C6F"/>
    <w:rsid w:val="00424E79"/>
    <w:rsid w:val="0042675C"/>
    <w:rsid w:val="00431F2F"/>
    <w:rsid w:val="004379B0"/>
    <w:rsid w:val="00443800"/>
    <w:rsid w:val="00447B23"/>
    <w:rsid w:val="004668FF"/>
    <w:rsid w:val="00473536"/>
    <w:rsid w:val="00474E2C"/>
    <w:rsid w:val="004760EE"/>
    <w:rsid w:val="004764F6"/>
    <w:rsid w:val="00480923"/>
    <w:rsid w:val="004831EC"/>
    <w:rsid w:val="004837BB"/>
    <w:rsid w:val="004876F0"/>
    <w:rsid w:val="0049137A"/>
    <w:rsid w:val="00494ADA"/>
    <w:rsid w:val="00496CEC"/>
    <w:rsid w:val="004A4252"/>
    <w:rsid w:val="004A7093"/>
    <w:rsid w:val="004B208A"/>
    <w:rsid w:val="004B3A6B"/>
    <w:rsid w:val="004B4CEC"/>
    <w:rsid w:val="004C3146"/>
    <w:rsid w:val="004C54B0"/>
    <w:rsid w:val="004C54DD"/>
    <w:rsid w:val="004C6030"/>
    <w:rsid w:val="004D63EE"/>
    <w:rsid w:val="004D6F56"/>
    <w:rsid w:val="004F0F19"/>
    <w:rsid w:val="00500CFB"/>
    <w:rsid w:val="00506F0C"/>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30DC"/>
    <w:rsid w:val="005537DF"/>
    <w:rsid w:val="0055796C"/>
    <w:rsid w:val="00557AD5"/>
    <w:rsid w:val="00557FC4"/>
    <w:rsid w:val="00571690"/>
    <w:rsid w:val="00574B4A"/>
    <w:rsid w:val="0058130E"/>
    <w:rsid w:val="00583A48"/>
    <w:rsid w:val="00583A81"/>
    <w:rsid w:val="00583A86"/>
    <w:rsid w:val="00590467"/>
    <w:rsid w:val="00595C35"/>
    <w:rsid w:val="005A6AF5"/>
    <w:rsid w:val="005B07D0"/>
    <w:rsid w:val="005B5F8F"/>
    <w:rsid w:val="005C5AC1"/>
    <w:rsid w:val="005C6F32"/>
    <w:rsid w:val="005C779A"/>
    <w:rsid w:val="005D4851"/>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959"/>
    <w:rsid w:val="00653B9C"/>
    <w:rsid w:val="006608DA"/>
    <w:rsid w:val="00666328"/>
    <w:rsid w:val="0066719E"/>
    <w:rsid w:val="00667641"/>
    <w:rsid w:val="00671124"/>
    <w:rsid w:val="006720C0"/>
    <w:rsid w:val="00674D06"/>
    <w:rsid w:val="00675EF1"/>
    <w:rsid w:val="006806E3"/>
    <w:rsid w:val="00692FF5"/>
    <w:rsid w:val="00693291"/>
    <w:rsid w:val="006939EF"/>
    <w:rsid w:val="00697E23"/>
    <w:rsid w:val="006A0765"/>
    <w:rsid w:val="006B5493"/>
    <w:rsid w:val="006B668C"/>
    <w:rsid w:val="006C0FF1"/>
    <w:rsid w:val="006C482C"/>
    <w:rsid w:val="006D4D0A"/>
    <w:rsid w:val="006D6333"/>
    <w:rsid w:val="006E494E"/>
    <w:rsid w:val="006F25C7"/>
    <w:rsid w:val="006F50DF"/>
    <w:rsid w:val="006F681E"/>
    <w:rsid w:val="007018D1"/>
    <w:rsid w:val="0070402F"/>
    <w:rsid w:val="007061D5"/>
    <w:rsid w:val="0071071F"/>
    <w:rsid w:val="00714C31"/>
    <w:rsid w:val="00726E40"/>
    <w:rsid w:val="00756244"/>
    <w:rsid w:val="00756684"/>
    <w:rsid w:val="0077486F"/>
    <w:rsid w:val="007812B9"/>
    <w:rsid w:val="00782F61"/>
    <w:rsid w:val="0078377A"/>
    <w:rsid w:val="00786ADD"/>
    <w:rsid w:val="00797161"/>
    <w:rsid w:val="00797ACC"/>
    <w:rsid w:val="007C0C96"/>
    <w:rsid w:val="007C383E"/>
    <w:rsid w:val="007D0E9E"/>
    <w:rsid w:val="007D1433"/>
    <w:rsid w:val="007D2DD5"/>
    <w:rsid w:val="007D4A19"/>
    <w:rsid w:val="007F2329"/>
    <w:rsid w:val="007F568E"/>
    <w:rsid w:val="008022EC"/>
    <w:rsid w:val="00803084"/>
    <w:rsid w:val="00805985"/>
    <w:rsid w:val="00806C66"/>
    <w:rsid w:val="008073AD"/>
    <w:rsid w:val="00807F4E"/>
    <w:rsid w:val="008118A1"/>
    <w:rsid w:val="00814A6B"/>
    <w:rsid w:val="00823C1B"/>
    <w:rsid w:val="008320D3"/>
    <w:rsid w:val="00832272"/>
    <w:rsid w:val="00832899"/>
    <w:rsid w:val="00834430"/>
    <w:rsid w:val="00836A4F"/>
    <w:rsid w:val="00844F09"/>
    <w:rsid w:val="008549B1"/>
    <w:rsid w:val="008701DD"/>
    <w:rsid w:val="008950A8"/>
    <w:rsid w:val="0089715E"/>
    <w:rsid w:val="008A69B8"/>
    <w:rsid w:val="008B1A4C"/>
    <w:rsid w:val="008B4C3E"/>
    <w:rsid w:val="008B7AC0"/>
    <w:rsid w:val="008C2F78"/>
    <w:rsid w:val="008C36CE"/>
    <w:rsid w:val="008C5F23"/>
    <w:rsid w:val="008E3E22"/>
    <w:rsid w:val="008E585A"/>
    <w:rsid w:val="008F108F"/>
    <w:rsid w:val="008F7F99"/>
    <w:rsid w:val="00903F69"/>
    <w:rsid w:val="00910B80"/>
    <w:rsid w:val="00913BAA"/>
    <w:rsid w:val="00922C4B"/>
    <w:rsid w:val="009239A9"/>
    <w:rsid w:val="00940941"/>
    <w:rsid w:val="0094097C"/>
    <w:rsid w:val="009418D2"/>
    <w:rsid w:val="0094304C"/>
    <w:rsid w:val="009463C8"/>
    <w:rsid w:val="00952C93"/>
    <w:rsid w:val="0096028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A07325"/>
    <w:rsid w:val="00A12BAF"/>
    <w:rsid w:val="00A205B5"/>
    <w:rsid w:val="00A226A3"/>
    <w:rsid w:val="00A24AC3"/>
    <w:rsid w:val="00A25F1D"/>
    <w:rsid w:val="00A271BC"/>
    <w:rsid w:val="00A278EC"/>
    <w:rsid w:val="00A35EC3"/>
    <w:rsid w:val="00A37BDE"/>
    <w:rsid w:val="00A57322"/>
    <w:rsid w:val="00A92CE6"/>
    <w:rsid w:val="00A972C7"/>
    <w:rsid w:val="00AA4705"/>
    <w:rsid w:val="00AA6942"/>
    <w:rsid w:val="00AA79E6"/>
    <w:rsid w:val="00AC421F"/>
    <w:rsid w:val="00AE25D0"/>
    <w:rsid w:val="00AE4DA6"/>
    <w:rsid w:val="00AF1061"/>
    <w:rsid w:val="00AF490F"/>
    <w:rsid w:val="00AF6B0E"/>
    <w:rsid w:val="00AF6F88"/>
    <w:rsid w:val="00B03E0E"/>
    <w:rsid w:val="00B11828"/>
    <w:rsid w:val="00B11A27"/>
    <w:rsid w:val="00B219B1"/>
    <w:rsid w:val="00B2331F"/>
    <w:rsid w:val="00B25770"/>
    <w:rsid w:val="00B30FCC"/>
    <w:rsid w:val="00B31482"/>
    <w:rsid w:val="00B32E57"/>
    <w:rsid w:val="00B47C1D"/>
    <w:rsid w:val="00B47DC6"/>
    <w:rsid w:val="00B5134D"/>
    <w:rsid w:val="00B529A0"/>
    <w:rsid w:val="00B53E42"/>
    <w:rsid w:val="00B67AA7"/>
    <w:rsid w:val="00B7155B"/>
    <w:rsid w:val="00B73155"/>
    <w:rsid w:val="00B74353"/>
    <w:rsid w:val="00B8161D"/>
    <w:rsid w:val="00B83D81"/>
    <w:rsid w:val="00B90CD2"/>
    <w:rsid w:val="00B9743A"/>
    <w:rsid w:val="00BA3B37"/>
    <w:rsid w:val="00BA4515"/>
    <w:rsid w:val="00BA6A1E"/>
    <w:rsid w:val="00BA7CE4"/>
    <w:rsid w:val="00BB23DF"/>
    <w:rsid w:val="00BB6F73"/>
    <w:rsid w:val="00BC0555"/>
    <w:rsid w:val="00BC14B9"/>
    <w:rsid w:val="00BD1C38"/>
    <w:rsid w:val="00BD4173"/>
    <w:rsid w:val="00BD6F18"/>
    <w:rsid w:val="00BE4580"/>
    <w:rsid w:val="00BF2DCF"/>
    <w:rsid w:val="00BF6711"/>
    <w:rsid w:val="00C06006"/>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3457"/>
    <w:rsid w:val="00C936C2"/>
    <w:rsid w:val="00CA55CC"/>
    <w:rsid w:val="00CA6057"/>
    <w:rsid w:val="00CB1D78"/>
    <w:rsid w:val="00CB4AF5"/>
    <w:rsid w:val="00CB54E1"/>
    <w:rsid w:val="00CC0D99"/>
    <w:rsid w:val="00CC1C63"/>
    <w:rsid w:val="00CC2F45"/>
    <w:rsid w:val="00CE2B86"/>
    <w:rsid w:val="00CE63A0"/>
    <w:rsid w:val="00CE79C0"/>
    <w:rsid w:val="00CF2894"/>
    <w:rsid w:val="00D03F11"/>
    <w:rsid w:val="00D13788"/>
    <w:rsid w:val="00D2194C"/>
    <w:rsid w:val="00D2237C"/>
    <w:rsid w:val="00D23ED9"/>
    <w:rsid w:val="00D2670F"/>
    <w:rsid w:val="00D304D3"/>
    <w:rsid w:val="00D41557"/>
    <w:rsid w:val="00D42412"/>
    <w:rsid w:val="00D51030"/>
    <w:rsid w:val="00D64519"/>
    <w:rsid w:val="00D66BC6"/>
    <w:rsid w:val="00D719BA"/>
    <w:rsid w:val="00D71B0E"/>
    <w:rsid w:val="00D8596D"/>
    <w:rsid w:val="00DA1909"/>
    <w:rsid w:val="00DA1E20"/>
    <w:rsid w:val="00DB1F00"/>
    <w:rsid w:val="00DB36A1"/>
    <w:rsid w:val="00DB4EF5"/>
    <w:rsid w:val="00DC2FEC"/>
    <w:rsid w:val="00DD7DA7"/>
    <w:rsid w:val="00DE397C"/>
    <w:rsid w:val="00DF3EB5"/>
    <w:rsid w:val="00DF7C5E"/>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4592"/>
    <w:rsid w:val="00E84BAE"/>
    <w:rsid w:val="00E86BCF"/>
    <w:rsid w:val="00E93444"/>
    <w:rsid w:val="00E95EA8"/>
    <w:rsid w:val="00E96041"/>
    <w:rsid w:val="00E97067"/>
    <w:rsid w:val="00EA320A"/>
    <w:rsid w:val="00EA589A"/>
    <w:rsid w:val="00EA5987"/>
    <w:rsid w:val="00EB5553"/>
    <w:rsid w:val="00EC12CC"/>
    <w:rsid w:val="00ED36FC"/>
    <w:rsid w:val="00ED5618"/>
    <w:rsid w:val="00ED5F9F"/>
    <w:rsid w:val="00EF5993"/>
    <w:rsid w:val="00EF7EAC"/>
    <w:rsid w:val="00F04828"/>
    <w:rsid w:val="00F054D3"/>
    <w:rsid w:val="00F276E5"/>
    <w:rsid w:val="00F32991"/>
    <w:rsid w:val="00F34C74"/>
    <w:rsid w:val="00F3637A"/>
    <w:rsid w:val="00F41723"/>
    <w:rsid w:val="00F4222F"/>
    <w:rsid w:val="00F5598B"/>
    <w:rsid w:val="00F65CC0"/>
    <w:rsid w:val="00F67A67"/>
    <w:rsid w:val="00F67C1B"/>
    <w:rsid w:val="00F76256"/>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scjn.gob.mx/Buscador/Paginas/AbrirDocArticulo.aspx?q=wy5/ku+TwGZ2SaaaYvo/KDwwlTrUiGLowcYwFt2ZYjdt0rTGxFOFRP8Sc+ubKhs0V4hKjiqO5mFNp0lMN3bpd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eeq.mx/contenido/normatividad/reglamentos/RI_modificaciones%20aprobadas%20290121%20ok.pdf" TargetMode="External"/><Relationship Id="rId4" Type="http://schemas.openxmlformats.org/officeDocument/2006/relationships/settings" Target="settings.xml"/><Relationship Id="rId9" Type="http://schemas.openxmlformats.org/officeDocument/2006/relationships/hyperlink" Target="https://ieeq.mx/contenido/normatividad/reglamentos/Reglamento_de_Fiscalizaci%C3%B3n_29Sep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93F3-33A4-40DE-94ED-7C317F10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2419</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47</cp:revision>
  <cp:lastPrinted>2015-04-17T18:02:00Z</cp:lastPrinted>
  <dcterms:created xsi:type="dcterms:W3CDTF">2021-04-21T16:01:00Z</dcterms:created>
  <dcterms:modified xsi:type="dcterms:W3CDTF">2021-11-03T20:17:00Z</dcterms:modified>
</cp:coreProperties>
</file>