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normal1"/>
        <w:tblW w:w="17572" w:type="dxa"/>
        <w:jc w:val="center"/>
        <w:tblLayout w:type="fixed"/>
        <w:tblLook w:val="04A0" w:firstRow="1" w:lastRow="0" w:firstColumn="1" w:lastColumn="0" w:noHBand="0" w:noVBand="1"/>
      </w:tblPr>
      <w:tblGrid>
        <w:gridCol w:w="846"/>
        <w:gridCol w:w="1417"/>
        <w:gridCol w:w="2694"/>
        <w:gridCol w:w="12615"/>
      </w:tblGrid>
      <w:tr w:rsidR="007066DD" w:rsidRPr="00A878E8" w14:paraId="13442222" w14:textId="4A5A189F" w:rsidTr="00492157">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7066DD" w:rsidRPr="00A878E8" w:rsidRDefault="007066DD" w:rsidP="007066DD">
            <w:pPr>
              <w:pStyle w:val="NormalWeb"/>
              <w:spacing w:before="0" w:beforeAutospacing="0" w:after="0" w:afterAutospacing="0"/>
              <w:ind w:left="720"/>
              <w:jc w:val="center"/>
              <w:rPr>
                <w:rFonts w:ascii="Arial" w:eastAsia="Calibri" w:hAnsi="Arial" w:cs="Arial"/>
                <w:color w:val="FFFFFF" w:themeColor="background1"/>
                <w:sz w:val="20"/>
                <w:szCs w:val="20"/>
                <w:lang w:eastAsia="en-US"/>
              </w:rPr>
            </w:pPr>
            <w:bookmarkStart w:id="0" w:name="_GoBack"/>
            <w:bookmarkEnd w:id="0"/>
          </w:p>
        </w:tc>
        <w:tc>
          <w:tcPr>
            <w:tcW w:w="1417" w:type="dxa"/>
            <w:shd w:val="clear" w:color="auto" w:fill="76923C" w:themeFill="accent3" w:themeFillShade="BF"/>
            <w:vAlign w:val="center"/>
          </w:tcPr>
          <w:p w14:paraId="1119A04E" w14:textId="77777777" w:rsidR="007066DD" w:rsidRPr="00A878E8" w:rsidRDefault="007066DD" w:rsidP="007066DD">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A878E8">
              <w:rPr>
                <w:rFonts w:ascii="Arial" w:eastAsia="Calibri" w:hAnsi="Arial" w:cs="Arial"/>
                <w:bCs w:val="0"/>
                <w:color w:val="FFFFFF" w:themeColor="background1"/>
                <w:sz w:val="20"/>
                <w:szCs w:val="20"/>
                <w:lang w:eastAsia="en-US"/>
              </w:rPr>
              <w:t>ESTADO</w:t>
            </w:r>
          </w:p>
        </w:tc>
        <w:tc>
          <w:tcPr>
            <w:tcW w:w="2694" w:type="dxa"/>
            <w:shd w:val="clear" w:color="auto" w:fill="76923C" w:themeFill="accent3" w:themeFillShade="BF"/>
            <w:vAlign w:val="center"/>
          </w:tcPr>
          <w:p w14:paraId="1F278F81" w14:textId="77777777" w:rsidR="007066DD" w:rsidRPr="00A878E8" w:rsidRDefault="007066DD" w:rsidP="007066DD">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A878E8">
              <w:rPr>
                <w:rFonts w:ascii="Arial" w:eastAsia="Calibri" w:hAnsi="Arial" w:cs="Arial"/>
                <w:bCs w:val="0"/>
                <w:color w:val="FFFFFF" w:themeColor="background1"/>
                <w:sz w:val="20"/>
                <w:szCs w:val="20"/>
                <w:lang w:eastAsia="en-US"/>
              </w:rPr>
              <w:t>LEY</w:t>
            </w:r>
          </w:p>
        </w:tc>
        <w:tc>
          <w:tcPr>
            <w:tcW w:w="12615" w:type="dxa"/>
            <w:shd w:val="clear" w:color="auto" w:fill="76923C" w:themeFill="accent3" w:themeFillShade="BF"/>
          </w:tcPr>
          <w:p w14:paraId="7D6F5856" w14:textId="50631FC3" w:rsidR="007066DD" w:rsidRPr="00A878E8" w:rsidRDefault="00D518AC" w:rsidP="00B32E5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eastAsia="en-US"/>
              </w:rPr>
            </w:pPr>
            <w:r w:rsidRPr="00A878E8">
              <w:rPr>
                <w:rFonts w:ascii="Arial" w:eastAsia="Century Gothic" w:hAnsi="Arial" w:cs="Arial"/>
                <w:color w:val="FFFFFF"/>
                <w:sz w:val="20"/>
              </w:rPr>
              <w:t>ARTÍCULO</w:t>
            </w:r>
            <w:r w:rsidR="007066DD" w:rsidRPr="00A878E8">
              <w:rPr>
                <w:rFonts w:ascii="Arial" w:eastAsia="Century Gothic" w:hAnsi="Arial" w:cs="Arial"/>
                <w:color w:val="FFFFFF"/>
                <w:sz w:val="20"/>
              </w:rPr>
              <w:t xml:space="preserve"> (TRANSCRIPCIÓN)</w:t>
            </w:r>
          </w:p>
        </w:tc>
      </w:tr>
      <w:tr w:rsidR="007066DD" w:rsidRPr="00A878E8" w14:paraId="54AC9B32" w14:textId="7EE7F396" w:rsidTr="00492157">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37DE2E4C" w14:textId="77777777" w:rsidR="007066DD" w:rsidRPr="00A878E8" w:rsidRDefault="007066DD" w:rsidP="007066DD">
            <w:pPr>
              <w:ind w:left="360"/>
              <w:jc w:val="center"/>
              <w:rPr>
                <w:rFonts w:ascii="Arial" w:hAnsi="Arial" w:cs="Arial"/>
                <w:sz w:val="20"/>
                <w:szCs w:val="20"/>
              </w:rPr>
            </w:pPr>
            <w:r w:rsidRPr="00A878E8">
              <w:rPr>
                <w:rFonts w:ascii="Arial" w:hAnsi="Arial" w:cs="Arial"/>
                <w:sz w:val="20"/>
                <w:szCs w:val="20"/>
              </w:rPr>
              <w:t>1.</w:t>
            </w:r>
          </w:p>
        </w:tc>
        <w:tc>
          <w:tcPr>
            <w:tcW w:w="1417" w:type="dxa"/>
            <w:shd w:val="clear" w:color="auto" w:fill="auto"/>
            <w:vAlign w:val="center"/>
          </w:tcPr>
          <w:p w14:paraId="61A2D912" w14:textId="4BBEE81B" w:rsidR="007066DD" w:rsidRPr="00A878E8" w:rsidRDefault="007066DD" w:rsidP="007066D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878E8">
              <w:rPr>
                <w:rFonts w:ascii="Arial" w:hAnsi="Arial" w:cs="Arial"/>
                <w:b/>
                <w:sz w:val="20"/>
                <w:szCs w:val="20"/>
              </w:rPr>
              <w:t>VERACRUZ</w:t>
            </w:r>
          </w:p>
        </w:tc>
        <w:tc>
          <w:tcPr>
            <w:tcW w:w="2694" w:type="dxa"/>
            <w:shd w:val="clear" w:color="auto" w:fill="auto"/>
            <w:vAlign w:val="center"/>
          </w:tcPr>
          <w:p w14:paraId="3F6E81F9" w14:textId="13B86F14" w:rsidR="007066DD" w:rsidRPr="00A878E8" w:rsidRDefault="00622A1F" w:rsidP="007066D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8" w:history="1">
              <w:r w:rsidR="007066DD" w:rsidRPr="00A878E8">
                <w:rPr>
                  <w:rStyle w:val="Hipervnculo"/>
                  <w:b/>
                  <w:sz w:val="20"/>
                  <w:szCs w:val="20"/>
                </w:rPr>
                <w:t>Código número 577 electoral para el estado de Veracruz de Ignacio de la llave</w:t>
              </w:r>
            </w:hyperlink>
          </w:p>
        </w:tc>
        <w:tc>
          <w:tcPr>
            <w:tcW w:w="12615" w:type="dxa"/>
            <w:shd w:val="clear" w:color="auto" w:fill="auto"/>
          </w:tcPr>
          <w:p w14:paraId="485F38C7"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20.</w:t>
            </w:r>
            <w:r w:rsidRPr="00A878E8">
              <w:rPr>
                <w:rFonts w:ascii="Arial" w:eastAsia="Calibri" w:hAnsi="Arial" w:cs="Arial"/>
                <w:bCs/>
                <w:sz w:val="20"/>
                <w:szCs w:val="20"/>
                <w:lang w:eastAsia="en-US"/>
              </w:rPr>
              <w:t xml:space="preserve"> Para los efectos de este Código, los </w:t>
            </w:r>
            <w:proofErr w:type="gramStart"/>
            <w:r w:rsidRPr="00A878E8">
              <w:rPr>
                <w:rFonts w:ascii="Arial" w:eastAsia="Calibri" w:hAnsi="Arial" w:cs="Arial"/>
                <w:bCs/>
                <w:sz w:val="20"/>
                <w:szCs w:val="20"/>
                <w:lang w:eastAsia="en-US"/>
              </w:rPr>
              <w:t>partidos políticos y las asociaciones políticas</w:t>
            </w:r>
            <w:proofErr w:type="gramEnd"/>
            <w:r w:rsidRPr="00A878E8">
              <w:rPr>
                <w:rFonts w:ascii="Arial" w:eastAsia="Calibri" w:hAnsi="Arial" w:cs="Arial"/>
                <w:bCs/>
                <w:sz w:val="20"/>
                <w:szCs w:val="20"/>
                <w:lang w:eastAsia="en-US"/>
              </w:rPr>
              <w:t xml:space="preserve"> se denominan genéricamente organizaciones políticas. </w:t>
            </w:r>
          </w:p>
          <w:p w14:paraId="0812109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El Instituto Electoral Veracruzano es el órgano facultado para vigilar y sancionar que las organizaciones políticas realicen sus actividades político-electorales con apego a la ley y cumplan con las obligaciones a que están sujetas; y fiscalizar a las asociaciones políticas. </w:t>
            </w:r>
          </w:p>
          <w:p w14:paraId="38129F8F"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29.</w:t>
            </w:r>
            <w:r w:rsidRPr="00A878E8">
              <w:rPr>
                <w:rFonts w:ascii="Arial" w:eastAsia="Calibri" w:hAnsi="Arial" w:cs="Arial"/>
                <w:bCs/>
                <w:sz w:val="20"/>
                <w:szCs w:val="20"/>
                <w:lang w:eastAsia="en-US"/>
              </w:rPr>
              <w:t xml:space="preserve"> Las asociaciones políticas estatales tendrán las obligaciones siguientes: </w:t>
            </w:r>
          </w:p>
          <w:p w14:paraId="3D8007B7"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 </w:t>
            </w:r>
          </w:p>
          <w:p w14:paraId="73B4DE5B"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VII. Ser auditadas y verificadas en términos de la normativa de fiscalización que acuerde el Consejo General del Instituto Electoral Veracruzano, inclusive en caso de pérdida del registro; </w:t>
            </w:r>
          </w:p>
          <w:p w14:paraId="7CC331F4"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 </w:t>
            </w:r>
          </w:p>
          <w:p w14:paraId="6760693B"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30.</w:t>
            </w:r>
            <w:r w:rsidRPr="00A878E8">
              <w:rPr>
                <w:rFonts w:ascii="Arial" w:eastAsia="Calibri" w:hAnsi="Arial" w:cs="Arial"/>
                <w:bCs/>
                <w:sz w:val="20"/>
                <w:szCs w:val="20"/>
                <w:lang w:eastAsia="en-US"/>
              </w:rPr>
              <w:t xml:space="preserve"> Las asociaciones políticas serán fiscalizadas por la Unidad de Fiscalización del Instituto Electoral Veracruzano, en los términos previstos por este Código. </w:t>
            </w:r>
          </w:p>
          <w:p w14:paraId="78B1E58E"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31.</w:t>
            </w:r>
            <w:r w:rsidRPr="00A878E8">
              <w:rPr>
                <w:rFonts w:ascii="Arial" w:eastAsia="Calibri" w:hAnsi="Arial" w:cs="Arial"/>
                <w:bCs/>
                <w:sz w:val="20"/>
                <w:szCs w:val="20"/>
                <w:lang w:eastAsia="en-US"/>
              </w:rPr>
              <w:t xml:space="preserve"> En el ejercicio de sus atribuciones, la Unidad de Fiscalización deberá garantizar el derecho de audiencia de las asociaciones políticas y, en general, de toda persona requerida con motivo de los procesos de fiscalización a que se refiere el presente Código. Las asociaciones políticas tendrán derecho a la confronta de los documentos comprobatorios de sus ingresos y gastos, o de sus estados contables, contra los obtenidos o elaborados por la Unidad de Fiscalización sobre las mismas operaciones, a fin de aclarar las discrepancias entre unos y otros. </w:t>
            </w:r>
          </w:p>
          <w:p w14:paraId="5BC072B8"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32.</w:t>
            </w:r>
            <w:r w:rsidRPr="00A878E8">
              <w:rPr>
                <w:rFonts w:ascii="Arial" w:eastAsia="Calibri" w:hAnsi="Arial" w:cs="Arial"/>
                <w:bCs/>
                <w:sz w:val="20"/>
                <w:szCs w:val="20"/>
                <w:lang w:eastAsia="en-US"/>
              </w:rPr>
              <w:t xml:space="preserve"> Las asociaciones políticas presentarán ante la Unidad de Fiscalización los informes del origen y monto de los ingresos que reciban por cualquier modalidad de financiamiento, así como su empleo y aplicación, atendiendo a las reglas siguientes: </w:t>
            </w:r>
          </w:p>
          <w:p w14:paraId="00FDD9AF"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 Los informes semestrales de avance del ejercicio, se presentarán dentro de los treinta días siguientes a la conclusión del semestre de que se trate, con la documentación comprobatoria correspondiente. Si de la revisión que realice la Unidad de Fiscalización se encontraren anomalías, errores u omisiones, se notificará a las asociaciones políticas, a fin de que las subsanen o realicen las aclaraciones conducentes; y </w:t>
            </w:r>
          </w:p>
          <w:p w14:paraId="2594C41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II. Los informes anuales se presentarán dentro de los sesenta días siguientes al último día de diciembre del año del ejercicio que se reporte, y deberá anexarse la documentación comprobatoria respectiva. </w:t>
            </w:r>
          </w:p>
          <w:p w14:paraId="5732DAE7"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lastRenderedPageBreak/>
              <w:t>Artículo 33.</w:t>
            </w:r>
            <w:r w:rsidRPr="00A878E8">
              <w:rPr>
                <w:rFonts w:ascii="Arial" w:eastAsia="Calibri" w:hAnsi="Arial" w:cs="Arial"/>
                <w:bCs/>
                <w:sz w:val="20"/>
                <w:szCs w:val="20"/>
                <w:lang w:eastAsia="en-US"/>
              </w:rPr>
              <w:t xml:space="preserve"> La Unidad de Fiscalización se regirá por los preceptos emanados en el Capítulo respectivo. </w:t>
            </w:r>
          </w:p>
          <w:p w14:paraId="5504B8A1"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34.</w:t>
            </w:r>
            <w:r w:rsidRPr="00A878E8">
              <w:rPr>
                <w:rFonts w:ascii="Arial" w:eastAsia="Calibri" w:hAnsi="Arial" w:cs="Arial"/>
                <w:bCs/>
                <w:sz w:val="20"/>
                <w:szCs w:val="20"/>
                <w:lang w:eastAsia="en-US"/>
              </w:rPr>
              <w:t xml:space="preserve"> En casos de excepción, siempre que existan elementos de prueba plena sobre una probable violación legal y previo acuerdo del Consejo General, la Unidad de Fiscalización podrá abrir procesos extraordinarios de fiscalización con plazos diferentes a los establecidos en el artículo anterior. En todo caso, los procesos extraordinarios deberán quedar concluidos en un plazo máximo de seis meses, salvo que el Consejo General del Instituto Electoral del Estado autorice, por causa justificada, </w:t>
            </w:r>
          </w:p>
          <w:p w14:paraId="312BDF71"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la ampliación del plazo. Los acuerdos del Consejo a que se refiere este artículo podrán ser impugnados ante el Tribunal Electoral del Estado. </w:t>
            </w:r>
          </w:p>
          <w:p w14:paraId="7B27BB8D"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Artículo 35. El personal de la Unidad de Fiscalización está obligado a guardar reserva sobre el curso de las revisiones y auditorías en las que tenga participación o sobre las que disponga de información. La Contraloría General del Instituto Electoral Veracruzano conocerá de las violaciones a este artículo y, en su caso, impondrá las sanciones que correspondan conforme a este Código. El Consejero Presidente, los Consejeros Electorales y el Secretario Ejecutivo del Instituto Electoral Veracruzano recibirán del Titular de la Unidad de Fiscalización, informes periódicos respecto del avance en las revisiones y auditorías que la misma realice. </w:t>
            </w:r>
          </w:p>
          <w:p w14:paraId="3E5317B2"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37.</w:t>
            </w:r>
            <w:r w:rsidRPr="00A878E8">
              <w:rPr>
                <w:rFonts w:ascii="Arial" w:eastAsia="Calibri" w:hAnsi="Arial" w:cs="Arial"/>
                <w:bCs/>
                <w:sz w:val="20"/>
                <w:szCs w:val="20"/>
                <w:lang w:eastAsia="en-US"/>
              </w:rPr>
              <w:t xml:space="preserve"> Los derechos y obligaciones de los partidos políticos, organización interna, acceso a radio y televisión, régimen financiero, prerrogativas y fiscalización de los partidos políticos, se sujetará a lo dispuesto por la Constitución Política de los Estados Unidos Mexicanos, la Constitución del Estado, la Ley General de Partidos Políticos y demás normas aplicables. </w:t>
            </w:r>
          </w:p>
          <w:p w14:paraId="14C0CABA"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48.</w:t>
            </w:r>
            <w:r w:rsidRPr="00A878E8">
              <w:rPr>
                <w:rFonts w:ascii="Arial" w:eastAsia="Calibri" w:hAnsi="Arial" w:cs="Arial"/>
                <w:bCs/>
                <w:sz w:val="20"/>
                <w:szCs w:val="20"/>
                <w:lang w:eastAsia="en-US"/>
              </w:rPr>
              <w:t xml:space="preserve"> El Instituto Electoral Veracruzano informará oportunamente y en condiciones de equidad, a todos los partidos políticos, las diferentes modalidades y tarifas publicitarias de los servicios ofrecidos por las empresas de los medios de comunicación distintos a la radio y la televisión. Durante el proceso electoral, la contratación de los espacios orientados a la promoción del voto a favor de los candidatos a cargos de elección popular, exclusivamente se realizará por los partidos políticos o coaliciones con los medios de comunicación que hubieran efectuado el registro previsto en este artículo y los contratos se celebrarán con la participación de la dirección ejecutiva de Prerrogativas y Partidos Políticos, con el objeto de vigilar el cumplimiento de lo dispuesto en el mismo. </w:t>
            </w:r>
          </w:p>
          <w:p w14:paraId="432E0ADA"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La contratación por parte de una organización política de mensajes en contravención a lo dispuesto en el párrafo precedente se considerará como infracción a las obligaciones impuestas a dichas organizaciones. </w:t>
            </w:r>
          </w:p>
          <w:p w14:paraId="58631965"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Los medios de comunicación que realicen contratos publicitarios con los partidos políticos o coaliciones estarán obligados a proporcionar oportunamente al Instituto la información que éste les requiera, con motivo de la fiscalización de los recursos. </w:t>
            </w:r>
          </w:p>
          <w:p w14:paraId="6CD22D7A"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62.</w:t>
            </w:r>
            <w:r w:rsidRPr="00A878E8">
              <w:rPr>
                <w:rFonts w:ascii="Arial" w:eastAsia="Calibri" w:hAnsi="Arial" w:cs="Arial"/>
                <w:bCs/>
                <w:sz w:val="20"/>
                <w:szCs w:val="20"/>
                <w:lang w:eastAsia="en-US"/>
              </w:rPr>
              <w:t xml:space="preserve"> Los ciudadanos que realicen precampaña para ocupar un cargo de elección popular en el </w:t>
            </w:r>
            <w:proofErr w:type="gramStart"/>
            <w:r w:rsidRPr="00A878E8">
              <w:rPr>
                <w:rFonts w:ascii="Arial" w:eastAsia="Calibri" w:hAnsi="Arial" w:cs="Arial"/>
                <w:bCs/>
                <w:sz w:val="20"/>
                <w:szCs w:val="20"/>
                <w:lang w:eastAsia="en-US"/>
              </w:rPr>
              <w:t>Estado,</w:t>
            </w:r>
            <w:proofErr w:type="gramEnd"/>
            <w:r w:rsidRPr="00A878E8">
              <w:rPr>
                <w:rFonts w:ascii="Arial" w:eastAsia="Calibri" w:hAnsi="Arial" w:cs="Arial"/>
                <w:bCs/>
                <w:sz w:val="20"/>
                <w:szCs w:val="20"/>
                <w:lang w:eastAsia="en-US"/>
              </w:rPr>
              <w:t xml:space="preserve"> cumplirán los lineamientos siguientes: </w:t>
            </w:r>
          </w:p>
          <w:p w14:paraId="56278FD7"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lastRenderedPageBreak/>
              <w:t xml:space="preserve">[…] </w:t>
            </w:r>
          </w:p>
          <w:p w14:paraId="46C601F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Los precandidatos tendrán la obligación de rendir los informes de gastos de precampañas ante el partido político que los postula, el que, a su vez, los presentará ante la Unidad de Fiscalización que corresponda. </w:t>
            </w:r>
          </w:p>
          <w:p w14:paraId="35458EC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68.</w:t>
            </w:r>
            <w:r w:rsidRPr="00A878E8">
              <w:rPr>
                <w:rFonts w:ascii="Arial" w:eastAsia="Calibri" w:hAnsi="Arial" w:cs="Arial"/>
                <w:bCs/>
                <w:sz w:val="20"/>
                <w:szCs w:val="20"/>
                <w:lang w:eastAsia="en-US"/>
              </w:rPr>
              <w:t xml:space="preserve"> Cuando un partido no cumpla en tiempo y forma con la presentación del informe de gastos de precampaña, se hará acreedor a las sanciones correspondientes, en términos de la ley general aplicable. </w:t>
            </w:r>
          </w:p>
          <w:p w14:paraId="48828D41"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101.</w:t>
            </w:r>
            <w:r w:rsidRPr="00A878E8">
              <w:rPr>
                <w:rFonts w:ascii="Arial" w:eastAsia="Calibri" w:hAnsi="Arial" w:cs="Arial"/>
                <w:bCs/>
                <w:sz w:val="20"/>
                <w:szCs w:val="20"/>
                <w:lang w:eastAsia="en-US"/>
              </w:rPr>
              <w:t xml:space="preserve"> El Instituto Electoral Veracruzano, para el cumplimiento de sus funciones, contará con los órganos siguientes: </w:t>
            </w:r>
          </w:p>
          <w:p w14:paraId="5371DC37"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 </w:t>
            </w:r>
          </w:p>
          <w:p w14:paraId="521A0F82"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g) La Unidad de Fiscalización; </w:t>
            </w:r>
          </w:p>
          <w:p w14:paraId="4CD1CCC9"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 </w:t>
            </w:r>
          </w:p>
          <w:p w14:paraId="27AA1DB4"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122.</w:t>
            </w:r>
            <w:r w:rsidRPr="00A878E8">
              <w:rPr>
                <w:rFonts w:ascii="Arial" w:eastAsia="Calibri" w:hAnsi="Arial" w:cs="Arial"/>
                <w:bCs/>
                <w:sz w:val="20"/>
                <w:szCs w:val="20"/>
                <w:lang w:eastAsia="en-US"/>
              </w:rPr>
              <w:t xml:space="preserve"> La Unidad de Fiscalización es el órgano técnico del Consejo General del Instituto Electoral Veracruzano que tiene a su cargo la recepción y revisión integral de los informes de las asociaciones políticas estatales respecto del origen y monto de los recursos que reciban, así como sobre su destino y aplicación. </w:t>
            </w:r>
          </w:p>
          <w:p w14:paraId="44423E55"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En el ejercicio de sus atribuciones, la Unidad contará con autonomía de gestión y su nivel jerárquico será equivalente al de una dirección ejecutiva del Instituto. </w:t>
            </w:r>
          </w:p>
          <w:p w14:paraId="3C5E28B5"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En el desempeño de sus funciones, la Unidad podrá solicitar la intervención del órgano técnico de la materia del Instituto Nacional Electoral, a fin de que éste actúe ante las autoridades competentes para superar, en su caso, la limitante de los secretos bancarios, fiduciario y fiscal. </w:t>
            </w:r>
          </w:p>
          <w:p w14:paraId="034C7BD4"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La Unidad de Fiscalización tendrá a su cargo todas las funciones que el Instituto Nacional Electoral le delegue en materia de fiscalización de los partidos políticos al Instituto Electoral Veracruzano, en términos de lo dispuesto por el artículo 195 párrafo 1 de la Ley General de Instituciones y Procedimientos Electorales y 8 de la Ley General de Partidos Políticos. </w:t>
            </w:r>
          </w:p>
          <w:p w14:paraId="28371FDA"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La Unidad de Fiscalización tendrá las atribuciones siguientes: </w:t>
            </w:r>
          </w:p>
          <w:p w14:paraId="65CDABA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 Presentar al Consejo General, para su aprobación, el proyecto de normativa de la materia, y los demás acuerdos para regular el registro contable de los ingresos y egresos de las asociaciones políticas, las características de la documentación comprobatoria sobre el manejo de </w:t>
            </w:r>
            <w:r w:rsidRPr="00A878E8">
              <w:rPr>
                <w:rFonts w:ascii="Arial" w:eastAsia="Calibri" w:hAnsi="Arial" w:cs="Arial"/>
                <w:bCs/>
                <w:sz w:val="20"/>
                <w:szCs w:val="20"/>
                <w:lang w:eastAsia="en-US"/>
              </w:rPr>
              <w:lastRenderedPageBreak/>
              <w:t xml:space="preserve">sus recursos y para establecer los requisitos que deberán satisfacer los informes de ingresos y egresos que se le presenten, de conformidad a lo establecido en este Código; </w:t>
            </w:r>
          </w:p>
          <w:p w14:paraId="1E3E7AF6"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II. Emitir las normas generales de contabilidad y registro de operaciones aplicables a las asociaciones políticas; </w:t>
            </w:r>
          </w:p>
          <w:p w14:paraId="5DFFF4AD"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III. Vigilar que sus recursos tengan origen lícito y se apliquen estricta e invariablemente a las actividades señaladas en este Código y la demás legislación aplicable; </w:t>
            </w:r>
          </w:p>
          <w:p w14:paraId="3F5A6B5D"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IV. Recibir y revisar sus informes de ingresos y gastos; </w:t>
            </w:r>
          </w:p>
          <w:p w14:paraId="0AD5927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V. Requerir información complementaria respecto de los diversos apartados de los informes de ingresos y egresos o documentación comprobatoria de cualquier otro aspecto vinculado a los mismos; </w:t>
            </w:r>
          </w:p>
          <w:p w14:paraId="3E5FFA14"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VI. Ordenar la práctica de auditorías, directamente o a través de terceros, a las finanzas de las asociaciones políticas; </w:t>
            </w:r>
          </w:p>
          <w:p w14:paraId="0309A2DE"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VII. Proporcionar a las asociaciones políticas estatales la orientación, asesoría y capacitación necesarias para el cumplimiento de las obligaciones; </w:t>
            </w:r>
          </w:p>
          <w:p w14:paraId="23B9CAB5"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VIII. Ordenar visitas de verificación, con el fin de corroborar el cumplimiento de sus obligaciones y la veracidad de sus informes; </w:t>
            </w:r>
          </w:p>
          <w:p w14:paraId="29A2541B"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IX. Presentar al Consejo General del Instituto los informes de resultados y proyectos de resolución sobre las auditorías y verificaciones practicadas, mismos que especificarán las irregularidades en que hubieren incurrido las asociaciones en el manejo de sus recursos, el incumplimiento de su obligación de informar sobre la aplicación de </w:t>
            </w:r>
            <w:proofErr w:type="gramStart"/>
            <w:r w:rsidRPr="00A878E8">
              <w:rPr>
                <w:rFonts w:ascii="Arial" w:eastAsia="Calibri" w:hAnsi="Arial" w:cs="Arial"/>
                <w:bCs/>
                <w:sz w:val="20"/>
                <w:szCs w:val="20"/>
                <w:lang w:eastAsia="en-US"/>
              </w:rPr>
              <w:t>los mismos</w:t>
            </w:r>
            <w:proofErr w:type="gramEnd"/>
            <w:r w:rsidRPr="00A878E8">
              <w:rPr>
                <w:rFonts w:ascii="Arial" w:eastAsia="Calibri" w:hAnsi="Arial" w:cs="Arial"/>
                <w:bCs/>
                <w:sz w:val="20"/>
                <w:szCs w:val="20"/>
                <w:lang w:eastAsia="en-US"/>
              </w:rPr>
              <w:t xml:space="preserve"> y, en su caso, propondrán las sanciones que procedan conforme a la normativa aplicable; </w:t>
            </w:r>
          </w:p>
          <w:p w14:paraId="53814BD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X. Presentar al Consejo General, para su aprobación, el proyecto de reglamento para el desahogo de los procedimientos administrativos respecto de las quejas que se presenten en materia de fiscalización y vigilancia de los recursos de las asociaciones políticas; dichas quejas deberán ser presentadas ante la Unidad; </w:t>
            </w:r>
          </w:p>
          <w:p w14:paraId="2246CA73"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XI. Instruir los procedimientos administrativos a que haya lugar, respecto de las quejas a que se refiere la fracción anterior y proponer a la consideración del Consejo General del Instituto, la imposición de las sanciones que procedan; </w:t>
            </w:r>
          </w:p>
          <w:p w14:paraId="10D16DBB"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XII. Requerir de las personas, físicas o morales, públicas o privadas, en relación con las operaciones que realicen las asociaciones políticas la información necesaria para el cumplimiento de sus tareas, respetando en todo momento las garantías del requerido. Quienes se nieguen </w:t>
            </w:r>
            <w:r w:rsidRPr="00A878E8">
              <w:rPr>
                <w:rFonts w:ascii="Arial" w:eastAsia="Calibri" w:hAnsi="Arial" w:cs="Arial"/>
                <w:bCs/>
                <w:sz w:val="20"/>
                <w:szCs w:val="20"/>
                <w:lang w:eastAsia="en-US"/>
              </w:rPr>
              <w:lastRenderedPageBreak/>
              <w:t xml:space="preserve">a proporcionar la información que les sea requerida, o no la proporcionen, sin causa justificada, dentro de los plazos que se señalen, se harán acreedores a las sanciones establecidas en este Código; </w:t>
            </w:r>
          </w:p>
          <w:p w14:paraId="4D6B4B24"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XIII. Requerir de las asociaciones políticas estatales la información necesaria para el cumplimiento de sus tareas, respetando en todo momento las garantías del requerido; y </w:t>
            </w:r>
          </w:p>
          <w:p w14:paraId="282E845D"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XIV. Las demás que le confieran este Código, el Consejo General del Instituto o el Instituto Nacional Electoral. </w:t>
            </w:r>
          </w:p>
          <w:p w14:paraId="1B98A6EC"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Quienes se nieguen a proporcionar la información que les sea requerida, o no la proporcionen, sin causa justificada, dentro de los plazos que se señalen, se harán acreedores a las sanciones establecidas en este Código. </w:t>
            </w:r>
          </w:p>
          <w:p w14:paraId="4A487BFB" w14:textId="77777777" w:rsidR="007066DD" w:rsidRPr="00A878E8" w:rsidRDefault="007066DD" w:rsidP="00E2761F">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 xml:space="preserve">En el ejercicio de sus atribuciones, la Unidad deberá garantizar el derecho de audiencia de las asociaciones políticas estatales, con motivo de los procesos de fiscalización respectiva. Las asociaciones políticas Estatales, tendrán derecho a la confronta de los documentos comprobatorios de sus ingresos y gastos, o de sus estados contables, contra los obtenidos o elaborados por la Unidad sobre las mismas operaciones, a fin de aclarar las discrepancias entre unos y otros. </w:t>
            </w:r>
          </w:p>
          <w:p w14:paraId="6AD99C8F" w14:textId="5130BBCA"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271.</w:t>
            </w:r>
            <w:r w:rsidRPr="00A878E8">
              <w:rPr>
                <w:rFonts w:ascii="Arial" w:eastAsia="Calibri" w:hAnsi="Arial" w:cs="Arial"/>
                <w:bCs/>
                <w:sz w:val="20"/>
                <w:szCs w:val="20"/>
                <w:lang w:eastAsia="en-US"/>
              </w:rPr>
              <w:t xml:space="preserve"> La cuenta bancaria, servirá para el manejo de los recursos para obtener el apoyo ciudadano y para, en su caso, la campaña electoral.</w:t>
            </w:r>
          </w:p>
          <w:p w14:paraId="2279E68A" w14:textId="7777777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La utilización de la cuenta será a partir del inicio de los actos tendientes a obtener el apoyo ciudadano y hasta la conclusión de las campañas electorales y con posterioridad, exclusivamente para cubrir los pasivos contraídos y demás erogaciones. Su cancelación deberá realizarse una vez que se concluyan los procedimientos de fiscalización que correspondan.</w:t>
            </w:r>
          </w:p>
          <w:p w14:paraId="18783F74" w14:textId="5ED69A71"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278.</w:t>
            </w:r>
            <w:r w:rsidRPr="00A878E8">
              <w:rPr>
                <w:rFonts w:ascii="Arial" w:eastAsia="Calibri" w:hAnsi="Arial" w:cs="Arial"/>
                <w:bCs/>
                <w:sz w:val="20"/>
                <w:szCs w:val="20"/>
                <w:lang w:eastAsia="en-US"/>
              </w:rPr>
              <w:t xml:space="preserve"> Los aspirantes con derecho a solicitar su registro como Candidatos Independientes a un cargo de elección popular deberán:</w:t>
            </w:r>
          </w:p>
          <w:p w14:paraId="6D10950E" w14:textId="31031D9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w:t>
            </w:r>
          </w:p>
          <w:p w14:paraId="5F92EFFD" w14:textId="578BA554"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V. Escrito en el que manifieste su conformidad para que todos los ingresos y egresos de la cuenta bancaria de la asociación civil constituida al efecto, sean fiscalizados, en cualquier momento, por el Instituto Electoral Veracruzano.</w:t>
            </w:r>
          </w:p>
          <w:p w14:paraId="2A4FC47B" w14:textId="7777777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w:t>
            </w:r>
          </w:p>
          <w:p w14:paraId="2CB8A8F9" w14:textId="7777777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288.</w:t>
            </w:r>
            <w:r w:rsidRPr="00A878E8">
              <w:rPr>
                <w:rFonts w:ascii="Arial" w:eastAsia="Calibri" w:hAnsi="Arial" w:cs="Arial"/>
                <w:bCs/>
                <w:sz w:val="20"/>
                <w:szCs w:val="20"/>
                <w:lang w:eastAsia="en-US"/>
              </w:rPr>
              <w:t xml:space="preserve"> Son obligaciones de los candidatos independientes registrados:</w:t>
            </w:r>
          </w:p>
          <w:p w14:paraId="32F3F46F" w14:textId="5F62BD3E"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lastRenderedPageBreak/>
              <w:t>[…]</w:t>
            </w:r>
          </w:p>
          <w:p w14:paraId="6A02DF58" w14:textId="284FFA7A"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XV. Ser responsable solidario, junto con el encargado de la administración de sus recursos financieros, dentro de los procedimientos de fiscalización de los recursos correspondientes; y</w:t>
            </w:r>
          </w:p>
          <w:p w14:paraId="7EABD3BE" w14:textId="1237AE3B"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w:t>
            </w:r>
          </w:p>
          <w:p w14:paraId="7D7F7F15" w14:textId="77777777" w:rsidR="007066DD" w:rsidRPr="00A878E8" w:rsidRDefault="007066DD" w:rsidP="006A76FC">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296.</w:t>
            </w:r>
            <w:r w:rsidRPr="00A878E8">
              <w:rPr>
                <w:rFonts w:ascii="Arial" w:eastAsia="Calibri" w:hAnsi="Arial" w:cs="Arial"/>
                <w:bCs/>
                <w:sz w:val="20"/>
                <w:szCs w:val="20"/>
                <w:lang w:eastAsia="en-US"/>
              </w:rPr>
              <w:t xml:space="preserve"> Todo egreso deberá cubrirse con cheque nominativo o transferencia electrónica. En el caso de los pagos por la prestación de bienes o servicios, adicionalmente, el cheque deberá contener la leyenda “para abono en cuenta del beneficiario”. Las pólizas de los cheques deberán conservarse anexas a la documentación comprobatoria junto con la copia del cheque a que se hace referencia.</w:t>
            </w:r>
          </w:p>
          <w:p w14:paraId="7D23D9EF" w14:textId="3D74C702" w:rsidR="007066DD" w:rsidRPr="00A878E8" w:rsidRDefault="007066DD" w:rsidP="006A76FC">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Cs/>
                <w:sz w:val="20"/>
                <w:szCs w:val="20"/>
                <w:lang w:eastAsia="en-US"/>
              </w:rPr>
              <w:t>Los comprobantes que amparen los egresos que realicen los candidatos independientes deberán ser expedidos a su nombre y constar en original como soporte a los informes financieros de las campañas electorales. Dicha documentación deberá cumplir con los requisitos que exigen las disposiciones fiscales aplicables, así como las establecidas por el Reglamento de Fiscalización de la Unidad Técnica respectiva.</w:t>
            </w:r>
          </w:p>
          <w:p w14:paraId="5FDFEAD1" w14:textId="008E08A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r w:rsidRPr="00A878E8">
              <w:rPr>
                <w:rFonts w:ascii="Arial" w:eastAsia="Calibri" w:hAnsi="Arial" w:cs="Arial"/>
                <w:b/>
                <w:sz w:val="20"/>
                <w:szCs w:val="20"/>
                <w:lang w:eastAsia="en-US"/>
              </w:rPr>
              <w:t>Artículo 305.</w:t>
            </w:r>
            <w:r w:rsidRPr="00A878E8">
              <w:rPr>
                <w:rFonts w:ascii="Arial" w:eastAsia="Calibri" w:hAnsi="Arial" w:cs="Arial"/>
                <w:bCs/>
                <w:sz w:val="20"/>
                <w:szCs w:val="20"/>
                <w:lang w:eastAsia="en-US"/>
              </w:rPr>
              <w:t xml:space="preserve"> Al igual que en el caso de los candidatos de partido, la fiscalización de los candidatos independientes, compete a la Unidad Técnica de Fiscalización de la Comisión de Fiscalización del Instituto Nacional Electoral, la cual hará la revisión de los informes que los aspirantes presenten sobre el origen y destino de sus recursos y de actos para el apoyo ciudadano según corresponda, así como la práctica de auditorías sobre el manejo de sus recursos y su situación contable y financiera, de conformidad con lo que establece la Ley General de Instituciones y Procedimientos Electorales. De los informes referidos se presentará copia ante el Instituto Electoral Veracruzano.</w:t>
            </w:r>
          </w:p>
          <w:p w14:paraId="2378B901" w14:textId="20E72E17" w:rsidR="007066DD" w:rsidRPr="00A878E8" w:rsidRDefault="007066DD" w:rsidP="006857CA">
            <w:pPr>
              <w:pStyle w:val="NormalWeb"/>
              <w:spacing w:after="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0"/>
                <w:szCs w:val="20"/>
                <w:lang w:eastAsia="en-US"/>
              </w:rPr>
            </w:pPr>
          </w:p>
        </w:tc>
      </w:tr>
      <w:tr w:rsidR="007066DD" w:rsidRPr="00A878E8" w14:paraId="66E688D4" w14:textId="77777777" w:rsidTr="00492157">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F6D164E" w14:textId="13FBF983" w:rsidR="007066DD" w:rsidRPr="00A878E8" w:rsidRDefault="007066DD" w:rsidP="007066DD">
            <w:pPr>
              <w:ind w:left="360"/>
              <w:jc w:val="center"/>
              <w:rPr>
                <w:rFonts w:ascii="Arial" w:hAnsi="Arial" w:cs="Arial"/>
                <w:sz w:val="20"/>
                <w:szCs w:val="20"/>
              </w:rPr>
            </w:pPr>
            <w:r w:rsidRPr="00A878E8">
              <w:rPr>
                <w:rFonts w:ascii="Arial" w:hAnsi="Arial" w:cs="Arial"/>
                <w:sz w:val="20"/>
                <w:szCs w:val="20"/>
              </w:rPr>
              <w:lastRenderedPageBreak/>
              <w:t>2</w:t>
            </w:r>
          </w:p>
        </w:tc>
        <w:tc>
          <w:tcPr>
            <w:tcW w:w="1417" w:type="dxa"/>
            <w:vAlign w:val="center"/>
          </w:tcPr>
          <w:p w14:paraId="76FD9895" w14:textId="0F9EC270" w:rsidR="007066DD" w:rsidRPr="00A878E8" w:rsidRDefault="007066DD" w:rsidP="007066DD">
            <w:pPr>
              <w:pStyle w:val="Default"/>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878E8">
              <w:rPr>
                <w:rFonts w:ascii="Arial" w:hAnsi="Arial" w:cs="Arial"/>
                <w:b/>
                <w:bCs/>
                <w:sz w:val="20"/>
                <w:szCs w:val="20"/>
              </w:rPr>
              <w:t>VERACRUZ</w:t>
            </w:r>
          </w:p>
        </w:tc>
        <w:tc>
          <w:tcPr>
            <w:tcW w:w="15309" w:type="dxa"/>
            <w:gridSpan w:val="2"/>
            <w:vAlign w:val="center"/>
          </w:tcPr>
          <w:p w14:paraId="139E6371" w14:textId="77777777" w:rsidR="007066DD" w:rsidRPr="00A878E8" w:rsidRDefault="007066DD" w:rsidP="007066DD">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A878E8">
              <w:rPr>
                <w:rFonts w:ascii="Arial" w:hAnsi="Arial" w:cs="Arial"/>
                <w:b/>
                <w:bCs/>
              </w:rPr>
              <w:t>REGLAMENTOS EN MATERIA DE FISCALIZACIÓN</w:t>
            </w:r>
          </w:p>
          <w:p w14:paraId="3E599FD2" w14:textId="77777777" w:rsidR="007066DD" w:rsidRPr="00A878E8" w:rsidRDefault="00622A1F" w:rsidP="007066DD">
            <w:pPr>
              <w:pStyle w:val="NormalWeb"/>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9" w:history="1">
              <w:r w:rsidR="007066DD" w:rsidRPr="00A878E8">
                <w:rPr>
                  <w:rStyle w:val="Hipervnculo"/>
                  <w:b/>
                  <w:bCs/>
                  <w:sz w:val="24"/>
                  <w:szCs w:val="24"/>
                </w:rPr>
                <w:t>REGLAMENTO PARA EL DESAHOGO DE LOS PROCEDIMIENTOS ADMINISTRATIVOS DE QUEJAS QUE SE PRESENTEN EN MATERIA DE FISCALIZACION Y VIGILANCIA DE LOS RECURSOS DE LOS PARTIDOS POLITICOS Y/O COALICIONES REGISTRADAS O ACREDITADAS ANTE EL INSTITUTO ELECTORAL VERACRUZANO DEL ESTADO DE VERACRUZ</w:t>
              </w:r>
            </w:hyperlink>
          </w:p>
          <w:p w14:paraId="0F5516DB" w14:textId="77777777" w:rsidR="007066DD" w:rsidRPr="00A878E8" w:rsidRDefault="00622A1F" w:rsidP="007066DD">
            <w:pPr>
              <w:pStyle w:val="NormalWeb"/>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0" w:history="1">
              <w:r w:rsidR="007066DD" w:rsidRPr="00A878E8">
                <w:rPr>
                  <w:rStyle w:val="Hipervnculo"/>
                  <w:sz w:val="24"/>
                  <w:szCs w:val="24"/>
                </w:rPr>
                <w:t>REGLAMENTO PARA EL DESAHOGO DE LOS PROCEDIMIENTOS ADMINISTRATIVOS DE QUEJAS QUE SE PRESENTEN EN MATERIA DE FISCALIZACIÓN Y VIGILANCIA DE LOS RECURSOS DE LOS PARTIDOS POLÍTICOS Y/O COALICIONES REGISTRADAS O ACREDITADAS</w:t>
              </w:r>
            </w:hyperlink>
          </w:p>
          <w:p w14:paraId="4E5A81AF" w14:textId="77777777" w:rsidR="007066DD" w:rsidRPr="00A878E8" w:rsidRDefault="00622A1F" w:rsidP="007066DD">
            <w:pPr>
              <w:pStyle w:val="NormalWeb"/>
              <w:spacing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1" w:history="1">
              <w:r w:rsidR="007066DD" w:rsidRPr="00A878E8">
                <w:rPr>
                  <w:rStyle w:val="Hipervnculo"/>
                  <w:sz w:val="24"/>
                  <w:szCs w:val="24"/>
                </w:rPr>
                <w:t>REGLAMENTO DE FISCALIZACIÓN PARA LAS ASOCIACIONES POLÍTICAS ESTATALES CON REGISTRO ANTE EL ORGANISMO PÚBLICO LOCAL ELECTORAL DEL ESTADO DE VERACRUZ</w:t>
              </w:r>
            </w:hyperlink>
          </w:p>
          <w:p w14:paraId="413D4756" w14:textId="012E0446" w:rsidR="007066DD" w:rsidRPr="00A878E8" w:rsidRDefault="00622A1F" w:rsidP="007066DD">
            <w:pPr>
              <w:pStyle w:val="NormalWeb"/>
              <w:spacing w:after="0"/>
              <w:ind w:left="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0"/>
                <w:szCs w:val="20"/>
                <w:lang w:eastAsia="en-US"/>
              </w:rPr>
            </w:pPr>
            <w:hyperlink r:id="rId12" w:history="1">
              <w:r w:rsidR="007066DD" w:rsidRPr="00A878E8">
                <w:rPr>
                  <w:rStyle w:val="Hipervnculo"/>
                  <w:sz w:val="24"/>
                  <w:szCs w:val="24"/>
                </w:rPr>
                <w:t>REGLAMENTO PARA LA SUSTANCIACIÓN DE LOS PROCEDIMIENTOS OFICIOSOS Y DE LAS QUEJAS EN MATERIA DE FISCALIZACIÓN Y VIGILANCIA DE LOS RECURSOS DE LAS ASOCIACIONES POLÍTICAS ESTATALES DEL ORGANISMO PÚBLICO LOCAL ELECTORAL DEL ESTADO DE VERACRUZ</w:t>
              </w:r>
            </w:hyperlink>
          </w:p>
        </w:tc>
      </w:tr>
      <w:tr w:rsidR="007066DD" w:rsidRPr="00A878E8" w14:paraId="4EF6FD22" w14:textId="77777777" w:rsidTr="00492157">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63763AD9" w14:textId="39CAFEB5" w:rsidR="007066DD" w:rsidRPr="00A878E8" w:rsidRDefault="007066DD" w:rsidP="007066DD">
            <w:pPr>
              <w:ind w:left="360"/>
              <w:jc w:val="center"/>
              <w:rPr>
                <w:rFonts w:ascii="Arial" w:hAnsi="Arial" w:cs="Arial"/>
                <w:sz w:val="20"/>
                <w:szCs w:val="20"/>
              </w:rPr>
            </w:pPr>
            <w:r>
              <w:rPr>
                <w:rFonts w:ascii="Arial" w:hAnsi="Arial" w:cs="Arial"/>
                <w:sz w:val="20"/>
                <w:szCs w:val="20"/>
              </w:rPr>
              <w:lastRenderedPageBreak/>
              <w:t>3</w:t>
            </w:r>
          </w:p>
        </w:tc>
        <w:tc>
          <w:tcPr>
            <w:tcW w:w="1417" w:type="dxa"/>
            <w:shd w:val="clear" w:color="auto" w:fill="auto"/>
            <w:vAlign w:val="center"/>
          </w:tcPr>
          <w:p w14:paraId="49BC6FFF" w14:textId="255BB4DA" w:rsidR="007066DD" w:rsidRPr="00A878E8" w:rsidRDefault="007066DD" w:rsidP="007066D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878E8">
              <w:rPr>
                <w:rFonts w:ascii="Arial" w:hAnsi="Arial" w:cs="Arial"/>
                <w:b/>
                <w:bCs/>
                <w:sz w:val="20"/>
                <w:szCs w:val="20"/>
              </w:rPr>
              <w:t>VERACRUZ</w:t>
            </w:r>
          </w:p>
        </w:tc>
        <w:tc>
          <w:tcPr>
            <w:tcW w:w="15309" w:type="dxa"/>
            <w:gridSpan w:val="2"/>
            <w:shd w:val="clear" w:color="auto" w:fill="auto"/>
            <w:vAlign w:val="center"/>
          </w:tcPr>
          <w:p w14:paraId="5D6DEA9D" w14:textId="77777777" w:rsidR="007066DD" w:rsidRPr="00A878E8" w:rsidRDefault="007066DD" w:rsidP="007066D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78E8">
              <w:rPr>
                <w:rFonts w:ascii="Arial" w:hAnsi="Arial" w:cs="Arial"/>
                <w:b/>
                <w:bCs/>
              </w:rPr>
              <w:t>LINEAMIENTOS EN MATERIA DE FISCALIZACIÓN</w:t>
            </w:r>
          </w:p>
          <w:p w14:paraId="5CCE7A8D" w14:textId="77777777" w:rsidR="007066DD" w:rsidRPr="00A878E8" w:rsidRDefault="007066DD" w:rsidP="007066DD">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840542D" w14:textId="77777777" w:rsidR="007066DD" w:rsidRPr="00A878E8" w:rsidRDefault="007066DD" w:rsidP="007066DD">
            <w:pPr>
              <w:pStyle w:val="NormalWeb"/>
              <w:spacing w:after="0"/>
              <w:jc w:val="center"/>
              <w:cnfStyle w:val="000000100000" w:firstRow="0" w:lastRow="0" w:firstColumn="0" w:lastColumn="0" w:oddVBand="0" w:evenVBand="0" w:oddHBand="1" w:evenHBand="0" w:firstRowFirstColumn="0" w:firstRowLastColumn="0" w:lastRowFirstColumn="0" w:lastRowLastColumn="0"/>
              <w:rPr>
                <w:rStyle w:val="Hipervnculo"/>
                <w:b/>
                <w:bCs/>
                <w:sz w:val="24"/>
                <w:szCs w:val="24"/>
              </w:rPr>
            </w:pPr>
            <w:r w:rsidRPr="00A878E8">
              <w:rPr>
                <w:rFonts w:ascii="Arial" w:hAnsi="Arial" w:cs="Arial"/>
                <w:b/>
                <w:bCs/>
              </w:rPr>
              <w:fldChar w:fldCharType="begin"/>
            </w:r>
            <w:r w:rsidRPr="00A878E8">
              <w:rPr>
                <w:rFonts w:ascii="Arial" w:hAnsi="Arial" w:cs="Arial"/>
                <w:b/>
                <w:bCs/>
              </w:rPr>
              <w:instrText xml:space="preserve"> HYPERLINK "https://www.oplever.org.mx/wp-content/uploads/2019/normatividad/lineamientos/lineamientosfiscalizacion.pdf" </w:instrText>
            </w:r>
            <w:r w:rsidRPr="00A878E8">
              <w:rPr>
                <w:rFonts w:ascii="Arial" w:hAnsi="Arial" w:cs="Arial"/>
                <w:b/>
                <w:bCs/>
              </w:rPr>
              <w:fldChar w:fldCharType="separate"/>
            </w:r>
            <w:r w:rsidRPr="00A878E8">
              <w:rPr>
                <w:rStyle w:val="Hipervnculo"/>
                <w:b/>
                <w:bCs/>
                <w:sz w:val="24"/>
                <w:szCs w:val="24"/>
              </w:rPr>
              <w:t>LINEAMIENTOS PARA LA FISCALIZACIÓN DE LAS ORGANIZACIONES DE LAS Y LOS CIUDADANOS QUE PRETENDAN OBTENER EL REGISTRO COMO PARTIDO POLÍTICO LOCAL EN EL ESTADO DE VERACRUZ</w:t>
            </w:r>
          </w:p>
          <w:p w14:paraId="56EA4433" w14:textId="77777777" w:rsidR="007066DD" w:rsidRPr="00A878E8" w:rsidRDefault="007066DD" w:rsidP="007066DD">
            <w:pPr>
              <w:pStyle w:val="NormalWeb"/>
              <w:spacing w:after="0"/>
              <w:jc w:val="center"/>
              <w:cnfStyle w:val="000000100000" w:firstRow="0" w:lastRow="0" w:firstColumn="0" w:lastColumn="0" w:oddVBand="0" w:evenVBand="0" w:oddHBand="1" w:evenHBand="0" w:firstRowFirstColumn="0" w:firstRowLastColumn="0" w:lastRowFirstColumn="0" w:lastRowLastColumn="0"/>
              <w:rPr>
                <w:rStyle w:val="Hipervnculo"/>
                <w:b/>
                <w:bCs/>
                <w:sz w:val="24"/>
                <w:szCs w:val="24"/>
              </w:rPr>
            </w:pPr>
            <w:r w:rsidRPr="00A878E8">
              <w:rPr>
                <w:rStyle w:val="Hipervnculo"/>
                <w:b/>
                <w:bCs/>
                <w:sz w:val="24"/>
                <w:szCs w:val="24"/>
              </w:rPr>
              <w:t>• ANEXO 1</w:t>
            </w:r>
          </w:p>
          <w:p w14:paraId="74472A1F" w14:textId="77777777" w:rsidR="007066DD" w:rsidRPr="00A878E8" w:rsidRDefault="007066DD" w:rsidP="007066DD">
            <w:pPr>
              <w:pStyle w:val="NormalWeb"/>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A878E8">
              <w:rPr>
                <w:rStyle w:val="Hipervnculo"/>
                <w:b/>
                <w:bCs/>
                <w:sz w:val="24"/>
                <w:szCs w:val="24"/>
              </w:rPr>
              <w:t>• ANEXO 2</w:t>
            </w:r>
            <w:r w:rsidRPr="00A878E8">
              <w:rPr>
                <w:rFonts w:ascii="Arial" w:hAnsi="Arial" w:cs="Arial"/>
                <w:b/>
                <w:bCs/>
              </w:rPr>
              <w:fldChar w:fldCharType="end"/>
            </w:r>
          </w:p>
          <w:p w14:paraId="65D246E7" w14:textId="6927E00B" w:rsidR="007066DD" w:rsidRPr="00A878E8" w:rsidRDefault="007066DD" w:rsidP="007066DD">
            <w:pPr>
              <w:pStyle w:val="NormalWeb"/>
              <w:spacing w:after="0"/>
              <w:ind w:left="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0"/>
                <w:szCs w:val="20"/>
                <w:lang w:eastAsia="en-US"/>
              </w:rPr>
            </w:pPr>
            <w:r w:rsidRPr="00A878E8">
              <w:rPr>
                <w:rFonts w:ascii="Arial" w:hAnsi="Arial" w:cs="Arial"/>
                <w:b/>
                <w:bCs/>
              </w:rPr>
              <w:t xml:space="preserve">• </w:t>
            </w:r>
            <w:hyperlink r:id="rId13" w:history="1">
              <w:r w:rsidRPr="00A878E8">
                <w:rPr>
                  <w:rStyle w:val="Hipervnculo"/>
                  <w:b/>
                  <w:bCs/>
                  <w:sz w:val="24"/>
                  <w:szCs w:val="24"/>
                </w:rPr>
                <w:t>LINEAMIENTOS PARA LA FISCALIZACIÓN DE LAS ORGANIZACIONES DE OBSERVADORAS Y OBSERVADORES ELECTORALES</w:t>
              </w:r>
            </w:hyperlink>
          </w:p>
        </w:tc>
      </w:tr>
    </w:tbl>
    <w:p w14:paraId="180A76E1" w14:textId="77777777" w:rsidR="000E7006" w:rsidRPr="00FF0B07" w:rsidRDefault="000E7006" w:rsidP="00B32E57">
      <w:pPr>
        <w:spacing w:after="0" w:line="240" w:lineRule="auto"/>
        <w:contextualSpacing/>
        <w:rPr>
          <w:rFonts w:ascii="Century Gothic" w:hAnsi="Century Gothic" w:cs="Arial"/>
          <w:b/>
          <w:bCs/>
          <w:sz w:val="20"/>
          <w:szCs w:val="20"/>
        </w:rPr>
      </w:pPr>
    </w:p>
    <w:sectPr w:rsidR="000E7006" w:rsidRPr="00FF0B07" w:rsidSect="00014A68">
      <w:headerReference w:type="default" r:id="rId14"/>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EEFB" w14:textId="77777777" w:rsidR="007B44A1" w:rsidRDefault="007B44A1" w:rsidP="0066719E">
      <w:pPr>
        <w:spacing w:after="0" w:line="240" w:lineRule="auto"/>
      </w:pPr>
      <w:r>
        <w:separator/>
      </w:r>
    </w:p>
  </w:endnote>
  <w:endnote w:type="continuationSeparator" w:id="0">
    <w:p w14:paraId="0E8FD214" w14:textId="77777777" w:rsidR="007B44A1" w:rsidRDefault="007B44A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EC13A" w14:textId="77777777" w:rsidR="007B44A1" w:rsidRDefault="007B44A1" w:rsidP="0066719E">
      <w:pPr>
        <w:spacing w:after="0" w:line="240" w:lineRule="auto"/>
      </w:pPr>
      <w:r>
        <w:separator/>
      </w:r>
    </w:p>
  </w:footnote>
  <w:footnote w:type="continuationSeparator" w:id="0">
    <w:p w14:paraId="357B77D1" w14:textId="77777777" w:rsidR="007B44A1" w:rsidRDefault="007B44A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8B54" w14:textId="77777777" w:rsidR="00492157" w:rsidRDefault="00492157" w:rsidP="00492157">
    <w:pPr>
      <w:ind w:right="115"/>
      <w:jc w:val="right"/>
      <w:rPr>
        <w:rFonts w:ascii="Arial" w:eastAsia="Arial" w:hAnsi="Arial" w:cs="Arial"/>
        <w:b/>
        <w:i/>
        <w:sz w:val="18"/>
      </w:rPr>
    </w:pPr>
    <w:r>
      <w:rPr>
        <w:noProof/>
      </w:rPr>
      <w:drawing>
        <wp:anchor distT="0" distB="0" distL="0" distR="0" simplePos="0" relativeHeight="251659264" behindDoc="0" locked="0" layoutInCell="1" allowOverlap="1" wp14:anchorId="5F59B922" wp14:editId="3449B6EF">
          <wp:simplePos x="0" y="0"/>
          <wp:positionH relativeFrom="margin">
            <wp:align>left</wp:align>
          </wp:positionH>
          <wp:positionV relativeFrom="paragraph">
            <wp:posOffset>-298317</wp:posOffset>
          </wp:positionV>
          <wp:extent cx="1040725" cy="1001236"/>
          <wp:effectExtent l="0" t="0" r="762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r>
      <w:tab/>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p w14:paraId="60E3A52B" w14:textId="4B16F20D" w:rsidR="00AF1061" w:rsidRDefault="00492157" w:rsidP="00492157">
    <w:pPr>
      <w:pStyle w:val="Encabezado"/>
      <w:tabs>
        <w:tab w:val="clear" w:pos="4419"/>
        <w:tab w:val="clear" w:pos="8838"/>
        <w:tab w:val="left" w:pos="12156"/>
        <w:tab w:val="left" w:pos="16125"/>
      </w:tabs>
    </w:pPr>
    <w:r>
      <w:tab/>
    </w:r>
  </w:p>
  <w:p w14:paraId="4A999B52" w14:textId="01E874F4" w:rsidR="00492157" w:rsidRDefault="00492157" w:rsidP="00492157">
    <w:pPr>
      <w:pStyle w:val="Encabezado"/>
      <w:tabs>
        <w:tab w:val="clear" w:pos="4419"/>
        <w:tab w:val="clear" w:pos="8838"/>
        <w:tab w:val="left" w:pos="16125"/>
      </w:tabs>
    </w:pPr>
  </w:p>
  <w:p w14:paraId="4DDB7827" w14:textId="779D3CE5" w:rsidR="00492157" w:rsidRDefault="00492157" w:rsidP="00492157">
    <w:pPr>
      <w:pStyle w:val="Encabezado"/>
      <w:tabs>
        <w:tab w:val="clear" w:pos="4419"/>
        <w:tab w:val="clear" w:pos="8838"/>
        <w:tab w:val="left" w:pos="16125"/>
      </w:tabs>
    </w:pPr>
  </w:p>
  <w:p w14:paraId="66360E08" w14:textId="42C53806" w:rsidR="00492157" w:rsidRDefault="00492157" w:rsidP="00492157">
    <w:pPr>
      <w:pStyle w:val="Encabezado"/>
      <w:tabs>
        <w:tab w:val="clear" w:pos="4419"/>
        <w:tab w:val="clear" w:pos="8838"/>
        <w:tab w:val="left" w:pos="16125"/>
      </w:tabs>
    </w:pPr>
  </w:p>
  <w:p w14:paraId="23032655" w14:textId="77777777" w:rsidR="00492157" w:rsidRDefault="00492157" w:rsidP="00492157">
    <w:pPr>
      <w:pStyle w:val="Encabezado"/>
      <w:tabs>
        <w:tab w:val="clear" w:pos="4419"/>
        <w:tab w:val="clear" w:pos="8838"/>
        <w:tab w:val="left" w:pos="161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11D12"/>
    <w:rsid w:val="00014710"/>
    <w:rsid w:val="00014A68"/>
    <w:rsid w:val="000233C9"/>
    <w:rsid w:val="00034E91"/>
    <w:rsid w:val="00035203"/>
    <w:rsid w:val="000412E5"/>
    <w:rsid w:val="00041BC7"/>
    <w:rsid w:val="00041F6F"/>
    <w:rsid w:val="00044864"/>
    <w:rsid w:val="00045E37"/>
    <w:rsid w:val="00047692"/>
    <w:rsid w:val="000579F2"/>
    <w:rsid w:val="00060D9A"/>
    <w:rsid w:val="00063E5D"/>
    <w:rsid w:val="0006518A"/>
    <w:rsid w:val="00071174"/>
    <w:rsid w:val="000736B5"/>
    <w:rsid w:val="0007579E"/>
    <w:rsid w:val="00090B3F"/>
    <w:rsid w:val="0009603A"/>
    <w:rsid w:val="00096C28"/>
    <w:rsid w:val="000A66A3"/>
    <w:rsid w:val="000A6EC7"/>
    <w:rsid w:val="000A7990"/>
    <w:rsid w:val="000B72EB"/>
    <w:rsid w:val="000C2908"/>
    <w:rsid w:val="000C5449"/>
    <w:rsid w:val="000D1C49"/>
    <w:rsid w:val="000D32E2"/>
    <w:rsid w:val="000E25F0"/>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14544"/>
    <w:rsid w:val="00121CB6"/>
    <w:rsid w:val="00121E12"/>
    <w:rsid w:val="00122B67"/>
    <w:rsid w:val="00122BA6"/>
    <w:rsid w:val="001245DE"/>
    <w:rsid w:val="00124918"/>
    <w:rsid w:val="00132802"/>
    <w:rsid w:val="00133EDC"/>
    <w:rsid w:val="00134041"/>
    <w:rsid w:val="001504C9"/>
    <w:rsid w:val="00151BCB"/>
    <w:rsid w:val="00157D83"/>
    <w:rsid w:val="00162CBA"/>
    <w:rsid w:val="00172FEC"/>
    <w:rsid w:val="00174239"/>
    <w:rsid w:val="00180C66"/>
    <w:rsid w:val="00183254"/>
    <w:rsid w:val="00190C20"/>
    <w:rsid w:val="001B5C53"/>
    <w:rsid w:val="001C3D12"/>
    <w:rsid w:val="001C604C"/>
    <w:rsid w:val="001C7E8D"/>
    <w:rsid w:val="001D10C2"/>
    <w:rsid w:val="001F011D"/>
    <w:rsid w:val="001F5D22"/>
    <w:rsid w:val="001F64DB"/>
    <w:rsid w:val="00205382"/>
    <w:rsid w:val="002114E7"/>
    <w:rsid w:val="00216013"/>
    <w:rsid w:val="00220986"/>
    <w:rsid w:val="00231632"/>
    <w:rsid w:val="002322EE"/>
    <w:rsid w:val="00232E4D"/>
    <w:rsid w:val="00235430"/>
    <w:rsid w:val="00236029"/>
    <w:rsid w:val="00241317"/>
    <w:rsid w:val="002420B2"/>
    <w:rsid w:val="002427EA"/>
    <w:rsid w:val="002535CA"/>
    <w:rsid w:val="00253C9A"/>
    <w:rsid w:val="00275B7E"/>
    <w:rsid w:val="00277A69"/>
    <w:rsid w:val="00283D06"/>
    <w:rsid w:val="00291643"/>
    <w:rsid w:val="00294B77"/>
    <w:rsid w:val="002A0AB8"/>
    <w:rsid w:val="002A3B77"/>
    <w:rsid w:val="002B1137"/>
    <w:rsid w:val="002C1411"/>
    <w:rsid w:val="002C1A46"/>
    <w:rsid w:val="002C6D50"/>
    <w:rsid w:val="002C7483"/>
    <w:rsid w:val="002D0EC8"/>
    <w:rsid w:val="002D1134"/>
    <w:rsid w:val="002D2571"/>
    <w:rsid w:val="002D3784"/>
    <w:rsid w:val="002D6F78"/>
    <w:rsid w:val="002D6FC4"/>
    <w:rsid w:val="002E3111"/>
    <w:rsid w:val="002F17E9"/>
    <w:rsid w:val="002F6414"/>
    <w:rsid w:val="002F6B8B"/>
    <w:rsid w:val="0030255F"/>
    <w:rsid w:val="003032DD"/>
    <w:rsid w:val="003070A2"/>
    <w:rsid w:val="00310301"/>
    <w:rsid w:val="003114AD"/>
    <w:rsid w:val="00312303"/>
    <w:rsid w:val="003159FF"/>
    <w:rsid w:val="00317706"/>
    <w:rsid w:val="0032427F"/>
    <w:rsid w:val="00333E04"/>
    <w:rsid w:val="003347D9"/>
    <w:rsid w:val="00343740"/>
    <w:rsid w:val="003553BB"/>
    <w:rsid w:val="003557F6"/>
    <w:rsid w:val="00356318"/>
    <w:rsid w:val="003564C3"/>
    <w:rsid w:val="00362061"/>
    <w:rsid w:val="00367C8D"/>
    <w:rsid w:val="00371366"/>
    <w:rsid w:val="00371CD3"/>
    <w:rsid w:val="00372A97"/>
    <w:rsid w:val="00376467"/>
    <w:rsid w:val="00381411"/>
    <w:rsid w:val="003840D9"/>
    <w:rsid w:val="00390190"/>
    <w:rsid w:val="003959AF"/>
    <w:rsid w:val="003A441C"/>
    <w:rsid w:val="003A5324"/>
    <w:rsid w:val="003A5C9E"/>
    <w:rsid w:val="003B6AF2"/>
    <w:rsid w:val="003C360B"/>
    <w:rsid w:val="003C427A"/>
    <w:rsid w:val="003D5BE1"/>
    <w:rsid w:val="003E5C0B"/>
    <w:rsid w:val="003F02F5"/>
    <w:rsid w:val="003F4DEF"/>
    <w:rsid w:val="003F539B"/>
    <w:rsid w:val="003F5B01"/>
    <w:rsid w:val="003F68C4"/>
    <w:rsid w:val="003F71FF"/>
    <w:rsid w:val="00403A5F"/>
    <w:rsid w:val="00406EC5"/>
    <w:rsid w:val="00417A73"/>
    <w:rsid w:val="00421C6F"/>
    <w:rsid w:val="00424E79"/>
    <w:rsid w:val="0042675C"/>
    <w:rsid w:val="00431F2F"/>
    <w:rsid w:val="004379B0"/>
    <w:rsid w:val="00443800"/>
    <w:rsid w:val="00447B23"/>
    <w:rsid w:val="004668FF"/>
    <w:rsid w:val="00473536"/>
    <w:rsid w:val="00474E2C"/>
    <w:rsid w:val="004760EE"/>
    <w:rsid w:val="004764F6"/>
    <w:rsid w:val="00480923"/>
    <w:rsid w:val="004831EC"/>
    <w:rsid w:val="004837BB"/>
    <w:rsid w:val="004876F0"/>
    <w:rsid w:val="0049137A"/>
    <w:rsid w:val="00492157"/>
    <w:rsid w:val="00494ADA"/>
    <w:rsid w:val="00496CEC"/>
    <w:rsid w:val="004A4252"/>
    <w:rsid w:val="004A7093"/>
    <w:rsid w:val="004B208A"/>
    <w:rsid w:val="004B3A6B"/>
    <w:rsid w:val="004B4CEC"/>
    <w:rsid w:val="004C3146"/>
    <w:rsid w:val="004C54B0"/>
    <w:rsid w:val="004C54DD"/>
    <w:rsid w:val="004C6030"/>
    <w:rsid w:val="004D52E6"/>
    <w:rsid w:val="004D63EE"/>
    <w:rsid w:val="004D6F56"/>
    <w:rsid w:val="004F0F19"/>
    <w:rsid w:val="00500CFB"/>
    <w:rsid w:val="00506F0C"/>
    <w:rsid w:val="005140C2"/>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71690"/>
    <w:rsid w:val="00574B4A"/>
    <w:rsid w:val="0058130E"/>
    <w:rsid w:val="00583A48"/>
    <w:rsid w:val="00583A81"/>
    <w:rsid w:val="00583A86"/>
    <w:rsid w:val="00590467"/>
    <w:rsid w:val="00595C35"/>
    <w:rsid w:val="005A6AF5"/>
    <w:rsid w:val="005B07D0"/>
    <w:rsid w:val="005B5F8F"/>
    <w:rsid w:val="005C4ADD"/>
    <w:rsid w:val="005C5AC1"/>
    <w:rsid w:val="005C6F32"/>
    <w:rsid w:val="005C779A"/>
    <w:rsid w:val="005D4851"/>
    <w:rsid w:val="005F5E80"/>
    <w:rsid w:val="005F7A02"/>
    <w:rsid w:val="00600A62"/>
    <w:rsid w:val="0060221F"/>
    <w:rsid w:val="00603FBB"/>
    <w:rsid w:val="00607597"/>
    <w:rsid w:val="00612B51"/>
    <w:rsid w:val="00614FDF"/>
    <w:rsid w:val="006162EA"/>
    <w:rsid w:val="00621AE4"/>
    <w:rsid w:val="00622A1F"/>
    <w:rsid w:val="006239F1"/>
    <w:rsid w:val="00624BEA"/>
    <w:rsid w:val="00630B00"/>
    <w:rsid w:val="00631C8A"/>
    <w:rsid w:val="00632A2A"/>
    <w:rsid w:val="0063409C"/>
    <w:rsid w:val="00636304"/>
    <w:rsid w:val="00637540"/>
    <w:rsid w:val="00642DC7"/>
    <w:rsid w:val="0064777E"/>
    <w:rsid w:val="00647B63"/>
    <w:rsid w:val="00652959"/>
    <w:rsid w:val="00653B9C"/>
    <w:rsid w:val="006578B4"/>
    <w:rsid w:val="006608DA"/>
    <w:rsid w:val="00666328"/>
    <w:rsid w:val="0066719E"/>
    <w:rsid w:val="00667641"/>
    <w:rsid w:val="00671124"/>
    <w:rsid w:val="006720C0"/>
    <w:rsid w:val="00674D06"/>
    <w:rsid w:val="00675EF1"/>
    <w:rsid w:val="006806E3"/>
    <w:rsid w:val="006857CA"/>
    <w:rsid w:val="00692FF5"/>
    <w:rsid w:val="00693291"/>
    <w:rsid w:val="006939EF"/>
    <w:rsid w:val="00697E23"/>
    <w:rsid w:val="006A0765"/>
    <w:rsid w:val="006A76FC"/>
    <w:rsid w:val="006B5493"/>
    <w:rsid w:val="006B668C"/>
    <w:rsid w:val="006C0FF1"/>
    <w:rsid w:val="006C482C"/>
    <w:rsid w:val="006D4D0A"/>
    <w:rsid w:val="006D6333"/>
    <w:rsid w:val="006E494E"/>
    <w:rsid w:val="006F25C7"/>
    <w:rsid w:val="006F50DF"/>
    <w:rsid w:val="006F681E"/>
    <w:rsid w:val="007018D1"/>
    <w:rsid w:val="0070402F"/>
    <w:rsid w:val="007061D5"/>
    <w:rsid w:val="007066DD"/>
    <w:rsid w:val="0071071F"/>
    <w:rsid w:val="00714C31"/>
    <w:rsid w:val="00726E40"/>
    <w:rsid w:val="00756244"/>
    <w:rsid w:val="00756684"/>
    <w:rsid w:val="0077486F"/>
    <w:rsid w:val="00776BC7"/>
    <w:rsid w:val="007812B9"/>
    <w:rsid w:val="00782F61"/>
    <w:rsid w:val="0078377A"/>
    <w:rsid w:val="00784C33"/>
    <w:rsid w:val="00786ADD"/>
    <w:rsid w:val="00797ACC"/>
    <w:rsid w:val="007B44A1"/>
    <w:rsid w:val="007C0C96"/>
    <w:rsid w:val="007C383E"/>
    <w:rsid w:val="007D0E9E"/>
    <w:rsid w:val="007D1433"/>
    <w:rsid w:val="007D2DD5"/>
    <w:rsid w:val="007D4A19"/>
    <w:rsid w:val="007F2329"/>
    <w:rsid w:val="007F568E"/>
    <w:rsid w:val="008022EC"/>
    <w:rsid w:val="00803084"/>
    <w:rsid w:val="00805985"/>
    <w:rsid w:val="00806C66"/>
    <w:rsid w:val="008073AD"/>
    <w:rsid w:val="00807F4E"/>
    <w:rsid w:val="008118A1"/>
    <w:rsid w:val="00814A6B"/>
    <w:rsid w:val="00823C1B"/>
    <w:rsid w:val="008320D3"/>
    <w:rsid w:val="00832272"/>
    <w:rsid w:val="00832899"/>
    <w:rsid w:val="00834430"/>
    <w:rsid w:val="00836A4F"/>
    <w:rsid w:val="00844F09"/>
    <w:rsid w:val="008549B1"/>
    <w:rsid w:val="008701DD"/>
    <w:rsid w:val="008950A8"/>
    <w:rsid w:val="0089715E"/>
    <w:rsid w:val="008B1A4C"/>
    <w:rsid w:val="008B4C3E"/>
    <w:rsid w:val="008B7AC0"/>
    <w:rsid w:val="008C2F78"/>
    <w:rsid w:val="008C36CE"/>
    <w:rsid w:val="008C5F23"/>
    <w:rsid w:val="008E3E22"/>
    <w:rsid w:val="008E585A"/>
    <w:rsid w:val="008F108F"/>
    <w:rsid w:val="008F7F99"/>
    <w:rsid w:val="00903F69"/>
    <w:rsid w:val="00910B80"/>
    <w:rsid w:val="00913BAA"/>
    <w:rsid w:val="00922C4B"/>
    <w:rsid w:val="009239A9"/>
    <w:rsid w:val="00940941"/>
    <w:rsid w:val="0094097C"/>
    <w:rsid w:val="009418D2"/>
    <w:rsid w:val="0094304C"/>
    <w:rsid w:val="009463C8"/>
    <w:rsid w:val="00952C93"/>
    <w:rsid w:val="0096028A"/>
    <w:rsid w:val="00975825"/>
    <w:rsid w:val="0097588A"/>
    <w:rsid w:val="00976D9A"/>
    <w:rsid w:val="0098149A"/>
    <w:rsid w:val="00986B44"/>
    <w:rsid w:val="009913ED"/>
    <w:rsid w:val="009950BB"/>
    <w:rsid w:val="009A678E"/>
    <w:rsid w:val="009A6969"/>
    <w:rsid w:val="009B4DA1"/>
    <w:rsid w:val="009B5ADA"/>
    <w:rsid w:val="009B6502"/>
    <w:rsid w:val="009C425F"/>
    <w:rsid w:val="009C6834"/>
    <w:rsid w:val="009D49B1"/>
    <w:rsid w:val="009D60CC"/>
    <w:rsid w:val="009D6D03"/>
    <w:rsid w:val="009D73CD"/>
    <w:rsid w:val="009E2A5C"/>
    <w:rsid w:val="009E3144"/>
    <w:rsid w:val="009E6F58"/>
    <w:rsid w:val="009E763B"/>
    <w:rsid w:val="00A07325"/>
    <w:rsid w:val="00A12BAF"/>
    <w:rsid w:val="00A205B5"/>
    <w:rsid w:val="00A226A3"/>
    <w:rsid w:val="00A24AC3"/>
    <w:rsid w:val="00A25F1D"/>
    <w:rsid w:val="00A26FF2"/>
    <w:rsid w:val="00A271BC"/>
    <w:rsid w:val="00A278EC"/>
    <w:rsid w:val="00A35EC3"/>
    <w:rsid w:val="00A37BDE"/>
    <w:rsid w:val="00A57322"/>
    <w:rsid w:val="00A6740B"/>
    <w:rsid w:val="00A878E8"/>
    <w:rsid w:val="00A92CE6"/>
    <w:rsid w:val="00A972C7"/>
    <w:rsid w:val="00AA4705"/>
    <w:rsid w:val="00AA6942"/>
    <w:rsid w:val="00AA79E6"/>
    <w:rsid w:val="00AC421F"/>
    <w:rsid w:val="00AD1889"/>
    <w:rsid w:val="00AD73E9"/>
    <w:rsid w:val="00AE25D0"/>
    <w:rsid w:val="00AE4DA6"/>
    <w:rsid w:val="00AF1061"/>
    <w:rsid w:val="00AF490F"/>
    <w:rsid w:val="00AF4C7A"/>
    <w:rsid w:val="00AF6B0E"/>
    <w:rsid w:val="00AF6F88"/>
    <w:rsid w:val="00B03E0E"/>
    <w:rsid w:val="00B11828"/>
    <w:rsid w:val="00B11A27"/>
    <w:rsid w:val="00B219B1"/>
    <w:rsid w:val="00B2331F"/>
    <w:rsid w:val="00B25770"/>
    <w:rsid w:val="00B26E63"/>
    <w:rsid w:val="00B30A10"/>
    <w:rsid w:val="00B30FCC"/>
    <w:rsid w:val="00B31482"/>
    <w:rsid w:val="00B32E57"/>
    <w:rsid w:val="00B47C1D"/>
    <w:rsid w:val="00B47DC6"/>
    <w:rsid w:val="00B5134D"/>
    <w:rsid w:val="00B529A0"/>
    <w:rsid w:val="00B53E42"/>
    <w:rsid w:val="00B67AA7"/>
    <w:rsid w:val="00B7155B"/>
    <w:rsid w:val="00B73155"/>
    <w:rsid w:val="00B74353"/>
    <w:rsid w:val="00B7437D"/>
    <w:rsid w:val="00B8161D"/>
    <w:rsid w:val="00B82F0E"/>
    <w:rsid w:val="00B83D81"/>
    <w:rsid w:val="00B9020F"/>
    <w:rsid w:val="00B90CD2"/>
    <w:rsid w:val="00B9743A"/>
    <w:rsid w:val="00BA3B37"/>
    <w:rsid w:val="00BA4515"/>
    <w:rsid w:val="00BA6A1E"/>
    <w:rsid w:val="00BA7CE4"/>
    <w:rsid w:val="00BB23DF"/>
    <w:rsid w:val="00BB6F73"/>
    <w:rsid w:val="00BC0555"/>
    <w:rsid w:val="00BC14B9"/>
    <w:rsid w:val="00BD1C38"/>
    <w:rsid w:val="00BD4173"/>
    <w:rsid w:val="00BD6F18"/>
    <w:rsid w:val="00BE4580"/>
    <w:rsid w:val="00BF2DCF"/>
    <w:rsid w:val="00BF6711"/>
    <w:rsid w:val="00C06006"/>
    <w:rsid w:val="00C1249B"/>
    <w:rsid w:val="00C128BE"/>
    <w:rsid w:val="00C2046F"/>
    <w:rsid w:val="00C20D7D"/>
    <w:rsid w:val="00C22D4A"/>
    <w:rsid w:val="00C24733"/>
    <w:rsid w:val="00C26F0E"/>
    <w:rsid w:val="00C27C28"/>
    <w:rsid w:val="00C3200C"/>
    <w:rsid w:val="00C35DFB"/>
    <w:rsid w:val="00C37F3B"/>
    <w:rsid w:val="00C416B5"/>
    <w:rsid w:val="00C52C6D"/>
    <w:rsid w:val="00C53EC7"/>
    <w:rsid w:val="00C61AD1"/>
    <w:rsid w:val="00C62B0B"/>
    <w:rsid w:val="00C71864"/>
    <w:rsid w:val="00C726E6"/>
    <w:rsid w:val="00C7618C"/>
    <w:rsid w:val="00C80197"/>
    <w:rsid w:val="00C83E89"/>
    <w:rsid w:val="00C84213"/>
    <w:rsid w:val="00C85860"/>
    <w:rsid w:val="00C87D2A"/>
    <w:rsid w:val="00C93457"/>
    <w:rsid w:val="00C936C2"/>
    <w:rsid w:val="00CA03E1"/>
    <w:rsid w:val="00CA55CC"/>
    <w:rsid w:val="00CA6057"/>
    <w:rsid w:val="00CB1D78"/>
    <w:rsid w:val="00CB4AF5"/>
    <w:rsid w:val="00CB54E1"/>
    <w:rsid w:val="00CC0D99"/>
    <w:rsid w:val="00CC1C63"/>
    <w:rsid w:val="00CC2F45"/>
    <w:rsid w:val="00CE2B86"/>
    <w:rsid w:val="00CE63A0"/>
    <w:rsid w:val="00CE79C0"/>
    <w:rsid w:val="00CF2894"/>
    <w:rsid w:val="00D03F11"/>
    <w:rsid w:val="00D0794C"/>
    <w:rsid w:val="00D13788"/>
    <w:rsid w:val="00D2194C"/>
    <w:rsid w:val="00D2237C"/>
    <w:rsid w:val="00D23ED9"/>
    <w:rsid w:val="00D2670F"/>
    <w:rsid w:val="00D304D3"/>
    <w:rsid w:val="00D41557"/>
    <w:rsid w:val="00D42412"/>
    <w:rsid w:val="00D51030"/>
    <w:rsid w:val="00D518AC"/>
    <w:rsid w:val="00D64519"/>
    <w:rsid w:val="00D66BC6"/>
    <w:rsid w:val="00D719BA"/>
    <w:rsid w:val="00D71B0E"/>
    <w:rsid w:val="00D8596D"/>
    <w:rsid w:val="00DA1909"/>
    <w:rsid w:val="00DA1E20"/>
    <w:rsid w:val="00DB1F00"/>
    <w:rsid w:val="00DB36A1"/>
    <w:rsid w:val="00DB4EF5"/>
    <w:rsid w:val="00DC2FEC"/>
    <w:rsid w:val="00DD7DA7"/>
    <w:rsid w:val="00DE397C"/>
    <w:rsid w:val="00DF3EB5"/>
    <w:rsid w:val="00DF7C5E"/>
    <w:rsid w:val="00E04921"/>
    <w:rsid w:val="00E06075"/>
    <w:rsid w:val="00E1496A"/>
    <w:rsid w:val="00E16A5D"/>
    <w:rsid w:val="00E22C9D"/>
    <w:rsid w:val="00E25CAD"/>
    <w:rsid w:val="00E2761F"/>
    <w:rsid w:val="00E314D1"/>
    <w:rsid w:val="00E449E7"/>
    <w:rsid w:val="00E50082"/>
    <w:rsid w:val="00E5182E"/>
    <w:rsid w:val="00E559CD"/>
    <w:rsid w:val="00E56B27"/>
    <w:rsid w:val="00E623E5"/>
    <w:rsid w:val="00E64497"/>
    <w:rsid w:val="00E66BFF"/>
    <w:rsid w:val="00E70AA1"/>
    <w:rsid w:val="00E73331"/>
    <w:rsid w:val="00E73612"/>
    <w:rsid w:val="00E73657"/>
    <w:rsid w:val="00E831AE"/>
    <w:rsid w:val="00E84592"/>
    <w:rsid w:val="00E84BAE"/>
    <w:rsid w:val="00E86BCF"/>
    <w:rsid w:val="00E93444"/>
    <w:rsid w:val="00E95EA8"/>
    <w:rsid w:val="00E96041"/>
    <w:rsid w:val="00E97067"/>
    <w:rsid w:val="00EA320A"/>
    <w:rsid w:val="00EA589A"/>
    <w:rsid w:val="00EA5987"/>
    <w:rsid w:val="00EB5553"/>
    <w:rsid w:val="00EC12CC"/>
    <w:rsid w:val="00ED36FC"/>
    <w:rsid w:val="00ED5618"/>
    <w:rsid w:val="00ED5F9F"/>
    <w:rsid w:val="00EF5993"/>
    <w:rsid w:val="00EF7EAC"/>
    <w:rsid w:val="00F054D3"/>
    <w:rsid w:val="00F276E5"/>
    <w:rsid w:val="00F32991"/>
    <w:rsid w:val="00F34C74"/>
    <w:rsid w:val="00F3637A"/>
    <w:rsid w:val="00F41723"/>
    <w:rsid w:val="00F4222F"/>
    <w:rsid w:val="00F5598B"/>
    <w:rsid w:val="00F65CC0"/>
    <w:rsid w:val="00F67A67"/>
    <w:rsid w:val="00F67C1B"/>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D0682"/>
    <w:rsid w:val="00FD29CB"/>
    <w:rsid w:val="00FD2B97"/>
    <w:rsid w:val="00FD5778"/>
    <w:rsid w:val="00FE05BD"/>
    <w:rsid w:val="00FE53D7"/>
    <w:rsid w:val="00FE6684"/>
    <w:rsid w:val="00FE7734"/>
    <w:rsid w:val="00FF0B07"/>
    <w:rsid w:val="00FF5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 w:type="paragraph" w:customStyle="1" w:styleId="Default">
    <w:name w:val="Default"/>
    <w:rsid w:val="004D52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scjn.gob.mx/Buscador/Paginas/AbrirDocArticulo.aspx?q=u+uol4XmeVVQSBV20oBZU3T8WwhkfP13ERq0g+AWzs4XDciGunoeyYDocZjprGXmJEupQipQJaMcGpQMEV9Tyw==" TargetMode="External"/><Relationship Id="rId13" Type="http://schemas.openxmlformats.org/officeDocument/2006/relationships/hyperlink" Target="https://www.oplever.org.mx/wp-content/uploads/2020/normatividad/Lineamientos/LINEAMIENTOS-PARA-LA-FISCALIZACION-DE-LAS-ORGANIZACIONES-DE-OBSERVADORAS-Y-OBSERVADORES-ELECTORAL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Reglamento%20para%20la%20Sustanciaci&#243;n%20de%20los%20Procedimientos%20Oficiosos%20y%20de%20las%20quejas%20en%20Materia%20de%20Fiscalizaci&#243;n%20y%20Vigilancia%20de%20los%20Recursos%20de%20las%20Asociaciones%20Pol&#237;ticas%20Estatales%20del%20Organismo%20P&#250;blico%20Local%20Electoral%20del%20Estado%20de%20Veracru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lever.org.mx/wp-content/uploads/2020/normatividad/Reglamentos/REGLAMENTO-DE-FISCALIZACION-PARA-LAS-ASOCIACIONES-POLITICAS-ESTATAL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plever.org.mx/wp-content/uploads/2019/normatividad/reglamentos/RFiscalizaci&#243;nPP11082016.pdf" TargetMode="External"/><Relationship Id="rId4" Type="http://schemas.openxmlformats.org/officeDocument/2006/relationships/settings" Target="settings.xml"/><Relationship Id="rId9" Type="http://schemas.openxmlformats.org/officeDocument/2006/relationships/hyperlink" Target="https://legislacion.scjn.gob.mx/Buscador/Paginas/AbrirDocArticulo.aspx?q=f1G76H8Whi01YsK4VdoyO89Y6DoUthbDGnis/UDDCiPwbLL9WbY70Dwj/rBKVEUsV5rsK8rxgD4mz0YXukGxG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767B-31CF-4541-A129-ABC5269E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2542</Words>
  <Characters>13986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79</cp:revision>
  <cp:lastPrinted>2015-04-17T18:02:00Z</cp:lastPrinted>
  <dcterms:created xsi:type="dcterms:W3CDTF">2021-04-21T16:01:00Z</dcterms:created>
  <dcterms:modified xsi:type="dcterms:W3CDTF">2021-11-03T19:49:00Z</dcterms:modified>
</cp:coreProperties>
</file>