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B7899" w14:textId="77777777" w:rsidR="001B1EAC" w:rsidRDefault="001B1EAC">
      <w:pPr>
        <w:pStyle w:val="Textoindependiente"/>
        <w:spacing w:before="2"/>
        <w:rPr>
          <w:rFonts w:ascii="Times New Roman"/>
          <w:b w:val="0"/>
          <w:i w:val="0"/>
          <w:sz w:val="13"/>
        </w:rPr>
      </w:pPr>
    </w:p>
    <w:p w14:paraId="07AB78A0" w14:textId="77777777" w:rsidR="001B1EAC" w:rsidRDefault="001B1EAC">
      <w:pPr>
        <w:pStyle w:val="Textoindependiente"/>
        <w:spacing w:before="1"/>
        <w:rPr>
          <w:sz w:val="11"/>
        </w:rPr>
      </w:pPr>
    </w:p>
    <w:tbl>
      <w:tblPr>
        <w:tblStyle w:val="TableNormal"/>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460"/>
        <w:gridCol w:w="2765"/>
        <w:gridCol w:w="4472"/>
        <w:gridCol w:w="8622"/>
      </w:tblGrid>
      <w:tr w:rsidR="001B1EAC" w14:paraId="07AB78A5" w14:textId="77777777" w:rsidTr="00681847">
        <w:trPr>
          <w:trHeight w:val="470"/>
          <w:tblHeader/>
        </w:trPr>
        <w:tc>
          <w:tcPr>
            <w:tcW w:w="1460" w:type="dxa"/>
            <w:shd w:val="clear" w:color="auto" w:fill="76923B"/>
          </w:tcPr>
          <w:p w14:paraId="07AB78A1" w14:textId="77777777" w:rsidR="001B1EAC" w:rsidRDefault="001B1EAC">
            <w:pPr>
              <w:pStyle w:val="TableParagraph"/>
              <w:ind w:left="0"/>
              <w:rPr>
                <w:rFonts w:ascii="Times New Roman"/>
                <w:sz w:val="18"/>
              </w:rPr>
            </w:pPr>
          </w:p>
        </w:tc>
        <w:tc>
          <w:tcPr>
            <w:tcW w:w="2765" w:type="dxa"/>
            <w:shd w:val="clear" w:color="auto" w:fill="76923B"/>
          </w:tcPr>
          <w:p w14:paraId="07AB78A2" w14:textId="77777777" w:rsidR="001B1EAC" w:rsidRDefault="00C04CBE">
            <w:pPr>
              <w:pStyle w:val="TableParagraph"/>
              <w:spacing w:before="65"/>
              <w:ind w:left="927" w:right="927"/>
              <w:jc w:val="center"/>
              <w:rPr>
                <w:b/>
                <w:sz w:val="20"/>
              </w:rPr>
            </w:pPr>
            <w:r>
              <w:rPr>
                <w:b/>
                <w:color w:val="FFFFFF"/>
                <w:sz w:val="20"/>
              </w:rPr>
              <w:t>ESTADO</w:t>
            </w:r>
          </w:p>
        </w:tc>
        <w:tc>
          <w:tcPr>
            <w:tcW w:w="4472" w:type="dxa"/>
            <w:shd w:val="clear" w:color="auto" w:fill="76923B"/>
          </w:tcPr>
          <w:p w14:paraId="07AB78A3" w14:textId="77777777" w:rsidR="001B1EAC" w:rsidRDefault="00C04CBE">
            <w:pPr>
              <w:pStyle w:val="TableParagraph"/>
              <w:spacing w:before="65"/>
              <w:ind w:left="30" w:right="20"/>
              <w:jc w:val="center"/>
              <w:rPr>
                <w:b/>
                <w:sz w:val="20"/>
              </w:rPr>
            </w:pPr>
            <w:r>
              <w:rPr>
                <w:b/>
                <w:color w:val="FFFFFF"/>
                <w:sz w:val="20"/>
              </w:rPr>
              <w:t>LEY</w:t>
            </w:r>
          </w:p>
        </w:tc>
        <w:tc>
          <w:tcPr>
            <w:tcW w:w="8622" w:type="dxa"/>
            <w:shd w:val="clear" w:color="auto" w:fill="76923B"/>
          </w:tcPr>
          <w:p w14:paraId="07AB78A4" w14:textId="77777777" w:rsidR="001B1EAC" w:rsidRDefault="00C04CBE">
            <w:pPr>
              <w:pStyle w:val="TableParagraph"/>
              <w:spacing w:before="65"/>
              <w:ind w:left="2925" w:right="2926"/>
              <w:jc w:val="center"/>
              <w:rPr>
                <w:b/>
                <w:sz w:val="20"/>
              </w:rPr>
            </w:pPr>
            <w:r>
              <w:rPr>
                <w:b/>
                <w:color w:val="FFFFFF"/>
                <w:sz w:val="20"/>
              </w:rPr>
              <w:t>ARTÍCULO (TRANSCRIPCIÓN)</w:t>
            </w:r>
          </w:p>
        </w:tc>
      </w:tr>
      <w:tr w:rsidR="0050149D" w14:paraId="07AB78AA" w14:textId="77777777" w:rsidTr="00681847">
        <w:trPr>
          <w:trHeight w:val="6440"/>
        </w:trPr>
        <w:tc>
          <w:tcPr>
            <w:tcW w:w="1460" w:type="dxa"/>
            <w:shd w:val="clear" w:color="auto" w:fill="auto"/>
          </w:tcPr>
          <w:p w14:paraId="1E03BCFE" w14:textId="77777777" w:rsidR="0050149D" w:rsidRDefault="0050149D">
            <w:pPr>
              <w:pStyle w:val="TableParagraph"/>
              <w:ind w:left="0"/>
              <w:rPr>
                <w:rFonts w:ascii="Arial"/>
                <w:b/>
                <w:i/>
                <w:sz w:val="24"/>
              </w:rPr>
            </w:pPr>
          </w:p>
          <w:p w14:paraId="107627BB" w14:textId="77777777" w:rsidR="0050149D" w:rsidRDefault="0050149D">
            <w:pPr>
              <w:pStyle w:val="TableParagraph"/>
              <w:ind w:left="0"/>
              <w:rPr>
                <w:rFonts w:ascii="Arial"/>
                <w:b/>
                <w:i/>
                <w:sz w:val="24"/>
              </w:rPr>
            </w:pPr>
          </w:p>
          <w:p w14:paraId="1FDEE10A" w14:textId="77777777" w:rsidR="0050149D" w:rsidRDefault="0050149D">
            <w:pPr>
              <w:pStyle w:val="TableParagraph"/>
              <w:ind w:left="0"/>
              <w:rPr>
                <w:rFonts w:ascii="Arial"/>
                <w:b/>
                <w:i/>
                <w:sz w:val="24"/>
              </w:rPr>
            </w:pPr>
          </w:p>
          <w:p w14:paraId="446C07A3" w14:textId="77777777" w:rsidR="0050149D" w:rsidRDefault="0050149D">
            <w:pPr>
              <w:pStyle w:val="TableParagraph"/>
              <w:ind w:left="0"/>
              <w:rPr>
                <w:rFonts w:ascii="Arial"/>
                <w:b/>
                <w:i/>
                <w:sz w:val="24"/>
              </w:rPr>
            </w:pPr>
          </w:p>
          <w:p w14:paraId="7F6DCB3B" w14:textId="77777777" w:rsidR="0050149D" w:rsidRDefault="0050149D">
            <w:pPr>
              <w:pStyle w:val="TableParagraph"/>
              <w:spacing w:before="4"/>
              <w:ind w:left="0"/>
              <w:rPr>
                <w:rFonts w:ascii="Arial"/>
                <w:b/>
                <w:i/>
                <w:sz w:val="32"/>
              </w:rPr>
            </w:pPr>
          </w:p>
          <w:p w14:paraId="07AB78A6" w14:textId="321AA087" w:rsidR="0050149D" w:rsidRDefault="0050149D" w:rsidP="0000534A">
            <w:pPr>
              <w:pStyle w:val="TableParagraph"/>
              <w:ind w:left="465"/>
              <w:rPr>
                <w:rFonts w:ascii="Times New Roman"/>
                <w:sz w:val="18"/>
              </w:rPr>
            </w:pPr>
            <w:r>
              <w:rPr>
                <w:b/>
                <w:sz w:val="20"/>
              </w:rPr>
              <w:t>1.</w:t>
            </w:r>
          </w:p>
        </w:tc>
        <w:tc>
          <w:tcPr>
            <w:tcW w:w="2765" w:type="dxa"/>
            <w:shd w:val="clear" w:color="auto" w:fill="auto"/>
          </w:tcPr>
          <w:p w14:paraId="798C59F4" w14:textId="77777777" w:rsidR="0050149D" w:rsidRDefault="0050149D">
            <w:pPr>
              <w:pStyle w:val="TableParagraph"/>
              <w:ind w:left="0"/>
              <w:rPr>
                <w:rFonts w:ascii="Arial"/>
                <w:b/>
                <w:i/>
                <w:sz w:val="24"/>
              </w:rPr>
            </w:pPr>
          </w:p>
          <w:p w14:paraId="1863E459" w14:textId="77777777" w:rsidR="0050149D" w:rsidRDefault="0050149D">
            <w:pPr>
              <w:pStyle w:val="TableParagraph"/>
              <w:ind w:left="0"/>
              <w:rPr>
                <w:rFonts w:ascii="Arial"/>
                <w:b/>
                <w:i/>
                <w:sz w:val="24"/>
              </w:rPr>
            </w:pPr>
          </w:p>
          <w:p w14:paraId="4B3BE3CD" w14:textId="6349CA97" w:rsidR="0050149D" w:rsidRDefault="0050149D">
            <w:pPr>
              <w:pStyle w:val="TableParagraph"/>
              <w:spacing w:before="4"/>
              <w:ind w:left="0"/>
              <w:rPr>
                <w:rFonts w:ascii="Arial"/>
                <w:b/>
                <w:i/>
                <w:sz w:val="32"/>
              </w:rPr>
            </w:pPr>
          </w:p>
          <w:p w14:paraId="20EDEAEF" w14:textId="77777777" w:rsidR="00CC3C92" w:rsidRDefault="00CC3C92">
            <w:pPr>
              <w:pStyle w:val="TableParagraph"/>
              <w:spacing w:before="4"/>
              <w:ind w:left="0"/>
              <w:rPr>
                <w:rFonts w:ascii="Arial"/>
                <w:b/>
                <w:i/>
                <w:sz w:val="32"/>
              </w:rPr>
            </w:pPr>
          </w:p>
          <w:p w14:paraId="07AB78A7" w14:textId="539F1586" w:rsidR="0050149D" w:rsidRDefault="0050149D" w:rsidP="00C067BD">
            <w:pPr>
              <w:pStyle w:val="TableParagraph"/>
              <w:ind w:left="928" w:right="927"/>
              <w:jc w:val="center"/>
              <w:rPr>
                <w:rFonts w:ascii="Times New Roman"/>
                <w:sz w:val="18"/>
              </w:rPr>
            </w:pPr>
            <w:r>
              <w:rPr>
                <w:b/>
                <w:sz w:val="20"/>
              </w:rPr>
              <w:t>CHIAPAS</w:t>
            </w:r>
          </w:p>
        </w:tc>
        <w:tc>
          <w:tcPr>
            <w:tcW w:w="4472" w:type="dxa"/>
            <w:shd w:val="clear" w:color="auto" w:fill="auto"/>
          </w:tcPr>
          <w:p w14:paraId="3481CA57" w14:textId="77777777" w:rsidR="0050149D" w:rsidRDefault="0050149D">
            <w:pPr>
              <w:pStyle w:val="TableParagraph"/>
              <w:ind w:left="0"/>
              <w:rPr>
                <w:rFonts w:ascii="Arial"/>
                <w:b/>
                <w:i/>
                <w:sz w:val="24"/>
              </w:rPr>
            </w:pPr>
          </w:p>
          <w:p w14:paraId="723C3F73" w14:textId="625A91C3" w:rsidR="0050149D" w:rsidRDefault="0050149D">
            <w:pPr>
              <w:pStyle w:val="TableParagraph"/>
              <w:ind w:left="0"/>
              <w:rPr>
                <w:rFonts w:ascii="Arial"/>
                <w:b/>
                <w:i/>
                <w:sz w:val="24"/>
              </w:rPr>
            </w:pPr>
          </w:p>
          <w:p w14:paraId="4796D5DC" w14:textId="77777777" w:rsidR="00CC3C92" w:rsidRDefault="00CC3C92">
            <w:pPr>
              <w:pStyle w:val="TableParagraph"/>
              <w:ind w:left="0"/>
              <w:rPr>
                <w:rFonts w:ascii="Arial"/>
                <w:b/>
                <w:i/>
                <w:sz w:val="24"/>
              </w:rPr>
            </w:pPr>
          </w:p>
          <w:p w14:paraId="0C5B026F" w14:textId="77777777" w:rsidR="0050149D" w:rsidRDefault="0050149D">
            <w:pPr>
              <w:pStyle w:val="TableParagraph"/>
              <w:ind w:left="0"/>
              <w:rPr>
                <w:rFonts w:ascii="Arial"/>
                <w:b/>
                <w:i/>
                <w:sz w:val="24"/>
              </w:rPr>
            </w:pPr>
          </w:p>
          <w:p w14:paraId="1A792648" w14:textId="77777777" w:rsidR="0050149D" w:rsidRPr="004B6D0A" w:rsidRDefault="00C41768" w:rsidP="009E75F5">
            <w:pPr>
              <w:pStyle w:val="TableParagraph"/>
              <w:ind w:left="0"/>
              <w:jc w:val="center"/>
              <w:rPr>
                <w:rFonts w:ascii="Arial"/>
                <w:b/>
                <w:bCs/>
                <w:iCs/>
                <w:sz w:val="24"/>
              </w:rPr>
            </w:pPr>
            <w:hyperlink r:id="rId7" w:history="1">
              <w:r w:rsidR="0050149D" w:rsidRPr="00795B48">
                <w:rPr>
                  <w:rStyle w:val="Hipervnculo"/>
                  <w:b/>
                  <w:bCs/>
                  <w:sz w:val="20"/>
                </w:rPr>
                <w:t>Constitución Política del Estado Libre y Soberano de Chiapas</w:t>
              </w:r>
            </w:hyperlink>
          </w:p>
          <w:p w14:paraId="34BE5659" w14:textId="77777777" w:rsidR="0050149D" w:rsidRDefault="0050149D">
            <w:pPr>
              <w:pStyle w:val="TableParagraph"/>
              <w:ind w:left="0"/>
              <w:rPr>
                <w:rFonts w:ascii="Arial"/>
                <w:b/>
                <w:i/>
                <w:sz w:val="25"/>
              </w:rPr>
            </w:pPr>
          </w:p>
          <w:p w14:paraId="07AB78A8" w14:textId="05036509" w:rsidR="0050149D" w:rsidRDefault="0050149D" w:rsidP="007D01AE">
            <w:pPr>
              <w:tabs>
                <w:tab w:val="left" w:pos="1380"/>
              </w:tabs>
              <w:rPr>
                <w:rFonts w:ascii="Times New Roman"/>
                <w:sz w:val="18"/>
              </w:rPr>
            </w:pPr>
            <w:r>
              <w:tab/>
            </w:r>
          </w:p>
        </w:tc>
        <w:tc>
          <w:tcPr>
            <w:tcW w:w="8622" w:type="dxa"/>
            <w:shd w:val="clear" w:color="auto" w:fill="auto"/>
          </w:tcPr>
          <w:p w14:paraId="7E9A9F83" w14:textId="77777777" w:rsidR="0050149D" w:rsidRPr="001E1263" w:rsidRDefault="0050149D" w:rsidP="001E1263">
            <w:pPr>
              <w:pStyle w:val="TableParagraph"/>
              <w:spacing w:before="122"/>
              <w:ind w:left="107" w:right="43"/>
              <w:jc w:val="both"/>
              <w:rPr>
                <w:sz w:val="20"/>
              </w:rPr>
            </w:pPr>
            <w:r w:rsidRPr="001E1263">
              <w:rPr>
                <w:sz w:val="20"/>
              </w:rPr>
              <w:t xml:space="preserve">(Reforma publicada mediante P.O. núm. 191, de fecha 28 de octubre de 2021. Decreto número 005.) </w:t>
            </w:r>
          </w:p>
          <w:p w14:paraId="0CE6604D" w14:textId="77777777" w:rsidR="0050149D" w:rsidRDefault="0050149D" w:rsidP="001E1263">
            <w:pPr>
              <w:pStyle w:val="TableParagraph"/>
              <w:spacing w:before="122"/>
              <w:ind w:left="107" w:right="43"/>
              <w:jc w:val="both"/>
              <w:rPr>
                <w:b/>
                <w:bCs/>
                <w:sz w:val="20"/>
              </w:rPr>
            </w:pPr>
            <w:r w:rsidRPr="001E1263">
              <w:rPr>
                <w:b/>
                <w:bCs/>
                <w:sz w:val="20"/>
              </w:rPr>
              <w:t xml:space="preserve">Artículo 32. </w:t>
            </w:r>
            <w:r w:rsidRPr="00996D42">
              <w:rPr>
                <w:sz w:val="20"/>
              </w:rPr>
              <w:t>Los partidos políticos nacionales y locales que mantengan su registro y alcancen el tres por ciento de la votación en la elección para Diputados inmediata anterior, recibirán financiamiento público local para sus actividades ordinarias permanentes y las tendientes a la obtención del voto durante los procesos electorales.</w:t>
            </w:r>
          </w:p>
          <w:p w14:paraId="7D091940" w14:textId="77777777" w:rsidR="0050149D" w:rsidRPr="00996D42" w:rsidRDefault="0050149D">
            <w:pPr>
              <w:pStyle w:val="TableParagraph"/>
              <w:spacing w:line="244" w:lineRule="exact"/>
              <w:ind w:left="107" w:right="48"/>
              <w:jc w:val="both"/>
              <w:rPr>
                <w:sz w:val="20"/>
              </w:rPr>
            </w:pPr>
            <w:r w:rsidRPr="00996D42">
              <w:rPr>
                <w:sz w:val="20"/>
              </w:rPr>
              <w:t xml:space="preserve">El financiamiento público para el sostenimiento de las actividades ordinarias permanentes de los partidos políticos locales se fijará anualmente en los términos establecidos por la Ley General de Partidos Políticos. El financiamiento público local para el sostenimiento de las actividades ordinarias permanentes de los partidos políticos nacionales se fijará anualmente, multiplicando el número total de ciudadanos inscritos en el padrón electoral del Estado de Chiapas, por el treinta y dos punto cinco por ciento del valor diario de la Unidad de Medida y Actualización. El relativo a las actividades ordinarias deberá ser entregado en tiempo y forma en los primeros días de cada mes, mientras que el tendiente a la obtención del voto, antes del periodo de campaña que corresponda. </w:t>
            </w:r>
          </w:p>
          <w:p w14:paraId="611A9DB1" w14:textId="77777777" w:rsidR="0050149D" w:rsidRDefault="0050149D">
            <w:pPr>
              <w:pStyle w:val="TableParagraph"/>
              <w:spacing w:line="244" w:lineRule="exact"/>
              <w:ind w:left="107" w:right="48"/>
              <w:jc w:val="both"/>
              <w:rPr>
                <w:b/>
                <w:bCs/>
                <w:sz w:val="20"/>
              </w:rPr>
            </w:pPr>
          </w:p>
          <w:p w14:paraId="14E3B6E7" w14:textId="77777777" w:rsidR="0050149D" w:rsidRDefault="0050149D" w:rsidP="00150642">
            <w:pPr>
              <w:pStyle w:val="TableParagraph"/>
              <w:spacing w:line="244" w:lineRule="exact"/>
              <w:ind w:left="107" w:right="48"/>
              <w:jc w:val="both"/>
              <w:rPr>
                <w:sz w:val="20"/>
              </w:rPr>
            </w:pPr>
            <w:r w:rsidRPr="003C04B6">
              <w:rPr>
                <w:sz w:val="20"/>
              </w:rPr>
              <w:t>Dicho financiamiento público formara parte del presupuesto del Instituto de Elecciones y Participación Ciudadana, más no de su patrimonio, por lo que éste no podrá alterar el cálculo para su determinación ni los montos que del mismo resulten.</w:t>
            </w:r>
          </w:p>
          <w:p w14:paraId="4E8BB219" w14:textId="77777777" w:rsidR="0050149D" w:rsidRDefault="0050149D" w:rsidP="00150642">
            <w:pPr>
              <w:pStyle w:val="TableParagraph"/>
              <w:spacing w:line="244" w:lineRule="exact"/>
              <w:ind w:left="107" w:right="48"/>
              <w:jc w:val="both"/>
              <w:rPr>
                <w:sz w:val="20"/>
              </w:rPr>
            </w:pPr>
          </w:p>
          <w:p w14:paraId="603C3F53" w14:textId="77777777" w:rsidR="0050149D" w:rsidRPr="004147E5" w:rsidRDefault="0050149D" w:rsidP="0050149D">
            <w:pPr>
              <w:pStyle w:val="TableParagraph"/>
              <w:spacing w:before="1"/>
              <w:ind w:left="107" w:right="52"/>
              <w:jc w:val="both"/>
              <w:rPr>
                <w:sz w:val="20"/>
              </w:rPr>
            </w:pPr>
            <w:r w:rsidRPr="004147E5">
              <w:rPr>
                <w:sz w:val="20"/>
              </w:rPr>
              <w:t>Última reforma publicada mediante p.o. n</w:t>
            </w:r>
            <w:r>
              <w:rPr>
                <w:sz w:val="20"/>
              </w:rPr>
              <w:t>ú</w:t>
            </w:r>
            <w:r w:rsidRPr="004147E5">
              <w:rPr>
                <w:sz w:val="20"/>
              </w:rPr>
              <w:t xml:space="preserve">m. 110 de fecha 24 de Junio de 2020) </w:t>
            </w:r>
          </w:p>
          <w:p w14:paraId="02562F9E" w14:textId="77777777" w:rsidR="0050149D" w:rsidRDefault="0050149D" w:rsidP="0050149D">
            <w:pPr>
              <w:pStyle w:val="TableParagraph"/>
              <w:spacing w:before="1"/>
              <w:ind w:left="107" w:right="52"/>
              <w:jc w:val="both"/>
              <w:rPr>
                <w:sz w:val="20"/>
              </w:rPr>
            </w:pPr>
            <w:r w:rsidRPr="004147E5">
              <w:rPr>
                <w:sz w:val="20"/>
              </w:rPr>
              <w:t>Los partidos políticos deberán destinar por lo menos el seis por ciento de su financiamiento público ordinario anual a actividades de formación y capacitación para desarrollar el liderazgo político de las mujeres, y por lo menos el dos por ciento para desarrollar la participación política de los ciudadanos de los pueblos originarios.</w:t>
            </w:r>
          </w:p>
          <w:p w14:paraId="3F6D796B" w14:textId="77777777" w:rsidR="0050149D" w:rsidRPr="004147E5" w:rsidRDefault="0050149D" w:rsidP="0050149D">
            <w:pPr>
              <w:pStyle w:val="TableParagraph"/>
              <w:spacing w:before="1"/>
              <w:ind w:left="107" w:right="52"/>
              <w:jc w:val="both"/>
              <w:rPr>
                <w:sz w:val="20"/>
              </w:rPr>
            </w:pPr>
            <w:r w:rsidRPr="004147E5">
              <w:rPr>
                <w:sz w:val="20"/>
              </w:rPr>
              <w:t xml:space="preserve"> </w:t>
            </w:r>
          </w:p>
          <w:p w14:paraId="65D7E07A" w14:textId="77777777" w:rsidR="0050149D" w:rsidRDefault="0050149D" w:rsidP="0050149D">
            <w:pPr>
              <w:pStyle w:val="TableParagraph"/>
              <w:spacing w:before="1"/>
              <w:ind w:left="107" w:right="52"/>
              <w:jc w:val="both"/>
              <w:rPr>
                <w:sz w:val="20"/>
              </w:rPr>
            </w:pPr>
            <w:r w:rsidRPr="004147E5">
              <w:rPr>
                <w:sz w:val="20"/>
              </w:rPr>
              <w:t xml:space="preserve">La fiscalización de las finanzas de los partidos políticos se realizará conforme a los principios de la Constitución Política de los Estados Unidos Mexicanos y a lo que determine la ley. </w:t>
            </w:r>
          </w:p>
          <w:p w14:paraId="25CB9AAA" w14:textId="77777777" w:rsidR="0050149D" w:rsidRPr="004147E5" w:rsidRDefault="0050149D" w:rsidP="0050149D">
            <w:pPr>
              <w:pStyle w:val="TableParagraph"/>
              <w:spacing w:before="1"/>
              <w:ind w:left="107" w:right="52"/>
              <w:jc w:val="both"/>
              <w:rPr>
                <w:sz w:val="20"/>
              </w:rPr>
            </w:pPr>
          </w:p>
          <w:p w14:paraId="07AB78A9" w14:textId="0EF92648" w:rsidR="0050149D" w:rsidRDefault="0050149D" w:rsidP="0050149D">
            <w:pPr>
              <w:pStyle w:val="TableParagraph"/>
              <w:spacing w:line="244" w:lineRule="exact"/>
              <w:ind w:left="107" w:right="48"/>
              <w:jc w:val="both"/>
              <w:rPr>
                <w:sz w:val="20"/>
              </w:rPr>
            </w:pPr>
            <w:r w:rsidRPr="004147E5">
              <w:rPr>
                <w:sz w:val="20"/>
              </w:rPr>
              <w:t>Los partidos políticos que pierdan su registro o acreditación, deberán reintegrar al erario estatal el excedente económico y los bienes muebles e inmuebles que hayan adquirido con recursos provenientes del financiamiento público estatal. La Ley establecerá los procedimientos de liquidación y devolución de los bienes.</w:t>
            </w:r>
          </w:p>
        </w:tc>
      </w:tr>
      <w:tr w:rsidR="001B1EAC" w14:paraId="07AB78D7" w14:textId="77777777" w:rsidTr="00681847">
        <w:trPr>
          <w:trHeight w:val="808"/>
        </w:trPr>
        <w:tc>
          <w:tcPr>
            <w:tcW w:w="1460" w:type="dxa"/>
          </w:tcPr>
          <w:p w14:paraId="07AB78D0" w14:textId="77777777" w:rsidR="001B1EAC" w:rsidRPr="00476864" w:rsidRDefault="001B1EAC">
            <w:pPr>
              <w:pStyle w:val="TableParagraph"/>
              <w:spacing w:before="4"/>
              <w:ind w:left="0"/>
              <w:rPr>
                <w:rFonts w:ascii="Arial"/>
                <w:b/>
                <w:bCs/>
                <w:i/>
                <w:sz w:val="27"/>
              </w:rPr>
            </w:pPr>
          </w:p>
          <w:p w14:paraId="07AB78D1" w14:textId="77777777" w:rsidR="001B1EAC" w:rsidRPr="00476864" w:rsidRDefault="00C04CBE">
            <w:pPr>
              <w:pStyle w:val="TableParagraph"/>
              <w:ind w:left="107"/>
              <w:rPr>
                <w:b/>
                <w:bCs/>
                <w:sz w:val="20"/>
              </w:rPr>
            </w:pPr>
            <w:r w:rsidRPr="00476864">
              <w:rPr>
                <w:b/>
                <w:bCs/>
                <w:sz w:val="20"/>
              </w:rPr>
              <w:t>2.</w:t>
            </w:r>
          </w:p>
        </w:tc>
        <w:tc>
          <w:tcPr>
            <w:tcW w:w="2765" w:type="dxa"/>
          </w:tcPr>
          <w:p w14:paraId="07AB78D2" w14:textId="77777777" w:rsidR="001B1EAC" w:rsidRPr="00476864" w:rsidRDefault="001B1EAC">
            <w:pPr>
              <w:pStyle w:val="TableParagraph"/>
              <w:spacing w:before="4"/>
              <w:ind w:left="0"/>
              <w:rPr>
                <w:rFonts w:ascii="Arial"/>
                <w:b/>
                <w:bCs/>
                <w:i/>
                <w:sz w:val="27"/>
              </w:rPr>
            </w:pPr>
          </w:p>
          <w:p w14:paraId="07AB78D3" w14:textId="77777777" w:rsidR="001B1EAC" w:rsidRPr="00476864" w:rsidRDefault="00C04CBE" w:rsidP="00476864">
            <w:pPr>
              <w:pStyle w:val="TableParagraph"/>
              <w:ind w:left="107"/>
              <w:jc w:val="center"/>
              <w:rPr>
                <w:b/>
                <w:bCs/>
                <w:sz w:val="20"/>
              </w:rPr>
            </w:pPr>
            <w:r w:rsidRPr="00476864">
              <w:rPr>
                <w:b/>
                <w:bCs/>
                <w:sz w:val="20"/>
              </w:rPr>
              <w:t>CHIAPAS</w:t>
            </w:r>
          </w:p>
        </w:tc>
        <w:tc>
          <w:tcPr>
            <w:tcW w:w="4472" w:type="dxa"/>
          </w:tcPr>
          <w:p w14:paraId="7274883B" w14:textId="45A88E18" w:rsidR="007B6375" w:rsidRPr="00F671E4" w:rsidRDefault="00C41768" w:rsidP="00F671E4">
            <w:pPr>
              <w:pStyle w:val="TableParagraph"/>
              <w:tabs>
                <w:tab w:val="left" w:pos="1061"/>
                <w:tab w:val="left" w:pos="1548"/>
                <w:tab w:val="left" w:pos="2805"/>
                <w:tab w:val="left" w:pos="3131"/>
              </w:tabs>
              <w:spacing w:before="192"/>
              <w:ind w:left="107" w:right="41"/>
              <w:jc w:val="center"/>
              <w:rPr>
                <w:sz w:val="20"/>
              </w:rPr>
            </w:pPr>
            <w:hyperlink r:id="rId8" w:history="1">
              <w:r w:rsidR="007B6375" w:rsidRPr="00F671E4">
                <w:rPr>
                  <w:rStyle w:val="Hipervnculo"/>
                  <w:sz w:val="20"/>
                </w:rPr>
                <w:t>Código de Elecciones y Participación Ciudadana del Estado de Chiapas</w:t>
              </w:r>
            </w:hyperlink>
          </w:p>
          <w:p w14:paraId="07AB78D4" w14:textId="632CC1BC" w:rsidR="001B1EAC" w:rsidRDefault="001B1EAC">
            <w:pPr>
              <w:pStyle w:val="TableParagraph"/>
              <w:tabs>
                <w:tab w:val="left" w:pos="1061"/>
                <w:tab w:val="left" w:pos="1548"/>
                <w:tab w:val="left" w:pos="2805"/>
                <w:tab w:val="left" w:pos="3131"/>
              </w:tabs>
              <w:spacing w:before="192"/>
              <w:ind w:left="107" w:right="41"/>
              <w:rPr>
                <w:sz w:val="20"/>
              </w:rPr>
            </w:pPr>
          </w:p>
        </w:tc>
        <w:tc>
          <w:tcPr>
            <w:tcW w:w="8622" w:type="dxa"/>
          </w:tcPr>
          <w:p w14:paraId="6624634D" w14:textId="00A4753E" w:rsidR="009A3BEB" w:rsidRPr="009A3BEB" w:rsidRDefault="00C04CBE">
            <w:pPr>
              <w:pStyle w:val="TableParagraph"/>
              <w:spacing w:before="65"/>
              <w:ind w:left="107"/>
              <w:rPr>
                <w:b/>
                <w:bCs/>
                <w:sz w:val="20"/>
              </w:rPr>
            </w:pPr>
            <w:r w:rsidRPr="009A3BEB">
              <w:rPr>
                <w:b/>
                <w:bCs/>
                <w:sz w:val="20"/>
              </w:rPr>
              <w:t xml:space="preserve">Artículo 1. </w:t>
            </w:r>
          </w:p>
          <w:p w14:paraId="07AB78D5" w14:textId="1D0269E0" w:rsidR="001B1EAC" w:rsidRDefault="009A3BEB">
            <w:pPr>
              <w:pStyle w:val="TableParagraph"/>
              <w:spacing w:before="65"/>
              <w:ind w:left="107"/>
              <w:rPr>
                <w:sz w:val="20"/>
              </w:rPr>
            </w:pPr>
            <w:r>
              <w:rPr>
                <w:sz w:val="20"/>
              </w:rPr>
              <w:t>1</w:t>
            </w:r>
            <w:r w:rsidR="00C04CBE">
              <w:rPr>
                <w:sz w:val="20"/>
              </w:rPr>
              <w:t>. Las disposiciones de este Código son orden público y de observancia general en el Estado de Chiapas.</w:t>
            </w:r>
          </w:p>
          <w:p w14:paraId="7A3FEC97" w14:textId="77777777" w:rsidR="0068649D" w:rsidRDefault="0068649D">
            <w:pPr>
              <w:pStyle w:val="TableParagraph"/>
              <w:spacing w:before="65"/>
              <w:ind w:left="107"/>
              <w:rPr>
                <w:sz w:val="20"/>
              </w:rPr>
            </w:pPr>
          </w:p>
          <w:p w14:paraId="6F206E59" w14:textId="522E1C55" w:rsidR="001B1EAC" w:rsidRDefault="00C04CBE">
            <w:pPr>
              <w:pStyle w:val="TableParagraph"/>
              <w:spacing w:line="233" w:lineRule="exact"/>
              <w:ind w:left="107"/>
              <w:rPr>
                <w:sz w:val="20"/>
              </w:rPr>
            </w:pPr>
            <w:r>
              <w:rPr>
                <w:sz w:val="20"/>
              </w:rPr>
              <w:t>2. Este Código tiene por objeto regular:</w:t>
            </w:r>
          </w:p>
          <w:p w14:paraId="4E01BE5F" w14:textId="33F12604" w:rsidR="00681847" w:rsidRDefault="00681847">
            <w:pPr>
              <w:pStyle w:val="TableParagraph"/>
              <w:spacing w:line="233" w:lineRule="exact"/>
              <w:ind w:left="107"/>
              <w:rPr>
                <w:sz w:val="20"/>
              </w:rPr>
            </w:pPr>
          </w:p>
          <w:p w14:paraId="1AB39D70" w14:textId="77777777" w:rsidR="00681847" w:rsidRDefault="00681847" w:rsidP="00681847">
            <w:pPr>
              <w:pStyle w:val="TableParagraph"/>
              <w:spacing w:before="62" w:line="220" w:lineRule="exact"/>
              <w:ind w:left="107"/>
              <w:rPr>
                <w:sz w:val="20"/>
              </w:rPr>
            </w:pPr>
            <w:r>
              <w:rPr>
                <w:sz w:val="20"/>
              </w:rPr>
              <w:t>(…)</w:t>
            </w:r>
          </w:p>
          <w:p w14:paraId="77AB8383" w14:textId="77777777" w:rsidR="00681847" w:rsidRDefault="00681847" w:rsidP="00681847">
            <w:pPr>
              <w:pStyle w:val="TableParagraph"/>
              <w:spacing w:line="216" w:lineRule="exact"/>
              <w:ind w:left="107"/>
              <w:rPr>
                <w:sz w:val="20"/>
              </w:rPr>
            </w:pPr>
            <w:r>
              <w:rPr>
                <w:sz w:val="20"/>
              </w:rPr>
              <w:t>V. La fiscalización y transparencia que compete realizar al Instituto de Elecciones y</w:t>
            </w:r>
          </w:p>
          <w:p w14:paraId="09E130C7" w14:textId="77777777" w:rsidR="00681847" w:rsidRDefault="00681847" w:rsidP="00681847">
            <w:pPr>
              <w:pStyle w:val="TableParagraph"/>
              <w:spacing w:line="216" w:lineRule="exact"/>
              <w:ind w:left="107"/>
              <w:rPr>
                <w:sz w:val="20"/>
              </w:rPr>
            </w:pPr>
            <w:r>
              <w:rPr>
                <w:sz w:val="20"/>
              </w:rPr>
              <w:t>Participación Ciudadana, cuando así lo delegue el Consejo General del Instituto</w:t>
            </w:r>
          </w:p>
          <w:p w14:paraId="1F190342" w14:textId="77777777" w:rsidR="00681847" w:rsidRDefault="00681847" w:rsidP="00681847">
            <w:pPr>
              <w:pStyle w:val="TableParagraph"/>
              <w:spacing w:line="215" w:lineRule="exact"/>
              <w:ind w:left="107"/>
              <w:jc w:val="both"/>
              <w:rPr>
                <w:sz w:val="20"/>
              </w:rPr>
            </w:pPr>
            <w:r>
              <w:rPr>
                <w:sz w:val="20"/>
              </w:rPr>
              <w:t>Nacional</w:t>
            </w:r>
            <w:r>
              <w:rPr>
                <w:spacing w:val="-8"/>
                <w:sz w:val="20"/>
              </w:rPr>
              <w:t xml:space="preserve"> </w:t>
            </w:r>
            <w:r>
              <w:rPr>
                <w:sz w:val="20"/>
              </w:rPr>
              <w:t>Electoral;</w:t>
            </w:r>
            <w:r>
              <w:rPr>
                <w:spacing w:val="-10"/>
                <w:sz w:val="20"/>
              </w:rPr>
              <w:t xml:space="preserve"> </w:t>
            </w:r>
            <w:r>
              <w:rPr>
                <w:sz w:val="20"/>
              </w:rPr>
              <w:t>aplicando</w:t>
            </w:r>
            <w:r>
              <w:rPr>
                <w:spacing w:val="-8"/>
                <w:sz w:val="20"/>
              </w:rPr>
              <w:t xml:space="preserve"> </w:t>
            </w:r>
            <w:r>
              <w:rPr>
                <w:sz w:val="20"/>
              </w:rPr>
              <w:t>en</w:t>
            </w:r>
            <w:r>
              <w:rPr>
                <w:spacing w:val="-8"/>
                <w:sz w:val="20"/>
              </w:rPr>
              <w:t xml:space="preserve"> </w:t>
            </w:r>
            <w:r>
              <w:rPr>
                <w:sz w:val="20"/>
              </w:rPr>
              <w:t>todo</w:t>
            </w:r>
            <w:r>
              <w:rPr>
                <w:spacing w:val="-8"/>
                <w:sz w:val="20"/>
              </w:rPr>
              <w:t xml:space="preserve"> </w:t>
            </w:r>
            <w:r>
              <w:rPr>
                <w:sz w:val="20"/>
              </w:rPr>
              <w:t>momento</w:t>
            </w:r>
            <w:r>
              <w:rPr>
                <w:spacing w:val="-8"/>
                <w:sz w:val="20"/>
              </w:rPr>
              <w:t xml:space="preserve"> </w:t>
            </w:r>
            <w:r>
              <w:rPr>
                <w:sz w:val="20"/>
              </w:rPr>
              <w:t>las</w:t>
            </w:r>
            <w:r>
              <w:rPr>
                <w:spacing w:val="-9"/>
                <w:sz w:val="20"/>
              </w:rPr>
              <w:t xml:space="preserve"> </w:t>
            </w:r>
            <w:r>
              <w:rPr>
                <w:sz w:val="20"/>
              </w:rPr>
              <w:t>leyes,</w:t>
            </w:r>
            <w:r>
              <w:rPr>
                <w:spacing w:val="-7"/>
                <w:sz w:val="20"/>
              </w:rPr>
              <w:t xml:space="preserve"> </w:t>
            </w:r>
            <w:r>
              <w:rPr>
                <w:sz w:val="20"/>
              </w:rPr>
              <w:t>acuerdos</w:t>
            </w:r>
            <w:r>
              <w:rPr>
                <w:spacing w:val="-6"/>
                <w:sz w:val="20"/>
              </w:rPr>
              <w:t xml:space="preserve"> </w:t>
            </w:r>
            <w:r>
              <w:rPr>
                <w:sz w:val="20"/>
              </w:rPr>
              <w:t>y</w:t>
            </w:r>
            <w:r>
              <w:rPr>
                <w:spacing w:val="-10"/>
                <w:sz w:val="20"/>
              </w:rPr>
              <w:t xml:space="preserve"> </w:t>
            </w:r>
            <w:r>
              <w:rPr>
                <w:sz w:val="20"/>
              </w:rPr>
              <w:t>lineamientos</w:t>
            </w:r>
            <w:r>
              <w:rPr>
                <w:spacing w:val="-8"/>
                <w:sz w:val="20"/>
              </w:rPr>
              <w:t xml:space="preserve"> </w:t>
            </w:r>
            <w:r>
              <w:rPr>
                <w:sz w:val="20"/>
              </w:rPr>
              <w:t>que</w:t>
            </w:r>
          </w:p>
          <w:p w14:paraId="1D9EC0F6" w14:textId="77777777" w:rsidR="00681847" w:rsidRDefault="00681847" w:rsidP="00681847">
            <w:pPr>
              <w:pStyle w:val="TableParagraph"/>
              <w:spacing w:line="215" w:lineRule="exact"/>
              <w:ind w:left="107"/>
              <w:rPr>
                <w:sz w:val="20"/>
              </w:rPr>
            </w:pPr>
            <w:r>
              <w:rPr>
                <w:sz w:val="20"/>
              </w:rPr>
              <w:t>para tales efectos sean emitidos;</w:t>
            </w:r>
          </w:p>
          <w:p w14:paraId="6E5D69DE" w14:textId="77777777" w:rsidR="00681847" w:rsidRDefault="00681847" w:rsidP="00681847">
            <w:pPr>
              <w:pStyle w:val="TableParagraph"/>
              <w:spacing w:line="215" w:lineRule="exact"/>
              <w:ind w:left="107"/>
              <w:rPr>
                <w:sz w:val="20"/>
              </w:rPr>
            </w:pPr>
            <w:r>
              <w:rPr>
                <w:sz w:val="20"/>
              </w:rPr>
              <w:t>(…)</w:t>
            </w:r>
          </w:p>
          <w:p w14:paraId="10B354F3" w14:textId="77777777" w:rsidR="00681847" w:rsidRDefault="00681847" w:rsidP="00681847">
            <w:pPr>
              <w:pStyle w:val="TableParagraph"/>
              <w:spacing w:line="215" w:lineRule="exact"/>
              <w:ind w:left="107"/>
              <w:rPr>
                <w:sz w:val="20"/>
              </w:rPr>
            </w:pPr>
          </w:p>
          <w:p w14:paraId="4ACEA5F3" w14:textId="77777777" w:rsidR="00681847" w:rsidRPr="0068649D" w:rsidRDefault="00681847" w:rsidP="00681847">
            <w:pPr>
              <w:pStyle w:val="TableParagraph"/>
              <w:spacing w:line="215" w:lineRule="exact"/>
              <w:ind w:left="107"/>
              <w:rPr>
                <w:b/>
                <w:bCs/>
                <w:sz w:val="20"/>
              </w:rPr>
            </w:pPr>
            <w:r w:rsidRPr="0068649D">
              <w:rPr>
                <w:b/>
                <w:bCs/>
                <w:sz w:val="20"/>
              </w:rPr>
              <w:t>Artículo 49.</w:t>
            </w:r>
          </w:p>
          <w:p w14:paraId="74C1338A" w14:textId="77777777" w:rsidR="00681847" w:rsidRDefault="00681847" w:rsidP="00681847">
            <w:pPr>
              <w:pStyle w:val="TableParagraph"/>
              <w:spacing w:line="216" w:lineRule="exact"/>
              <w:ind w:left="107"/>
              <w:rPr>
                <w:sz w:val="20"/>
              </w:rPr>
            </w:pPr>
            <w:r>
              <w:rPr>
                <w:sz w:val="20"/>
              </w:rPr>
              <w:t>1. Son obligaciones de los Partidos Políticos:</w:t>
            </w:r>
          </w:p>
          <w:p w14:paraId="32E3344A" w14:textId="77777777" w:rsidR="00681847" w:rsidRDefault="00681847" w:rsidP="00681847">
            <w:pPr>
              <w:pStyle w:val="TableParagraph"/>
              <w:spacing w:line="241" w:lineRule="exact"/>
              <w:ind w:left="107"/>
              <w:rPr>
                <w:sz w:val="20"/>
              </w:rPr>
            </w:pPr>
            <w:r>
              <w:rPr>
                <w:sz w:val="20"/>
              </w:rPr>
              <w:t>(…)</w:t>
            </w:r>
          </w:p>
          <w:p w14:paraId="5159B7CC" w14:textId="77777777" w:rsidR="00681847" w:rsidRDefault="00681847" w:rsidP="00681847">
            <w:pPr>
              <w:pStyle w:val="TableParagraph"/>
              <w:spacing w:before="117" w:line="220" w:lineRule="exact"/>
              <w:ind w:left="107"/>
              <w:jc w:val="both"/>
              <w:rPr>
                <w:sz w:val="20"/>
              </w:rPr>
            </w:pPr>
            <w:r>
              <w:rPr>
                <w:sz w:val="20"/>
              </w:rPr>
              <w:t xml:space="preserve">VII. Presentar los informes a que se encuentre obligado en materia de fiscalización, y </w:t>
            </w:r>
          </w:p>
          <w:p w14:paraId="79ED00CC" w14:textId="77777777" w:rsidR="00681847" w:rsidRDefault="00681847" w:rsidP="00681847">
            <w:pPr>
              <w:pStyle w:val="TableParagraph"/>
              <w:spacing w:line="215" w:lineRule="exact"/>
              <w:ind w:left="107"/>
              <w:rPr>
                <w:sz w:val="20"/>
              </w:rPr>
            </w:pPr>
            <w:r>
              <w:rPr>
                <w:sz w:val="20"/>
              </w:rPr>
              <w:t xml:space="preserve">permitir la práctica de auditorías y verificaciones que ordene la autoridad electoral </w:t>
            </w:r>
          </w:p>
          <w:p w14:paraId="14447D56" w14:textId="77777777" w:rsidR="00681847" w:rsidRDefault="00681847" w:rsidP="00681847">
            <w:pPr>
              <w:pStyle w:val="TableParagraph"/>
              <w:spacing w:line="216" w:lineRule="exact"/>
              <w:ind w:left="107"/>
              <w:jc w:val="both"/>
              <w:rPr>
                <w:sz w:val="20"/>
              </w:rPr>
            </w:pPr>
            <w:r>
              <w:rPr>
                <w:sz w:val="20"/>
              </w:rPr>
              <w:t xml:space="preserve">competente, así como entregar la documentación que la Unidad Técnica de </w:t>
            </w:r>
          </w:p>
          <w:p w14:paraId="2288FD06" w14:textId="77777777" w:rsidR="00681847" w:rsidRDefault="00681847" w:rsidP="00681847">
            <w:pPr>
              <w:pStyle w:val="TableParagraph"/>
              <w:spacing w:line="216" w:lineRule="exact"/>
              <w:ind w:left="107"/>
              <w:rPr>
                <w:sz w:val="20"/>
              </w:rPr>
            </w:pPr>
            <w:r>
              <w:rPr>
                <w:sz w:val="20"/>
              </w:rPr>
              <w:t>Fiscalización del Instituto Nacional Electoral les solicite respecto a sus ingresos y egresos;</w:t>
            </w:r>
          </w:p>
          <w:p w14:paraId="405E8CC5" w14:textId="60F66AB4" w:rsidR="00681847" w:rsidRDefault="00681847">
            <w:pPr>
              <w:pStyle w:val="TableParagraph"/>
              <w:spacing w:line="233" w:lineRule="exact"/>
              <w:ind w:left="107"/>
              <w:rPr>
                <w:sz w:val="20"/>
              </w:rPr>
            </w:pPr>
            <w:r>
              <w:rPr>
                <w:sz w:val="20"/>
              </w:rPr>
              <w:t>(…)</w:t>
            </w:r>
          </w:p>
          <w:p w14:paraId="68686AF5" w14:textId="08DC249B" w:rsidR="00681847" w:rsidRDefault="00681847">
            <w:pPr>
              <w:pStyle w:val="TableParagraph"/>
              <w:spacing w:line="233" w:lineRule="exact"/>
              <w:ind w:left="107"/>
              <w:rPr>
                <w:sz w:val="20"/>
              </w:rPr>
            </w:pPr>
          </w:p>
          <w:p w14:paraId="1E96E3C5" w14:textId="77777777" w:rsidR="00681847" w:rsidRDefault="00681847" w:rsidP="00681847">
            <w:pPr>
              <w:pStyle w:val="TableParagraph"/>
              <w:spacing w:before="62"/>
              <w:rPr>
                <w:sz w:val="20"/>
              </w:rPr>
            </w:pPr>
            <w:r>
              <w:rPr>
                <w:sz w:val="20"/>
              </w:rPr>
              <w:t>j. Resultados de revisiones, informes, verificaciones y auditorias de que sean objeto con motivo de la fiscalización de sus recursos, una vez concluidas;</w:t>
            </w:r>
          </w:p>
          <w:p w14:paraId="1DACCF24" w14:textId="77777777" w:rsidR="00681847" w:rsidRDefault="00681847" w:rsidP="00681847">
            <w:pPr>
              <w:pStyle w:val="TableParagraph"/>
              <w:spacing w:before="62"/>
              <w:rPr>
                <w:sz w:val="20"/>
              </w:rPr>
            </w:pPr>
          </w:p>
          <w:p w14:paraId="09935200" w14:textId="77777777" w:rsidR="00681847" w:rsidRDefault="00681847" w:rsidP="00681847">
            <w:pPr>
              <w:pStyle w:val="TableParagraph"/>
              <w:spacing w:before="2"/>
              <w:ind w:right="7459"/>
              <w:rPr>
                <w:sz w:val="20"/>
              </w:rPr>
            </w:pPr>
            <w:r>
              <w:rPr>
                <w:sz w:val="20"/>
              </w:rPr>
              <w:t xml:space="preserve">(…) </w:t>
            </w:r>
          </w:p>
          <w:p w14:paraId="73BD8D22" w14:textId="77777777" w:rsidR="00681847" w:rsidRDefault="00681847" w:rsidP="00681847">
            <w:pPr>
              <w:pStyle w:val="TableParagraph"/>
              <w:spacing w:before="2"/>
              <w:ind w:right="7459"/>
              <w:rPr>
                <w:sz w:val="20"/>
              </w:rPr>
            </w:pPr>
          </w:p>
          <w:p w14:paraId="49DC47F6" w14:textId="77777777" w:rsidR="00681847" w:rsidRPr="00DC4B65" w:rsidRDefault="00681847" w:rsidP="00681847">
            <w:pPr>
              <w:pStyle w:val="TableParagraph"/>
              <w:spacing w:before="2"/>
              <w:ind w:right="7459"/>
              <w:rPr>
                <w:b/>
                <w:bCs/>
                <w:sz w:val="20"/>
              </w:rPr>
            </w:pPr>
            <w:r w:rsidRPr="00DC4B65">
              <w:rPr>
                <w:b/>
                <w:bCs/>
                <w:sz w:val="20"/>
              </w:rPr>
              <w:t>Artículo 53.</w:t>
            </w:r>
          </w:p>
          <w:p w14:paraId="22C196E3" w14:textId="77777777" w:rsidR="00681847" w:rsidRDefault="00681847" w:rsidP="00681847">
            <w:pPr>
              <w:pStyle w:val="TableParagraph"/>
              <w:spacing w:before="2"/>
              <w:ind w:right="7459"/>
              <w:rPr>
                <w:sz w:val="20"/>
              </w:rPr>
            </w:pPr>
          </w:p>
          <w:p w14:paraId="77C6593B" w14:textId="77777777" w:rsidR="00681847" w:rsidRPr="009A4E18" w:rsidRDefault="00681847" w:rsidP="00681847">
            <w:pPr>
              <w:pStyle w:val="TableParagraph"/>
              <w:numPr>
                <w:ilvl w:val="0"/>
                <w:numId w:val="4"/>
              </w:numPr>
              <w:tabs>
                <w:tab w:val="left" w:pos="332"/>
              </w:tabs>
              <w:ind w:right="44" w:firstLine="0"/>
              <w:jc w:val="both"/>
              <w:rPr>
                <w:sz w:val="20"/>
              </w:rPr>
            </w:pPr>
            <w:r w:rsidRPr="009A4E18">
              <w:rPr>
                <w:sz w:val="20"/>
              </w:rPr>
              <w:t>El Instituto Nacional es el órgano que tiene a su cargo la recepción y revisión integral de los informes que presenten los partidos respecto del origen y monto de los recursos que reciban por cualquier modalidad de financiamiento, así como sobre su destino y aplicación, función que podrá delegar al Instituto de Elecciones en términos de lo establecido en las Leyes</w:t>
            </w:r>
            <w:r w:rsidRPr="009A4E18">
              <w:rPr>
                <w:spacing w:val="-3"/>
                <w:sz w:val="20"/>
              </w:rPr>
              <w:t xml:space="preserve"> </w:t>
            </w:r>
            <w:r w:rsidRPr="009A4E18">
              <w:rPr>
                <w:sz w:val="20"/>
              </w:rPr>
              <w:t>Generales.</w:t>
            </w:r>
          </w:p>
          <w:p w14:paraId="0F5A1350" w14:textId="77777777" w:rsidR="00681847" w:rsidRDefault="00681847" w:rsidP="00681847">
            <w:pPr>
              <w:pStyle w:val="TableParagraph"/>
              <w:tabs>
                <w:tab w:val="left" w:pos="342"/>
              </w:tabs>
              <w:ind w:right="40"/>
              <w:jc w:val="both"/>
              <w:rPr>
                <w:sz w:val="20"/>
              </w:rPr>
            </w:pPr>
          </w:p>
          <w:p w14:paraId="0DA3A6AD" w14:textId="77777777" w:rsidR="00681847" w:rsidRDefault="00681847" w:rsidP="00681847">
            <w:pPr>
              <w:pStyle w:val="TableParagraph"/>
              <w:numPr>
                <w:ilvl w:val="0"/>
                <w:numId w:val="4"/>
              </w:numPr>
              <w:tabs>
                <w:tab w:val="left" w:pos="342"/>
              </w:tabs>
              <w:ind w:right="40" w:firstLine="0"/>
              <w:jc w:val="both"/>
              <w:rPr>
                <w:sz w:val="20"/>
              </w:rPr>
            </w:pPr>
            <w:r>
              <w:rPr>
                <w:sz w:val="20"/>
              </w:rPr>
              <w:t xml:space="preserve">Los partidos políticos gozarán de la exención del pago de los impuestos y derechos </w:t>
            </w:r>
            <w:r>
              <w:rPr>
                <w:sz w:val="20"/>
              </w:rPr>
              <w:lastRenderedPageBreak/>
              <w:t>estatales y municipales que se causen por el desarrollo de sus actividades. No se otorgarán exenciones del pago de los impuestos y</w:t>
            </w:r>
            <w:r>
              <w:rPr>
                <w:spacing w:val="-9"/>
                <w:sz w:val="20"/>
              </w:rPr>
              <w:t xml:space="preserve"> </w:t>
            </w:r>
            <w:r>
              <w:rPr>
                <w:sz w:val="20"/>
              </w:rPr>
              <w:t>derechos:</w:t>
            </w:r>
          </w:p>
          <w:p w14:paraId="5A3E00AE" w14:textId="77777777" w:rsidR="00681847" w:rsidRDefault="00681847" w:rsidP="00681847">
            <w:pPr>
              <w:pStyle w:val="TableParagraph"/>
              <w:tabs>
                <w:tab w:val="left" w:pos="342"/>
              </w:tabs>
              <w:ind w:right="40"/>
              <w:jc w:val="both"/>
              <w:rPr>
                <w:sz w:val="20"/>
              </w:rPr>
            </w:pPr>
          </w:p>
          <w:p w14:paraId="17ACF824" w14:textId="77777777" w:rsidR="00681847" w:rsidRDefault="00681847" w:rsidP="00681847">
            <w:pPr>
              <w:pStyle w:val="TableParagraph"/>
              <w:numPr>
                <w:ilvl w:val="1"/>
                <w:numId w:val="4"/>
              </w:numPr>
              <w:tabs>
                <w:tab w:val="left" w:pos="351"/>
              </w:tabs>
              <w:ind w:right="45" w:firstLine="0"/>
              <w:jc w:val="both"/>
              <w:rPr>
                <w:sz w:val="20"/>
              </w:rPr>
            </w:pPr>
            <w:r>
              <w:rPr>
                <w:sz w:val="20"/>
              </w:rPr>
              <w:t>En contribuciones, incluyendo tasas adicionales, que se establezcan sobre la propiedad</w:t>
            </w:r>
            <w:r>
              <w:rPr>
                <w:spacing w:val="-17"/>
                <w:sz w:val="20"/>
              </w:rPr>
              <w:t xml:space="preserve"> </w:t>
            </w:r>
            <w:r>
              <w:rPr>
                <w:sz w:val="20"/>
              </w:rPr>
              <w:t>inmobiliaria</w:t>
            </w:r>
            <w:r>
              <w:rPr>
                <w:spacing w:val="-16"/>
                <w:sz w:val="20"/>
              </w:rPr>
              <w:t xml:space="preserve"> </w:t>
            </w:r>
            <w:r>
              <w:rPr>
                <w:sz w:val="20"/>
              </w:rPr>
              <w:t>y</w:t>
            </w:r>
            <w:r>
              <w:rPr>
                <w:spacing w:val="-16"/>
                <w:sz w:val="20"/>
              </w:rPr>
              <w:t xml:space="preserve"> </w:t>
            </w:r>
            <w:r>
              <w:rPr>
                <w:sz w:val="20"/>
              </w:rPr>
              <w:t>su</w:t>
            </w:r>
            <w:r>
              <w:rPr>
                <w:spacing w:val="-16"/>
                <w:sz w:val="20"/>
              </w:rPr>
              <w:t xml:space="preserve"> </w:t>
            </w:r>
            <w:r>
              <w:rPr>
                <w:sz w:val="20"/>
              </w:rPr>
              <w:t>fraccionamiento;</w:t>
            </w:r>
            <w:r>
              <w:rPr>
                <w:spacing w:val="-17"/>
                <w:sz w:val="20"/>
              </w:rPr>
              <w:t xml:space="preserve"> </w:t>
            </w:r>
            <w:r>
              <w:rPr>
                <w:sz w:val="20"/>
              </w:rPr>
              <w:t>las</w:t>
            </w:r>
            <w:r>
              <w:rPr>
                <w:spacing w:val="-18"/>
                <w:sz w:val="20"/>
              </w:rPr>
              <w:t xml:space="preserve"> </w:t>
            </w:r>
            <w:r>
              <w:rPr>
                <w:sz w:val="20"/>
              </w:rPr>
              <w:t>que</w:t>
            </w:r>
            <w:r>
              <w:rPr>
                <w:spacing w:val="-17"/>
                <w:sz w:val="20"/>
              </w:rPr>
              <w:t xml:space="preserve"> </w:t>
            </w:r>
            <w:r>
              <w:rPr>
                <w:sz w:val="20"/>
              </w:rPr>
              <w:t>establezcan</w:t>
            </w:r>
            <w:r>
              <w:rPr>
                <w:spacing w:val="-15"/>
                <w:sz w:val="20"/>
              </w:rPr>
              <w:t xml:space="preserve"> </w:t>
            </w:r>
            <w:r>
              <w:rPr>
                <w:sz w:val="20"/>
              </w:rPr>
              <w:t>las</w:t>
            </w:r>
            <w:r>
              <w:rPr>
                <w:spacing w:val="-18"/>
                <w:sz w:val="20"/>
              </w:rPr>
              <w:t xml:space="preserve"> </w:t>
            </w:r>
            <w:r>
              <w:rPr>
                <w:sz w:val="20"/>
              </w:rPr>
              <w:t>leyes</w:t>
            </w:r>
            <w:r>
              <w:rPr>
                <w:spacing w:val="-15"/>
                <w:sz w:val="20"/>
              </w:rPr>
              <w:t xml:space="preserve"> </w:t>
            </w:r>
            <w:r>
              <w:rPr>
                <w:sz w:val="20"/>
              </w:rPr>
              <w:t>y</w:t>
            </w:r>
            <w:r>
              <w:rPr>
                <w:spacing w:val="-18"/>
                <w:sz w:val="20"/>
              </w:rPr>
              <w:t xml:space="preserve"> </w:t>
            </w:r>
            <w:r>
              <w:rPr>
                <w:sz w:val="20"/>
              </w:rPr>
              <w:t>reglamentos del</w:t>
            </w:r>
            <w:r>
              <w:rPr>
                <w:spacing w:val="-3"/>
                <w:sz w:val="20"/>
              </w:rPr>
              <w:t xml:space="preserve"> </w:t>
            </w:r>
            <w:r>
              <w:rPr>
                <w:sz w:val="20"/>
              </w:rPr>
              <w:t>Estado</w:t>
            </w:r>
            <w:r>
              <w:rPr>
                <w:spacing w:val="-4"/>
                <w:sz w:val="20"/>
              </w:rPr>
              <w:t xml:space="preserve"> </w:t>
            </w:r>
            <w:r>
              <w:rPr>
                <w:sz w:val="20"/>
              </w:rPr>
              <w:t>o</w:t>
            </w:r>
            <w:r>
              <w:rPr>
                <w:spacing w:val="-5"/>
                <w:sz w:val="20"/>
              </w:rPr>
              <w:t xml:space="preserve"> </w:t>
            </w:r>
            <w:r>
              <w:rPr>
                <w:sz w:val="20"/>
              </w:rPr>
              <w:t>municipios</w:t>
            </w:r>
            <w:r>
              <w:rPr>
                <w:spacing w:val="-4"/>
                <w:sz w:val="20"/>
              </w:rPr>
              <w:t xml:space="preserve"> </w:t>
            </w:r>
            <w:r>
              <w:rPr>
                <w:sz w:val="20"/>
              </w:rPr>
              <w:t>sobre</w:t>
            </w:r>
            <w:r>
              <w:rPr>
                <w:spacing w:val="-5"/>
                <w:sz w:val="20"/>
              </w:rPr>
              <w:t xml:space="preserve"> </w:t>
            </w:r>
            <w:r>
              <w:rPr>
                <w:sz w:val="20"/>
              </w:rPr>
              <w:t>la</w:t>
            </w:r>
            <w:r>
              <w:rPr>
                <w:spacing w:val="-3"/>
                <w:sz w:val="20"/>
              </w:rPr>
              <w:t xml:space="preserve"> </w:t>
            </w:r>
            <w:r>
              <w:rPr>
                <w:sz w:val="20"/>
              </w:rPr>
              <w:t>propiedad,</w:t>
            </w:r>
            <w:r>
              <w:rPr>
                <w:spacing w:val="-6"/>
                <w:sz w:val="20"/>
              </w:rPr>
              <w:t xml:space="preserve"> </w:t>
            </w:r>
            <w:r>
              <w:rPr>
                <w:sz w:val="20"/>
              </w:rPr>
              <w:t>división,</w:t>
            </w:r>
            <w:r>
              <w:rPr>
                <w:spacing w:val="-6"/>
                <w:sz w:val="20"/>
              </w:rPr>
              <w:t xml:space="preserve"> </w:t>
            </w:r>
            <w:r>
              <w:rPr>
                <w:sz w:val="20"/>
              </w:rPr>
              <w:t>consolidación,</w:t>
            </w:r>
            <w:r>
              <w:rPr>
                <w:spacing w:val="-6"/>
                <w:sz w:val="20"/>
              </w:rPr>
              <w:t xml:space="preserve"> </w:t>
            </w:r>
            <w:r>
              <w:rPr>
                <w:sz w:val="20"/>
              </w:rPr>
              <w:t>traslación</w:t>
            </w:r>
            <w:r>
              <w:rPr>
                <w:spacing w:val="-3"/>
                <w:sz w:val="20"/>
              </w:rPr>
              <w:t xml:space="preserve"> </w:t>
            </w:r>
            <w:r>
              <w:rPr>
                <w:sz w:val="20"/>
              </w:rPr>
              <w:t>y</w:t>
            </w:r>
            <w:r>
              <w:rPr>
                <w:spacing w:val="-5"/>
                <w:sz w:val="20"/>
              </w:rPr>
              <w:t xml:space="preserve"> </w:t>
            </w:r>
            <w:r>
              <w:rPr>
                <w:sz w:val="20"/>
              </w:rPr>
              <w:t>mejora, así como los que tengan por base el cambio de valor de los inmuebles;</w:t>
            </w:r>
            <w:r>
              <w:rPr>
                <w:spacing w:val="-18"/>
                <w:sz w:val="20"/>
              </w:rPr>
              <w:t xml:space="preserve"> </w:t>
            </w:r>
            <w:r>
              <w:rPr>
                <w:sz w:val="20"/>
              </w:rPr>
              <w:t>y</w:t>
            </w:r>
          </w:p>
          <w:p w14:paraId="61B84A41" w14:textId="77777777" w:rsidR="00681847" w:rsidRDefault="00681847" w:rsidP="00681847">
            <w:pPr>
              <w:pStyle w:val="TableParagraph"/>
              <w:numPr>
                <w:ilvl w:val="1"/>
                <w:numId w:val="4"/>
              </w:numPr>
              <w:tabs>
                <w:tab w:val="left" w:pos="301"/>
              </w:tabs>
              <w:ind w:right="42" w:firstLine="0"/>
              <w:jc w:val="both"/>
              <w:rPr>
                <w:sz w:val="20"/>
              </w:rPr>
            </w:pPr>
            <w:r>
              <w:rPr>
                <w:sz w:val="20"/>
              </w:rPr>
              <w:t>En</w:t>
            </w:r>
            <w:r>
              <w:rPr>
                <w:spacing w:val="-13"/>
                <w:sz w:val="20"/>
              </w:rPr>
              <w:t xml:space="preserve"> </w:t>
            </w:r>
            <w:r>
              <w:rPr>
                <w:sz w:val="20"/>
              </w:rPr>
              <w:t>los</w:t>
            </w:r>
            <w:r>
              <w:rPr>
                <w:spacing w:val="-13"/>
                <w:sz w:val="20"/>
              </w:rPr>
              <w:t xml:space="preserve"> </w:t>
            </w:r>
            <w:r>
              <w:rPr>
                <w:sz w:val="20"/>
              </w:rPr>
              <w:t>casos</w:t>
            </w:r>
            <w:r>
              <w:rPr>
                <w:spacing w:val="-10"/>
                <w:sz w:val="20"/>
              </w:rPr>
              <w:t xml:space="preserve"> </w:t>
            </w:r>
            <w:r>
              <w:rPr>
                <w:sz w:val="20"/>
              </w:rPr>
              <w:t>de</w:t>
            </w:r>
            <w:r>
              <w:rPr>
                <w:spacing w:val="-10"/>
                <w:sz w:val="20"/>
              </w:rPr>
              <w:t xml:space="preserve"> </w:t>
            </w:r>
            <w:r>
              <w:rPr>
                <w:sz w:val="20"/>
              </w:rPr>
              <w:t>derechos</w:t>
            </w:r>
            <w:r>
              <w:rPr>
                <w:spacing w:val="-10"/>
                <w:sz w:val="20"/>
              </w:rPr>
              <w:t xml:space="preserve"> </w:t>
            </w:r>
            <w:r>
              <w:rPr>
                <w:sz w:val="20"/>
              </w:rPr>
              <w:t>y</w:t>
            </w:r>
            <w:r>
              <w:rPr>
                <w:spacing w:val="-11"/>
                <w:sz w:val="20"/>
              </w:rPr>
              <w:t xml:space="preserve"> </w:t>
            </w:r>
            <w:r>
              <w:rPr>
                <w:sz w:val="20"/>
              </w:rPr>
              <w:t>productos</w:t>
            </w:r>
            <w:r>
              <w:rPr>
                <w:spacing w:val="-14"/>
                <w:sz w:val="20"/>
              </w:rPr>
              <w:t xml:space="preserve"> </w:t>
            </w:r>
            <w:r>
              <w:rPr>
                <w:sz w:val="20"/>
              </w:rPr>
              <w:t>que</w:t>
            </w:r>
            <w:r>
              <w:rPr>
                <w:spacing w:val="-10"/>
                <w:sz w:val="20"/>
              </w:rPr>
              <w:t xml:space="preserve"> </w:t>
            </w:r>
            <w:r>
              <w:rPr>
                <w:sz w:val="20"/>
              </w:rPr>
              <w:t>establezcan</w:t>
            </w:r>
            <w:r>
              <w:rPr>
                <w:spacing w:val="-12"/>
                <w:sz w:val="20"/>
              </w:rPr>
              <w:t xml:space="preserve"> </w:t>
            </w:r>
            <w:r>
              <w:rPr>
                <w:sz w:val="20"/>
              </w:rPr>
              <w:t>los</w:t>
            </w:r>
            <w:r>
              <w:rPr>
                <w:spacing w:val="-10"/>
                <w:sz w:val="20"/>
              </w:rPr>
              <w:t xml:space="preserve"> </w:t>
            </w:r>
            <w:r>
              <w:rPr>
                <w:sz w:val="20"/>
              </w:rPr>
              <w:t>municipios</w:t>
            </w:r>
            <w:r>
              <w:rPr>
                <w:spacing w:val="-13"/>
                <w:sz w:val="20"/>
              </w:rPr>
              <w:t xml:space="preserve"> </w:t>
            </w:r>
            <w:r>
              <w:rPr>
                <w:sz w:val="20"/>
              </w:rPr>
              <w:t>por</w:t>
            </w:r>
            <w:r>
              <w:rPr>
                <w:spacing w:val="-10"/>
                <w:sz w:val="20"/>
              </w:rPr>
              <w:t xml:space="preserve"> </w:t>
            </w:r>
            <w:r>
              <w:rPr>
                <w:sz w:val="20"/>
              </w:rPr>
              <w:t>la</w:t>
            </w:r>
            <w:r>
              <w:rPr>
                <w:spacing w:val="-12"/>
                <w:sz w:val="20"/>
              </w:rPr>
              <w:t xml:space="preserve"> </w:t>
            </w:r>
            <w:r>
              <w:rPr>
                <w:sz w:val="20"/>
              </w:rPr>
              <w:t>prestación de servicios públicos</w:t>
            </w:r>
            <w:r>
              <w:rPr>
                <w:spacing w:val="-4"/>
                <w:sz w:val="20"/>
              </w:rPr>
              <w:t xml:space="preserve"> </w:t>
            </w:r>
            <w:r>
              <w:rPr>
                <w:sz w:val="20"/>
              </w:rPr>
              <w:t>municipales.</w:t>
            </w:r>
          </w:p>
          <w:p w14:paraId="76057CE5" w14:textId="77777777" w:rsidR="00681847" w:rsidRDefault="00681847" w:rsidP="00681847">
            <w:pPr>
              <w:pStyle w:val="TableParagraph"/>
              <w:tabs>
                <w:tab w:val="left" w:pos="301"/>
              </w:tabs>
              <w:ind w:right="42"/>
              <w:jc w:val="both"/>
              <w:rPr>
                <w:sz w:val="20"/>
              </w:rPr>
            </w:pPr>
          </w:p>
          <w:p w14:paraId="4B9562DD" w14:textId="77777777" w:rsidR="00681847" w:rsidRDefault="00681847" w:rsidP="00681847">
            <w:pPr>
              <w:pStyle w:val="TableParagraph"/>
              <w:numPr>
                <w:ilvl w:val="0"/>
                <w:numId w:val="3"/>
              </w:numPr>
              <w:tabs>
                <w:tab w:val="left" w:pos="382"/>
              </w:tabs>
              <w:ind w:right="40" w:firstLine="0"/>
              <w:jc w:val="both"/>
              <w:rPr>
                <w:sz w:val="20"/>
              </w:rPr>
            </w:pPr>
            <w:r>
              <w:rPr>
                <w:sz w:val="20"/>
              </w:rPr>
              <w:t>El régimen fiscal previsto en este Código no exenta a los partidos políticos del cumplimiento de otras obligaciones fiscales. 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w:t>
            </w:r>
            <w:r>
              <w:rPr>
                <w:spacing w:val="-4"/>
                <w:sz w:val="20"/>
              </w:rPr>
              <w:t xml:space="preserve"> </w:t>
            </w:r>
            <w:r>
              <w:rPr>
                <w:sz w:val="20"/>
              </w:rPr>
              <w:t>servicios.</w:t>
            </w:r>
          </w:p>
          <w:p w14:paraId="3CFE93EC" w14:textId="77777777" w:rsidR="00681847" w:rsidRDefault="00681847" w:rsidP="00681847">
            <w:pPr>
              <w:pStyle w:val="TableParagraph"/>
              <w:tabs>
                <w:tab w:val="left" w:pos="382"/>
              </w:tabs>
              <w:ind w:right="40"/>
              <w:jc w:val="both"/>
              <w:rPr>
                <w:sz w:val="20"/>
              </w:rPr>
            </w:pPr>
          </w:p>
          <w:p w14:paraId="0D7DA432" w14:textId="77777777" w:rsidR="00681847" w:rsidRDefault="00681847" w:rsidP="00681847">
            <w:pPr>
              <w:pStyle w:val="TableParagraph"/>
              <w:numPr>
                <w:ilvl w:val="0"/>
                <w:numId w:val="3"/>
              </w:numPr>
              <w:tabs>
                <w:tab w:val="left" w:pos="370"/>
              </w:tabs>
              <w:ind w:right="48" w:firstLine="0"/>
              <w:jc w:val="both"/>
              <w:rPr>
                <w:sz w:val="20"/>
              </w:rPr>
            </w:pPr>
            <w:r>
              <w:rPr>
                <w:sz w:val="20"/>
              </w:rPr>
              <w:t>Los partidos políticos locales disfrutarán de las franquicias postales y telegráficas, dentro del territorio del Estado, que sean necesarias para el desarrollo de sus actividades. Las franquicias postales y telegráficas se sujetarán a las siguientes</w:t>
            </w:r>
            <w:r>
              <w:rPr>
                <w:spacing w:val="-38"/>
                <w:sz w:val="20"/>
              </w:rPr>
              <w:t xml:space="preserve"> </w:t>
            </w:r>
            <w:r>
              <w:rPr>
                <w:sz w:val="20"/>
              </w:rPr>
              <w:t>reglas:</w:t>
            </w:r>
          </w:p>
          <w:p w14:paraId="2810D560" w14:textId="77777777" w:rsidR="00681847" w:rsidRDefault="00681847" w:rsidP="00681847">
            <w:pPr>
              <w:pStyle w:val="TableParagraph"/>
              <w:tabs>
                <w:tab w:val="left" w:pos="370"/>
              </w:tabs>
              <w:ind w:right="48"/>
              <w:jc w:val="both"/>
              <w:rPr>
                <w:sz w:val="20"/>
              </w:rPr>
            </w:pPr>
          </w:p>
          <w:p w14:paraId="28D69B18" w14:textId="77777777" w:rsidR="00681847" w:rsidRDefault="00681847" w:rsidP="00681847">
            <w:pPr>
              <w:pStyle w:val="TableParagraph"/>
              <w:numPr>
                <w:ilvl w:val="0"/>
                <w:numId w:val="2"/>
              </w:numPr>
              <w:tabs>
                <w:tab w:val="left" w:pos="255"/>
              </w:tabs>
              <w:ind w:right="45" w:firstLine="0"/>
              <w:jc w:val="both"/>
              <w:rPr>
                <w:sz w:val="20"/>
              </w:rPr>
            </w:pPr>
            <w:r>
              <w:rPr>
                <w:sz w:val="20"/>
              </w:rPr>
              <w:t>El</w:t>
            </w:r>
            <w:r>
              <w:rPr>
                <w:spacing w:val="-12"/>
                <w:sz w:val="20"/>
              </w:rPr>
              <w:t xml:space="preserve"> </w:t>
            </w:r>
            <w:r>
              <w:rPr>
                <w:sz w:val="20"/>
              </w:rPr>
              <w:t>Consejo</w:t>
            </w:r>
            <w:r>
              <w:rPr>
                <w:spacing w:val="-12"/>
                <w:sz w:val="20"/>
              </w:rPr>
              <w:t xml:space="preserve"> </w:t>
            </w:r>
            <w:r>
              <w:rPr>
                <w:sz w:val="20"/>
              </w:rPr>
              <w:t>General</w:t>
            </w:r>
            <w:r>
              <w:rPr>
                <w:spacing w:val="-12"/>
                <w:sz w:val="20"/>
              </w:rPr>
              <w:t xml:space="preserve"> </w:t>
            </w:r>
            <w:r>
              <w:rPr>
                <w:sz w:val="20"/>
              </w:rPr>
              <w:t>determinará</w:t>
            </w:r>
            <w:r>
              <w:rPr>
                <w:spacing w:val="-13"/>
                <w:sz w:val="20"/>
              </w:rPr>
              <w:t xml:space="preserve"> </w:t>
            </w:r>
            <w:r>
              <w:rPr>
                <w:sz w:val="20"/>
              </w:rPr>
              <w:t>en</w:t>
            </w:r>
            <w:r>
              <w:rPr>
                <w:spacing w:val="-12"/>
                <w:sz w:val="20"/>
              </w:rPr>
              <w:t xml:space="preserve"> </w:t>
            </w:r>
            <w:r>
              <w:rPr>
                <w:sz w:val="20"/>
              </w:rPr>
              <w:t>el</w:t>
            </w:r>
            <w:r>
              <w:rPr>
                <w:spacing w:val="-12"/>
                <w:sz w:val="20"/>
              </w:rPr>
              <w:t xml:space="preserve"> </w:t>
            </w:r>
            <w:r>
              <w:rPr>
                <w:sz w:val="20"/>
              </w:rPr>
              <w:t>presupuesto</w:t>
            </w:r>
            <w:r>
              <w:rPr>
                <w:spacing w:val="-14"/>
                <w:sz w:val="20"/>
              </w:rPr>
              <w:t xml:space="preserve"> </w:t>
            </w:r>
            <w:r>
              <w:rPr>
                <w:sz w:val="20"/>
              </w:rPr>
              <w:t>anual</w:t>
            </w:r>
            <w:r>
              <w:rPr>
                <w:spacing w:val="-12"/>
                <w:sz w:val="20"/>
              </w:rPr>
              <w:t xml:space="preserve"> </w:t>
            </w:r>
            <w:r>
              <w:rPr>
                <w:sz w:val="20"/>
              </w:rPr>
              <w:t>de</w:t>
            </w:r>
            <w:r>
              <w:rPr>
                <w:spacing w:val="-13"/>
                <w:sz w:val="20"/>
              </w:rPr>
              <w:t xml:space="preserve"> </w:t>
            </w:r>
            <w:r>
              <w:rPr>
                <w:sz w:val="20"/>
              </w:rPr>
              <w:t>egresos</w:t>
            </w:r>
            <w:r>
              <w:rPr>
                <w:spacing w:val="-11"/>
                <w:sz w:val="20"/>
              </w:rPr>
              <w:t xml:space="preserve"> </w:t>
            </w:r>
            <w:r>
              <w:rPr>
                <w:sz w:val="20"/>
              </w:rPr>
              <w:t>del</w:t>
            </w:r>
            <w:r>
              <w:rPr>
                <w:spacing w:val="-12"/>
                <w:sz w:val="20"/>
              </w:rPr>
              <w:t xml:space="preserve"> </w:t>
            </w:r>
            <w:r>
              <w:rPr>
                <w:sz w:val="20"/>
              </w:rPr>
              <w:t>propio</w:t>
            </w:r>
            <w:r>
              <w:rPr>
                <w:spacing w:val="-13"/>
                <w:sz w:val="20"/>
              </w:rPr>
              <w:t xml:space="preserve"> </w:t>
            </w:r>
            <w:r>
              <w:rPr>
                <w:sz w:val="20"/>
              </w:rPr>
              <w:t>Instituto de Elecciones, la partida destinada a cubrir el costo de la franquicia postal de los partidos políticos locales; en años no electorales, el monto total será equivalente al dos por ciento del financiamiento público para actividades ordinarias; en años electorales equivaldrá al cuatro por ciento;</w:t>
            </w:r>
          </w:p>
          <w:p w14:paraId="4C08ABAE" w14:textId="77777777" w:rsidR="00681847" w:rsidRDefault="00681847" w:rsidP="00681847">
            <w:pPr>
              <w:pStyle w:val="TableParagraph"/>
              <w:tabs>
                <w:tab w:val="left" w:pos="255"/>
              </w:tabs>
              <w:ind w:right="45"/>
              <w:jc w:val="both"/>
              <w:rPr>
                <w:sz w:val="20"/>
              </w:rPr>
            </w:pPr>
          </w:p>
          <w:p w14:paraId="03AF0263" w14:textId="77777777" w:rsidR="00681847" w:rsidRDefault="00681847" w:rsidP="00681847">
            <w:pPr>
              <w:pStyle w:val="TableParagraph"/>
              <w:numPr>
                <w:ilvl w:val="0"/>
                <w:numId w:val="2"/>
              </w:numPr>
              <w:tabs>
                <w:tab w:val="left" w:pos="358"/>
              </w:tabs>
              <w:spacing w:before="1"/>
              <w:ind w:right="40" w:firstLine="0"/>
              <w:jc w:val="both"/>
              <w:rPr>
                <w:sz w:val="20"/>
              </w:rPr>
            </w:pPr>
            <w:r>
              <w:rPr>
                <w:sz w:val="20"/>
              </w:rPr>
              <w:t>Las franquicias postales y telegráficas serán asignadas en forma igualitaria a los partidos</w:t>
            </w:r>
            <w:r>
              <w:rPr>
                <w:spacing w:val="-3"/>
                <w:sz w:val="20"/>
              </w:rPr>
              <w:t xml:space="preserve"> </w:t>
            </w:r>
            <w:r>
              <w:rPr>
                <w:sz w:val="20"/>
              </w:rPr>
              <w:t>políticos;</w:t>
            </w:r>
          </w:p>
          <w:p w14:paraId="0074FB7F" w14:textId="140EE9B5" w:rsidR="00681847" w:rsidRDefault="00681847">
            <w:pPr>
              <w:pStyle w:val="TableParagraph"/>
              <w:spacing w:line="233" w:lineRule="exact"/>
              <w:ind w:left="107"/>
              <w:rPr>
                <w:sz w:val="20"/>
              </w:rPr>
            </w:pPr>
          </w:p>
          <w:p w14:paraId="7C510D51" w14:textId="77777777" w:rsidR="00681847" w:rsidRDefault="00681847" w:rsidP="00681847">
            <w:pPr>
              <w:pStyle w:val="TableParagraph"/>
              <w:tabs>
                <w:tab w:val="left" w:pos="358"/>
              </w:tabs>
              <w:spacing w:before="1"/>
              <w:ind w:right="40"/>
              <w:jc w:val="both"/>
              <w:rPr>
                <w:sz w:val="20"/>
              </w:rPr>
            </w:pPr>
          </w:p>
          <w:p w14:paraId="4C78CB78" w14:textId="77777777" w:rsidR="00681847" w:rsidRDefault="00681847" w:rsidP="00681847">
            <w:pPr>
              <w:pStyle w:val="TableParagraph"/>
              <w:numPr>
                <w:ilvl w:val="0"/>
                <w:numId w:val="2"/>
              </w:numPr>
              <w:tabs>
                <w:tab w:val="left" w:pos="370"/>
              </w:tabs>
              <w:ind w:right="43" w:firstLine="0"/>
              <w:jc w:val="both"/>
              <w:rPr>
                <w:sz w:val="20"/>
              </w:rPr>
            </w:pPr>
            <w:r>
              <w:rPr>
                <w:sz w:val="20"/>
              </w:rPr>
              <w:t>El Instituto de Elecciones informará al Servicio Postal Mexicano del presupuesto que corresponda anualmente por concepto de esta prerrogativa a cada partido político estatal</w:t>
            </w:r>
            <w:r>
              <w:rPr>
                <w:spacing w:val="-10"/>
                <w:sz w:val="20"/>
              </w:rPr>
              <w:t xml:space="preserve"> </w:t>
            </w:r>
            <w:r>
              <w:rPr>
                <w:sz w:val="20"/>
              </w:rPr>
              <w:t>y</w:t>
            </w:r>
            <w:r>
              <w:rPr>
                <w:spacing w:val="-11"/>
                <w:sz w:val="20"/>
              </w:rPr>
              <w:t xml:space="preserve"> </w:t>
            </w:r>
            <w:r>
              <w:rPr>
                <w:sz w:val="20"/>
              </w:rPr>
              <w:t>le</w:t>
            </w:r>
            <w:r>
              <w:rPr>
                <w:spacing w:val="-10"/>
                <w:sz w:val="20"/>
              </w:rPr>
              <w:t xml:space="preserve"> </w:t>
            </w:r>
            <w:r>
              <w:rPr>
                <w:sz w:val="20"/>
              </w:rPr>
              <w:t>cubrirá,</w:t>
            </w:r>
            <w:r>
              <w:rPr>
                <w:spacing w:val="-13"/>
                <w:sz w:val="20"/>
              </w:rPr>
              <w:t xml:space="preserve"> </w:t>
            </w:r>
            <w:r>
              <w:rPr>
                <w:sz w:val="20"/>
              </w:rPr>
              <w:t>trimestralmente,</w:t>
            </w:r>
            <w:r>
              <w:rPr>
                <w:spacing w:val="-12"/>
                <w:sz w:val="20"/>
              </w:rPr>
              <w:t xml:space="preserve"> </w:t>
            </w:r>
            <w:r>
              <w:rPr>
                <w:sz w:val="20"/>
              </w:rPr>
              <w:t>el</w:t>
            </w:r>
            <w:r>
              <w:rPr>
                <w:spacing w:val="-9"/>
                <w:sz w:val="20"/>
              </w:rPr>
              <w:t xml:space="preserve"> </w:t>
            </w:r>
            <w:r>
              <w:rPr>
                <w:sz w:val="20"/>
              </w:rPr>
              <w:t>costo</w:t>
            </w:r>
            <w:r>
              <w:rPr>
                <w:spacing w:val="-5"/>
                <w:sz w:val="20"/>
              </w:rPr>
              <w:t xml:space="preserve"> </w:t>
            </w:r>
            <w:r>
              <w:rPr>
                <w:sz w:val="20"/>
              </w:rPr>
              <w:t>de</w:t>
            </w:r>
            <w:r>
              <w:rPr>
                <w:spacing w:val="-9"/>
                <w:sz w:val="20"/>
              </w:rPr>
              <w:t xml:space="preserve"> </w:t>
            </w:r>
            <w:r>
              <w:rPr>
                <w:sz w:val="20"/>
              </w:rPr>
              <w:t>los</w:t>
            </w:r>
            <w:r>
              <w:rPr>
                <w:spacing w:val="-8"/>
                <w:sz w:val="20"/>
              </w:rPr>
              <w:t xml:space="preserve"> </w:t>
            </w:r>
            <w:r>
              <w:rPr>
                <w:sz w:val="20"/>
              </w:rPr>
              <w:t>servicios</w:t>
            </w:r>
            <w:r>
              <w:rPr>
                <w:spacing w:val="-9"/>
                <w:sz w:val="20"/>
              </w:rPr>
              <w:t xml:space="preserve"> </w:t>
            </w:r>
            <w:r>
              <w:rPr>
                <w:sz w:val="20"/>
              </w:rPr>
              <w:t>proporcionados</w:t>
            </w:r>
            <w:r>
              <w:rPr>
                <w:spacing w:val="-8"/>
                <w:sz w:val="20"/>
              </w:rPr>
              <w:t xml:space="preserve"> </w:t>
            </w:r>
            <w:r>
              <w:rPr>
                <w:sz w:val="20"/>
              </w:rPr>
              <w:t>a</w:t>
            </w:r>
            <w:r>
              <w:rPr>
                <w:spacing w:val="-10"/>
                <w:sz w:val="20"/>
              </w:rPr>
              <w:t xml:space="preserve"> </w:t>
            </w:r>
            <w:r>
              <w:rPr>
                <w:sz w:val="20"/>
              </w:rPr>
              <w:t>cada</w:t>
            </w:r>
            <w:r>
              <w:rPr>
                <w:spacing w:val="-7"/>
                <w:sz w:val="20"/>
              </w:rPr>
              <w:t xml:space="preserve"> </w:t>
            </w:r>
            <w:r>
              <w:rPr>
                <w:sz w:val="20"/>
              </w:rPr>
              <w:t>uno</w:t>
            </w:r>
          </w:p>
          <w:p w14:paraId="51229BED" w14:textId="77777777" w:rsidR="00681847" w:rsidRDefault="00681847" w:rsidP="00681847">
            <w:pPr>
              <w:pStyle w:val="TableParagraph"/>
              <w:spacing w:line="222" w:lineRule="exact"/>
              <w:jc w:val="both"/>
              <w:rPr>
                <w:sz w:val="20"/>
              </w:rPr>
            </w:pPr>
            <w:r>
              <w:rPr>
                <w:sz w:val="20"/>
              </w:rPr>
              <w:t>de</w:t>
            </w:r>
            <w:r>
              <w:rPr>
                <w:spacing w:val="43"/>
                <w:sz w:val="20"/>
              </w:rPr>
              <w:t xml:space="preserve"> </w:t>
            </w:r>
            <w:r>
              <w:rPr>
                <w:sz w:val="20"/>
              </w:rPr>
              <w:t>ellos</w:t>
            </w:r>
            <w:r>
              <w:rPr>
                <w:spacing w:val="45"/>
                <w:sz w:val="20"/>
              </w:rPr>
              <w:t xml:space="preserve"> </w:t>
            </w:r>
            <w:r>
              <w:rPr>
                <w:sz w:val="20"/>
              </w:rPr>
              <w:t>hasta</w:t>
            </w:r>
            <w:r>
              <w:rPr>
                <w:spacing w:val="43"/>
                <w:sz w:val="20"/>
              </w:rPr>
              <w:t xml:space="preserve"> </w:t>
            </w:r>
            <w:r>
              <w:rPr>
                <w:sz w:val="20"/>
              </w:rPr>
              <w:t>el</w:t>
            </w:r>
            <w:r>
              <w:rPr>
                <w:spacing w:val="44"/>
                <w:sz w:val="20"/>
              </w:rPr>
              <w:t xml:space="preserve"> </w:t>
            </w:r>
            <w:r>
              <w:rPr>
                <w:sz w:val="20"/>
              </w:rPr>
              <w:t>límite</w:t>
            </w:r>
            <w:r>
              <w:rPr>
                <w:spacing w:val="44"/>
                <w:sz w:val="20"/>
              </w:rPr>
              <w:t xml:space="preserve"> </w:t>
            </w:r>
            <w:r>
              <w:rPr>
                <w:sz w:val="20"/>
              </w:rPr>
              <w:t>que</w:t>
            </w:r>
            <w:r>
              <w:rPr>
                <w:spacing w:val="43"/>
                <w:sz w:val="20"/>
              </w:rPr>
              <w:t xml:space="preserve"> </w:t>
            </w:r>
            <w:r>
              <w:rPr>
                <w:sz w:val="20"/>
              </w:rPr>
              <w:t>corresponda.</w:t>
            </w:r>
            <w:r>
              <w:rPr>
                <w:spacing w:val="41"/>
                <w:sz w:val="20"/>
              </w:rPr>
              <w:t xml:space="preserve"> </w:t>
            </w:r>
            <w:r>
              <w:rPr>
                <w:sz w:val="20"/>
              </w:rPr>
              <w:t>En</w:t>
            </w:r>
            <w:r>
              <w:rPr>
                <w:spacing w:val="43"/>
                <w:sz w:val="20"/>
              </w:rPr>
              <w:t xml:space="preserve"> </w:t>
            </w:r>
            <w:r>
              <w:rPr>
                <w:sz w:val="20"/>
              </w:rPr>
              <w:t>ningún</w:t>
            </w:r>
            <w:r>
              <w:rPr>
                <w:spacing w:val="44"/>
                <w:sz w:val="20"/>
              </w:rPr>
              <w:t xml:space="preserve"> </w:t>
            </w:r>
            <w:r>
              <w:rPr>
                <w:sz w:val="20"/>
              </w:rPr>
              <w:t>caso</w:t>
            </w:r>
            <w:r>
              <w:rPr>
                <w:spacing w:val="43"/>
                <w:sz w:val="20"/>
              </w:rPr>
              <w:t xml:space="preserve"> </w:t>
            </w:r>
            <w:r>
              <w:rPr>
                <w:sz w:val="20"/>
              </w:rPr>
              <w:t>el</w:t>
            </w:r>
            <w:r>
              <w:rPr>
                <w:spacing w:val="43"/>
                <w:sz w:val="20"/>
              </w:rPr>
              <w:t xml:space="preserve"> </w:t>
            </w:r>
            <w:r>
              <w:rPr>
                <w:sz w:val="20"/>
              </w:rPr>
              <w:t>Instituto</w:t>
            </w:r>
            <w:r>
              <w:rPr>
                <w:spacing w:val="43"/>
                <w:sz w:val="20"/>
              </w:rPr>
              <w:t xml:space="preserve"> </w:t>
            </w:r>
            <w:r>
              <w:rPr>
                <w:sz w:val="20"/>
              </w:rPr>
              <w:t>de</w:t>
            </w:r>
            <w:r>
              <w:rPr>
                <w:spacing w:val="44"/>
                <w:sz w:val="20"/>
              </w:rPr>
              <w:t xml:space="preserve"> </w:t>
            </w:r>
            <w:r>
              <w:rPr>
                <w:sz w:val="20"/>
              </w:rPr>
              <w:t xml:space="preserve">Elecciones </w:t>
            </w:r>
            <w:r w:rsidRPr="007C79B7">
              <w:rPr>
                <w:sz w:val="20"/>
              </w:rPr>
              <w:lastRenderedPageBreak/>
              <w:t>ministrará directamente a los partidos los recursos destinados a este fin. Si al concluir el ejercicio fiscal que corresponda quedaren remanentes por este concepto, serán reintegrados a la hacienda pública del Estado, en los términos de la legislación respectiva.</w:t>
            </w:r>
          </w:p>
          <w:p w14:paraId="37C4AB10" w14:textId="77777777" w:rsidR="00681847" w:rsidRPr="007C79B7" w:rsidRDefault="00681847" w:rsidP="00681847">
            <w:pPr>
              <w:pStyle w:val="TableParagraph"/>
              <w:spacing w:line="222" w:lineRule="exact"/>
              <w:jc w:val="both"/>
              <w:rPr>
                <w:sz w:val="20"/>
              </w:rPr>
            </w:pPr>
          </w:p>
          <w:p w14:paraId="0EE36819" w14:textId="77777777" w:rsidR="00681847" w:rsidRDefault="00681847" w:rsidP="00681847">
            <w:pPr>
              <w:pStyle w:val="TableParagraph"/>
              <w:spacing w:line="222" w:lineRule="exact"/>
              <w:jc w:val="both"/>
              <w:rPr>
                <w:sz w:val="20"/>
              </w:rPr>
            </w:pPr>
            <w:r w:rsidRPr="007C79B7">
              <w:rPr>
                <w:sz w:val="20"/>
              </w:rPr>
              <w:t xml:space="preserve">(…) </w:t>
            </w:r>
            <w:r>
              <w:rPr>
                <w:sz w:val="20"/>
              </w:rPr>
              <w:t xml:space="preserve"> </w:t>
            </w:r>
          </w:p>
          <w:p w14:paraId="451D2E0B" w14:textId="77777777" w:rsidR="00681847" w:rsidRDefault="00681847" w:rsidP="00681847">
            <w:pPr>
              <w:pStyle w:val="TableParagraph"/>
              <w:spacing w:line="222" w:lineRule="exact"/>
              <w:jc w:val="both"/>
              <w:rPr>
                <w:sz w:val="20"/>
              </w:rPr>
            </w:pPr>
          </w:p>
          <w:p w14:paraId="0B7C4739" w14:textId="77777777" w:rsidR="00681847" w:rsidRPr="002F2FB7" w:rsidRDefault="00681847" w:rsidP="00681847">
            <w:pPr>
              <w:pStyle w:val="TableParagraph"/>
              <w:spacing w:line="222" w:lineRule="exact"/>
              <w:rPr>
                <w:b/>
                <w:bCs/>
                <w:sz w:val="20"/>
              </w:rPr>
            </w:pPr>
            <w:r w:rsidRPr="00784EBF">
              <w:rPr>
                <w:b/>
                <w:bCs/>
                <w:sz w:val="20"/>
              </w:rPr>
              <w:t>Artículo 54.</w:t>
            </w:r>
          </w:p>
          <w:p w14:paraId="39C50669" w14:textId="77777777" w:rsidR="00681847" w:rsidRPr="00784EBF" w:rsidRDefault="00681847" w:rsidP="00681847">
            <w:pPr>
              <w:pStyle w:val="TableParagraph"/>
              <w:spacing w:line="222" w:lineRule="exact"/>
              <w:rPr>
                <w:sz w:val="20"/>
              </w:rPr>
            </w:pPr>
          </w:p>
          <w:p w14:paraId="5693C688" w14:textId="77777777" w:rsidR="00681847" w:rsidRDefault="00681847" w:rsidP="00681847">
            <w:pPr>
              <w:pStyle w:val="TableParagraph"/>
              <w:spacing w:line="222" w:lineRule="exact"/>
              <w:jc w:val="both"/>
              <w:rPr>
                <w:sz w:val="20"/>
              </w:rPr>
            </w:pPr>
            <w:r>
              <w:rPr>
                <w:sz w:val="20"/>
              </w:rPr>
              <w:t xml:space="preserve">1. </w:t>
            </w:r>
            <w:r w:rsidRPr="00784EBF">
              <w:rPr>
                <w:sz w:val="20"/>
              </w:rPr>
              <w:t>Al partido político que no obtenga por lo menos el 3% de la votación válida emitida en alguna de las elecciones ordinarias de Gobernador o Diputados locales en que participe, le será cancelado su registro o acreditación ante el Instituto y perderá todos los derechos y prerrogativas que establece este Código.</w:t>
            </w:r>
          </w:p>
          <w:p w14:paraId="7E3427D1" w14:textId="77777777" w:rsidR="00681847" w:rsidRPr="00784EBF" w:rsidRDefault="00681847" w:rsidP="00681847">
            <w:pPr>
              <w:pStyle w:val="TableParagraph"/>
              <w:spacing w:line="222" w:lineRule="exact"/>
              <w:jc w:val="both"/>
              <w:rPr>
                <w:sz w:val="20"/>
              </w:rPr>
            </w:pPr>
          </w:p>
          <w:p w14:paraId="31E88A04" w14:textId="77777777" w:rsidR="00681847" w:rsidRDefault="00681847" w:rsidP="00681847">
            <w:pPr>
              <w:pStyle w:val="TableParagraph"/>
              <w:spacing w:line="222" w:lineRule="exact"/>
              <w:jc w:val="both"/>
              <w:rPr>
                <w:sz w:val="20"/>
              </w:rPr>
            </w:pPr>
            <w:r>
              <w:rPr>
                <w:sz w:val="20"/>
              </w:rPr>
              <w:t xml:space="preserve">2. </w:t>
            </w:r>
            <w:r w:rsidRPr="00784EBF">
              <w:rPr>
                <w:sz w:val="20"/>
              </w:rPr>
              <w:t>La pérdida de registro o acreditación a que se refiere el párrafo anterior, no tendrá efectos en relación con los triunfos que sus candidatos hayan obtenido en las elecciones estatales, distritales o municipales.</w:t>
            </w:r>
          </w:p>
          <w:p w14:paraId="4103967E" w14:textId="77777777" w:rsidR="00681847" w:rsidRPr="00784EBF" w:rsidRDefault="00681847" w:rsidP="00681847">
            <w:pPr>
              <w:pStyle w:val="TableParagraph"/>
              <w:spacing w:line="222" w:lineRule="exact"/>
              <w:jc w:val="both"/>
              <w:rPr>
                <w:sz w:val="20"/>
              </w:rPr>
            </w:pPr>
          </w:p>
          <w:p w14:paraId="41B12DD9" w14:textId="77777777" w:rsidR="00681847" w:rsidRDefault="00681847" w:rsidP="00681847">
            <w:pPr>
              <w:pStyle w:val="TableParagraph"/>
              <w:spacing w:line="222" w:lineRule="exact"/>
              <w:jc w:val="both"/>
              <w:rPr>
                <w:sz w:val="20"/>
              </w:rPr>
            </w:pPr>
            <w:r>
              <w:rPr>
                <w:sz w:val="20"/>
              </w:rPr>
              <w:t xml:space="preserve">3. </w:t>
            </w:r>
            <w:r w:rsidRPr="00784EBF">
              <w:rPr>
                <w:sz w:val="20"/>
              </w:rPr>
              <w:t>La pérdida del registro extinguirá la personalidad jurídica del partido político, pero quienes hayan sido sus dirigentes y candidatos deberán cumplir las obligaciones que en materia de fiscalización establece la Leyes Generales, hasta la conclusión de los procedimientos respectivos y de liquidación de su patrimonio.</w:t>
            </w:r>
          </w:p>
          <w:p w14:paraId="4538C203" w14:textId="77777777" w:rsidR="00681847" w:rsidRPr="00784EBF" w:rsidRDefault="00681847" w:rsidP="00681847">
            <w:pPr>
              <w:pStyle w:val="TableParagraph"/>
              <w:spacing w:line="222" w:lineRule="exact"/>
              <w:jc w:val="both"/>
              <w:rPr>
                <w:sz w:val="20"/>
              </w:rPr>
            </w:pPr>
          </w:p>
          <w:p w14:paraId="2D77C150" w14:textId="77777777" w:rsidR="00681847" w:rsidRDefault="00681847" w:rsidP="00681847">
            <w:pPr>
              <w:pStyle w:val="TableParagraph"/>
              <w:spacing w:line="222" w:lineRule="exact"/>
              <w:jc w:val="both"/>
              <w:rPr>
                <w:sz w:val="20"/>
              </w:rPr>
            </w:pPr>
            <w:r w:rsidRPr="00784EBF">
              <w:rPr>
                <w:sz w:val="20"/>
              </w:rPr>
              <w:t>(…)</w:t>
            </w:r>
          </w:p>
          <w:p w14:paraId="663FD3D5" w14:textId="77777777" w:rsidR="00681847" w:rsidRDefault="00681847" w:rsidP="00681847">
            <w:pPr>
              <w:pStyle w:val="TableParagraph"/>
              <w:spacing w:line="222" w:lineRule="exact"/>
              <w:jc w:val="both"/>
              <w:rPr>
                <w:sz w:val="20"/>
              </w:rPr>
            </w:pPr>
          </w:p>
          <w:p w14:paraId="39AE6DF1" w14:textId="77777777" w:rsidR="00681847" w:rsidRPr="00EB1346" w:rsidRDefault="00681847" w:rsidP="00681847">
            <w:pPr>
              <w:pStyle w:val="TableParagraph"/>
              <w:spacing w:line="222" w:lineRule="exact"/>
              <w:jc w:val="both"/>
              <w:rPr>
                <w:sz w:val="20"/>
              </w:rPr>
            </w:pPr>
          </w:p>
          <w:p w14:paraId="73BC8F0A" w14:textId="56CF9C3A" w:rsidR="00681847" w:rsidRPr="00681847" w:rsidRDefault="00681847" w:rsidP="00681847">
            <w:pPr>
              <w:pStyle w:val="TableParagraph"/>
              <w:spacing w:line="222" w:lineRule="exact"/>
              <w:jc w:val="both"/>
              <w:rPr>
                <w:b/>
                <w:bCs/>
                <w:sz w:val="20"/>
              </w:rPr>
            </w:pPr>
            <w:r w:rsidRPr="00681847">
              <w:rPr>
                <w:b/>
                <w:bCs/>
                <w:sz w:val="20"/>
              </w:rPr>
              <w:t>Artículo 65.</w:t>
            </w:r>
          </w:p>
          <w:p w14:paraId="75A93BB4" w14:textId="77777777" w:rsidR="00681847" w:rsidRPr="00EB1346" w:rsidRDefault="00681847" w:rsidP="00681847">
            <w:pPr>
              <w:pStyle w:val="TableParagraph"/>
              <w:spacing w:line="222" w:lineRule="exact"/>
              <w:jc w:val="both"/>
              <w:rPr>
                <w:sz w:val="20"/>
              </w:rPr>
            </w:pPr>
          </w:p>
          <w:p w14:paraId="23C86054" w14:textId="77777777" w:rsidR="00681847" w:rsidRPr="00EB1346" w:rsidRDefault="00681847" w:rsidP="00681847">
            <w:pPr>
              <w:pStyle w:val="TableParagraph"/>
              <w:spacing w:line="222" w:lineRule="exact"/>
              <w:jc w:val="both"/>
              <w:rPr>
                <w:sz w:val="20"/>
              </w:rPr>
            </w:pPr>
            <w:r w:rsidRPr="00EB1346">
              <w:rPr>
                <w:sz w:val="20"/>
              </w:rPr>
              <w:t>1. Para el debido cumplimiento de sus funciones y de acuerdo con su ámbito de</w:t>
            </w:r>
            <w:r>
              <w:rPr>
                <w:sz w:val="20"/>
              </w:rPr>
              <w:t xml:space="preserve"> </w:t>
            </w:r>
            <w:r w:rsidRPr="00EB1346">
              <w:rPr>
                <w:sz w:val="20"/>
              </w:rPr>
              <w:t>competencia, establecido en la Constitución federal, Leyes Generales, Reglamento</w:t>
            </w:r>
          </w:p>
          <w:p w14:paraId="59244D5B" w14:textId="77777777" w:rsidR="00681847" w:rsidRDefault="00681847" w:rsidP="00681847">
            <w:pPr>
              <w:pStyle w:val="TableParagraph"/>
              <w:spacing w:line="222" w:lineRule="exact"/>
              <w:jc w:val="both"/>
              <w:rPr>
                <w:sz w:val="20"/>
              </w:rPr>
            </w:pPr>
            <w:r w:rsidRPr="00EB1346">
              <w:rPr>
                <w:sz w:val="20"/>
              </w:rPr>
              <w:t>de Elecciones, Constitución local y este Código, el Instituto de Elecciones debe:</w:t>
            </w:r>
          </w:p>
          <w:p w14:paraId="60B889E7" w14:textId="77777777" w:rsidR="00681847" w:rsidRPr="00EB1346" w:rsidRDefault="00681847" w:rsidP="00681847">
            <w:pPr>
              <w:pStyle w:val="TableParagraph"/>
              <w:spacing w:line="222" w:lineRule="exact"/>
              <w:jc w:val="both"/>
              <w:rPr>
                <w:sz w:val="20"/>
              </w:rPr>
            </w:pPr>
          </w:p>
          <w:p w14:paraId="228F47B3" w14:textId="77777777" w:rsidR="00681847" w:rsidRDefault="00681847" w:rsidP="00681847">
            <w:pPr>
              <w:pStyle w:val="TableParagraph"/>
              <w:spacing w:line="222" w:lineRule="exact"/>
              <w:jc w:val="both"/>
              <w:rPr>
                <w:sz w:val="20"/>
              </w:rPr>
            </w:pPr>
            <w:r w:rsidRPr="00EB1346">
              <w:rPr>
                <w:sz w:val="20"/>
              </w:rPr>
              <w:t>(…)</w:t>
            </w:r>
          </w:p>
          <w:p w14:paraId="6DBE5D44" w14:textId="77777777" w:rsidR="00681847" w:rsidRPr="00EB1346" w:rsidRDefault="00681847" w:rsidP="00681847">
            <w:pPr>
              <w:pStyle w:val="TableParagraph"/>
              <w:spacing w:line="222" w:lineRule="exact"/>
              <w:jc w:val="both"/>
              <w:rPr>
                <w:sz w:val="20"/>
              </w:rPr>
            </w:pPr>
          </w:p>
          <w:p w14:paraId="3B0CDF3B" w14:textId="77777777" w:rsidR="00681847" w:rsidRDefault="00681847" w:rsidP="00681847">
            <w:pPr>
              <w:pStyle w:val="TableParagraph"/>
              <w:spacing w:line="222" w:lineRule="exact"/>
              <w:jc w:val="both"/>
              <w:rPr>
                <w:sz w:val="20"/>
              </w:rPr>
            </w:pPr>
            <w:r w:rsidRPr="00EB1346">
              <w:rPr>
                <w:sz w:val="20"/>
              </w:rPr>
              <w:t>n) Fiscalizar el origen, monto y destino de los recursos erogados por las agrupaciones políticas</w:t>
            </w:r>
            <w:r>
              <w:rPr>
                <w:sz w:val="20"/>
              </w:rPr>
              <w:t xml:space="preserve"> </w:t>
            </w:r>
            <w:r w:rsidRPr="00EB1346">
              <w:rPr>
                <w:sz w:val="20"/>
              </w:rPr>
              <w:t>locales y las organizaciones de ciudadanos que pretendan constituirse como partido político</w:t>
            </w:r>
            <w:r>
              <w:rPr>
                <w:sz w:val="20"/>
              </w:rPr>
              <w:t xml:space="preserve"> </w:t>
            </w:r>
            <w:r w:rsidRPr="00EB1346">
              <w:rPr>
                <w:sz w:val="20"/>
              </w:rPr>
              <w:t>local;</w:t>
            </w:r>
          </w:p>
          <w:p w14:paraId="77DCB911" w14:textId="77777777" w:rsidR="00681847" w:rsidRPr="00EB1346" w:rsidRDefault="00681847" w:rsidP="00681847">
            <w:pPr>
              <w:pStyle w:val="TableParagraph"/>
              <w:spacing w:line="222" w:lineRule="exact"/>
              <w:jc w:val="both"/>
              <w:rPr>
                <w:sz w:val="20"/>
              </w:rPr>
            </w:pPr>
          </w:p>
          <w:p w14:paraId="69B4AAD3" w14:textId="78645209" w:rsidR="00681847" w:rsidRDefault="00681847" w:rsidP="00681847">
            <w:pPr>
              <w:pStyle w:val="TableParagraph"/>
              <w:spacing w:line="222" w:lineRule="exact"/>
              <w:jc w:val="both"/>
              <w:rPr>
                <w:sz w:val="20"/>
              </w:rPr>
            </w:pPr>
            <w:r w:rsidRPr="00EB1346">
              <w:rPr>
                <w:sz w:val="20"/>
              </w:rPr>
              <w:t>(…)</w:t>
            </w:r>
          </w:p>
          <w:p w14:paraId="3BAC27F8" w14:textId="77777777" w:rsidR="00681847" w:rsidRDefault="00681847" w:rsidP="00681847">
            <w:pPr>
              <w:pStyle w:val="TableParagraph"/>
              <w:spacing w:line="222" w:lineRule="exact"/>
              <w:jc w:val="both"/>
              <w:rPr>
                <w:sz w:val="20"/>
              </w:rPr>
            </w:pPr>
          </w:p>
          <w:p w14:paraId="530A3EFC" w14:textId="77777777" w:rsidR="00681847" w:rsidRDefault="00681847" w:rsidP="00681847">
            <w:pPr>
              <w:pStyle w:val="TableParagraph"/>
              <w:spacing w:line="222" w:lineRule="exact"/>
              <w:jc w:val="both"/>
              <w:rPr>
                <w:sz w:val="20"/>
              </w:rPr>
            </w:pPr>
            <w:r w:rsidRPr="00EB1346">
              <w:rPr>
                <w:sz w:val="20"/>
              </w:rPr>
              <w:t xml:space="preserve">5. Las atribuciones del Instituto Nacional que, en su caso, se deleguen por disposición </w:t>
            </w:r>
            <w:r w:rsidRPr="00EB1346">
              <w:rPr>
                <w:sz w:val="20"/>
              </w:rPr>
              <w:lastRenderedPageBreak/>
              <w:t>legal o</w:t>
            </w:r>
            <w:r>
              <w:rPr>
                <w:sz w:val="20"/>
              </w:rPr>
              <w:t xml:space="preserve"> </w:t>
            </w:r>
            <w:r w:rsidRPr="00EB1346">
              <w:rPr>
                <w:sz w:val="20"/>
              </w:rPr>
              <w:t>por acuerdo de su Consejo General, consistentes en:</w:t>
            </w:r>
          </w:p>
          <w:p w14:paraId="4B1F3DAF" w14:textId="77777777" w:rsidR="00681847" w:rsidRPr="00EB1346" w:rsidRDefault="00681847" w:rsidP="00681847">
            <w:pPr>
              <w:pStyle w:val="TableParagraph"/>
              <w:spacing w:line="222" w:lineRule="exact"/>
              <w:jc w:val="both"/>
              <w:rPr>
                <w:sz w:val="20"/>
              </w:rPr>
            </w:pPr>
          </w:p>
          <w:p w14:paraId="088E513F" w14:textId="77777777" w:rsidR="00681847" w:rsidRPr="00EB1346" w:rsidRDefault="00681847" w:rsidP="00681847">
            <w:pPr>
              <w:pStyle w:val="TableParagraph"/>
              <w:spacing w:line="222" w:lineRule="exact"/>
              <w:jc w:val="both"/>
              <w:rPr>
                <w:sz w:val="20"/>
              </w:rPr>
            </w:pPr>
            <w:r w:rsidRPr="00EB1346">
              <w:rPr>
                <w:sz w:val="20"/>
              </w:rPr>
              <w:t>a) Fiscalizar los ingresos y egresos de los Partidos Políticos y candidatos;</w:t>
            </w:r>
          </w:p>
          <w:p w14:paraId="1B2883B2" w14:textId="607593FC" w:rsidR="00681847" w:rsidRDefault="00681847">
            <w:pPr>
              <w:pStyle w:val="TableParagraph"/>
              <w:spacing w:line="233" w:lineRule="exact"/>
              <w:ind w:left="107"/>
              <w:rPr>
                <w:sz w:val="20"/>
              </w:rPr>
            </w:pPr>
          </w:p>
          <w:p w14:paraId="3A1973CE" w14:textId="77777777" w:rsidR="00681847" w:rsidRDefault="00681847" w:rsidP="00681847">
            <w:pPr>
              <w:pStyle w:val="TableParagraph"/>
              <w:spacing w:line="222" w:lineRule="exact"/>
              <w:jc w:val="both"/>
              <w:rPr>
                <w:b/>
                <w:bCs/>
                <w:sz w:val="20"/>
              </w:rPr>
            </w:pPr>
            <w:r w:rsidRPr="008A16F5">
              <w:rPr>
                <w:b/>
                <w:bCs/>
                <w:sz w:val="20"/>
              </w:rPr>
              <w:t>Artículo 72.</w:t>
            </w:r>
          </w:p>
          <w:p w14:paraId="7D7C7BED" w14:textId="77777777" w:rsidR="00681847" w:rsidRPr="008A16F5" w:rsidRDefault="00681847" w:rsidP="00681847">
            <w:pPr>
              <w:pStyle w:val="TableParagraph"/>
              <w:spacing w:line="222" w:lineRule="exact"/>
              <w:jc w:val="both"/>
              <w:rPr>
                <w:b/>
                <w:bCs/>
                <w:sz w:val="20"/>
              </w:rPr>
            </w:pPr>
          </w:p>
          <w:p w14:paraId="2BAB27FD" w14:textId="77777777" w:rsidR="00681847" w:rsidRDefault="00681847" w:rsidP="00681847">
            <w:pPr>
              <w:pStyle w:val="TableParagraph"/>
              <w:spacing w:line="222" w:lineRule="exact"/>
              <w:ind w:left="0"/>
              <w:jc w:val="both"/>
              <w:rPr>
                <w:sz w:val="20"/>
              </w:rPr>
            </w:pPr>
            <w:r>
              <w:rPr>
                <w:sz w:val="20"/>
              </w:rPr>
              <w:t xml:space="preserve"> (…)</w:t>
            </w:r>
          </w:p>
          <w:p w14:paraId="6029D62C" w14:textId="77777777" w:rsidR="00681847" w:rsidRPr="00102BBF" w:rsidRDefault="00681847" w:rsidP="00681847">
            <w:pPr>
              <w:pStyle w:val="TableParagraph"/>
              <w:spacing w:line="222" w:lineRule="exact"/>
              <w:ind w:left="0"/>
              <w:jc w:val="both"/>
              <w:rPr>
                <w:sz w:val="20"/>
              </w:rPr>
            </w:pPr>
          </w:p>
          <w:p w14:paraId="400A37D7" w14:textId="77777777" w:rsidR="00681847" w:rsidRDefault="00681847" w:rsidP="00681847">
            <w:pPr>
              <w:pStyle w:val="TableParagraph"/>
              <w:spacing w:line="222" w:lineRule="exact"/>
              <w:jc w:val="both"/>
              <w:rPr>
                <w:sz w:val="20"/>
              </w:rPr>
            </w:pPr>
            <w:r w:rsidRPr="00102BBF">
              <w:rPr>
                <w:sz w:val="20"/>
              </w:rPr>
              <w:t>2. Las Comisiones son instancias colegiadas con facultades de deliberación, opinión y</w:t>
            </w:r>
            <w:r>
              <w:rPr>
                <w:sz w:val="20"/>
              </w:rPr>
              <w:t xml:space="preserve"> </w:t>
            </w:r>
            <w:r w:rsidRPr="00102BBF">
              <w:rPr>
                <w:sz w:val="20"/>
              </w:rPr>
              <w:t>propuesta. Se integrarán por tres Consejeros Electorales, de los cuales uno será su presidente</w:t>
            </w:r>
            <w:r>
              <w:rPr>
                <w:sz w:val="20"/>
              </w:rPr>
              <w:t xml:space="preserve"> </w:t>
            </w:r>
            <w:r w:rsidRPr="00102BBF">
              <w:rPr>
                <w:sz w:val="20"/>
              </w:rPr>
              <w:t>todos ellos con derecho a voz y voto; asimismo serán integrantes con derecho a voz los</w:t>
            </w:r>
            <w:r>
              <w:rPr>
                <w:sz w:val="20"/>
              </w:rPr>
              <w:t xml:space="preserve"> </w:t>
            </w:r>
            <w:r w:rsidRPr="00102BBF">
              <w:rPr>
                <w:sz w:val="20"/>
              </w:rPr>
              <w:t>representantes de los partidos políticos, con excepción de las Comisiones de Seguimiento al</w:t>
            </w:r>
            <w:r>
              <w:rPr>
                <w:sz w:val="20"/>
              </w:rPr>
              <w:t xml:space="preserve"> </w:t>
            </w:r>
            <w:r w:rsidRPr="00102BBF">
              <w:rPr>
                <w:sz w:val="20"/>
              </w:rPr>
              <w:t>Servicio Profesional Electoral Nacional, la de Quejas y Denuncias; y Fiscalización.</w:t>
            </w:r>
          </w:p>
          <w:p w14:paraId="630D157C" w14:textId="77777777" w:rsidR="00681847" w:rsidRPr="00102BBF" w:rsidRDefault="00681847" w:rsidP="00681847">
            <w:pPr>
              <w:pStyle w:val="TableParagraph"/>
              <w:spacing w:line="222" w:lineRule="exact"/>
              <w:jc w:val="both"/>
              <w:rPr>
                <w:sz w:val="20"/>
              </w:rPr>
            </w:pPr>
          </w:p>
          <w:p w14:paraId="19BB1B77" w14:textId="07FE22D9" w:rsidR="00681847" w:rsidRDefault="00681847" w:rsidP="00681847">
            <w:pPr>
              <w:pStyle w:val="TableParagraph"/>
              <w:spacing w:line="233" w:lineRule="exact"/>
              <w:ind w:left="107"/>
              <w:rPr>
                <w:sz w:val="20"/>
              </w:rPr>
            </w:pPr>
            <w:r w:rsidRPr="00102BBF">
              <w:rPr>
                <w:sz w:val="20"/>
              </w:rPr>
              <w:t>(…)</w:t>
            </w:r>
          </w:p>
          <w:p w14:paraId="07AB78D6" w14:textId="2441F4D9" w:rsidR="00681847" w:rsidRDefault="00681847">
            <w:pPr>
              <w:pStyle w:val="TableParagraph"/>
              <w:spacing w:line="233" w:lineRule="exact"/>
              <w:ind w:left="107"/>
              <w:rPr>
                <w:sz w:val="20"/>
              </w:rPr>
            </w:pPr>
          </w:p>
        </w:tc>
      </w:tr>
      <w:tr w:rsidR="00681847" w14:paraId="2DDC2902" w14:textId="77777777" w:rsidTr="00A42438">
        <w:trPr>
          <w:trHeight w:val="808"/>
        </w:trPr>
        <w:tc>
          <w:tcPr>
            <w:tcW w:w="1460" w:type="dxa"/>
          </w:tcPr>
          <w:p w14:paraId="47FCDE79" w14:textId="202207B0" w:rsidR="00681847" w:rsidRPr="00476864" w:rsidRDefault="00681847" w:rsidP="00681847">
            <w:pPr>
              <w:pStyle w:val="TableParagraph"/>
              <w:spacing w:before="4"/>
              <w:ind w:left="0"/>
              <w:rPr>
                <w:rFonts w:ascii="Arial"/>
                <w:b/>
                <w:bCs/>
                <w:i/>
                <w:sz w:val="27"/>
              </w:rPr>
            </w:pPr>
            <w:r>
              <w:rPr>
                <w:b/>
                <w:sz w:val="20"/>
              </w:rPr>
              <w:lastRenderedPageBreak/>
              <w:t>3</w:t>
            </w:r>
            <w:r w:rsidRPr="009D7F07">
              <w:rPr>
                <w:b/>
                <w:sz w:val="20"/>
              </w:rPr>
              <w:t>.</w:t>
            </w:r>
          </w:p>
        </w:tc>
        <w:tc>
          <w:tcPr>
            <w:tcW w:w="2765" w:type="dxa"/>
          </w:tcPr>
          <w:p w14:paraId="4AEF979B" w14:textId="548D9F8A" w:rsidR="00681847" w:rsidRPr="00476864" w:rsidRDefault="00681847" w:rsidP="00681847">
            <w:pPr>
              <w:pStyle w:val="TableParagraph"/>
              <w:spacing w:before="4"/>
              <w:ind w:left="0"/>
              <w:rPr>
                <w:rFonts w:ascii="Arial"/>
                <w:b/>
                <w:bCs/>
                <w:i/>
                <w:sz w:val="27"/>
              </w:rPr>
            </w:pPr>
            <w:r w:rsidRPr="009D7F07">
              <w:rPr>
                <w:b/>
                <w:sz w:val="20"/>
              </w:rPr>
              <w:t>CHIA</w:t>
            </w:r>
            <w:r>
              <w:rPr>
                <w:b/>
                <w:sz w:val="20"/>
              </w:rPr>
              <w:t>PAS</w:t>
            </w:r>
          </w:p>
        </w:tc>
        <w:tc>
          <w:tcPr>
            <w:tcW w:w="13094" w:type="dxa"/>
            <w:gridSpan w:val="2"/>
          </w:tcPr>
          <w:p w14:paraId="3439F0EB" w14:textId="582E43BD" w:rsidR="00681847" w:rsidRPr="009A3BEB" w:rsidRDefault="00C41768" w:rsidP="00681847">
            <w:pPr>
              <w:pStyle w:val="TableParagraph"/>
              <w:spacing w:before="65"/>
              <w:ind w:left="107"/>
              <w:rPr>
                <w:b/>
                <w:bCs/>
                <w:sz w:val="20"/>
              </w:rPr>
            </w:pPr>
            <w:hyperlink r:id="rId9" w:history="1">
              <w:r w:rsidR="00681847" w:rsidRPr="00D64517">
                <w:rPr>
                  <w:rStyle w:val="Hipervnculo"/>
                  <w:b/>
                  <w:sz w:val="20"/>
                </w:rPr>
                <w:t>Reglamento Interno del Instituto de Elecciones y Participación Ciudadana</w:t>
              </w:r>
            </w:hyperlink>
            <w:r w:rsidR="00681847" w:rsidRPr="00FB26EC">
              <w:rPr>
                <w:b/>
                <w:sz w:val="20"/>
              </w:rPr>
              <w:t xml:space="preserve"> </w:t>
            </w:r>
          </w:p>
        </w:tc>
      </w:tr>
    </w:tbl>
    <w:p w14:paraId="07AB78D8" w14:textId="77777777" w:rsidR="001B1EAC" w:rsidRDefault="001B1EAC">
      <w:pPr>
        <w:spacing w:line="233" w:lineRule="exact"/>
        <w:rPr>
          <w:sz w:val="20"/>
        </w:rPr>
        <w:sectPr w:rsidR="001B1EAC">
          <w:headerReference w:type="default" r:id="rId10"/>
          <w:type w:val="continuous"/>
          <w:pgSz w:w="20160" w:h="12240" w:orient="landscape"/>
          <w:pgMar w:top="900" w:right="1300" w:bottom="280" w:left="1320" w:header="720" w:footer="720" w:gutter="0"/>
          <w:cols w:space="720"/>
        </w:sectPr>
      </w:pPr>
    </w:p>
    <w:p w14:paraId="2DAB4AEF" w14:textId="21F87474" w:rsidR="0086159C" w:rsidRDefault="0086159C" w:rsidP="00681847">
      <w:pPr>
        <w:pStyle w:val="Textoindependiente"/>
        <w:tabs>
          <w:tab w:val="left" w:pos="4200"/>
          <w:tab w:val="right" w:pos="17290"/>
        </w:tabs>
        <w:spacing w:before="43"/>
        <w:ind w:right="250"/>
        <w:rPr>
          <w:sz w:val="20"/>
        </w:rPr>
      </w:pPr>
    </w:p>
    <w:sectPr w:rsidR="0086159C">
      <w:pgSz w:w="20160" w:h="12240" w:orient="landscape"/>
      <w:pgMar w:top="90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4F8D" w14:textId="77777777" w:rsidR="00C41768" w:rsidRDefault="00C41768" w:rsidP="00D2495C">
      <w:r>
        <w:separator/>
      </w:r>
    </w:p>
  </w:endnote>
  <w:endnote w:type="continuationSeparator" w:id="0">
    <w:p w14:paraId="46DB93C4" w14:textId="77777777" w:rsidR="00C41768" w:rsidRDefault="00C41768" w:rsidP="00D2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FC11" w14:textId="77777777" w:rsidR="00C41768" w:rsidRDefault="00C41768" w:rsidP="00D2495C">
      <w:r>
        <w:separator/>
      </w:r>
    </w:p>
  </w:footnote>
  <w:footnote w:type="continuationSeparator" w:id="0">
    <w:p w14:paraId="682C8E1C" w14:textId="77777777" w:rsidR="00C41768" w:rsidRDefault="00C41768" w:rsidP="00D2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78F37" w14:textId="77777777" w:rsidR="00D2495C" w:rsidRDefault="00D2495C" w:rsidP="00D2495C">
    <w:pPr>
      <w:ind w:right="115"/>
      <w:jc w:val="right"/>
      <w:rPr>
        <w:rFonts w:ascii="Arial" w:eastAsia="Arial" w:hAnsi="Arial" w:cs="Arial"/>
        <w:b/>
        <w:i/>
        <w:sz w:val="18"/>
        <w:lang w:bidi="ar-SA"/>
      </w:rPr>
    </w:pPr>
    <w:r>
      <w:rPr>
        <w:noProof/>
      </w:rPr>
      <w:drawing>
        <wp:anchor distT="0" distB="0" distL="0" distR="0" simplePos="0" relativeHeight="251659264" behindDoc="0" locked="0" layoutInCell="1" allowOverlap="1" wp14:anchorId="78C81799" wp14:editId="2F3E505A">
          <wp:simplePos x="0" y="0"/>
          <wp:positionH relativeFrom="page">
            <wp:posOffset>1052470</wp:posOffset>
          </wp:positionH>
          <wp:positionV relativeFrom="paragraph">
            <wp:posOffset>-100801</wp:posOffset>
          </wp:positionV>
          <wp:extent cx="1040725" cy="10012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725" cy="1001236"/>
                  </a:xfrm>
                  <a:prstGeom prst="rect">
                    <a:avLst/>
                  </a:prstGeom>
                </pic:spPr>
              </pic:pic>
            </a:graphicData>
          </a:graphic>
        </wp:anchor>
      </w:drawing>
    </w:r>
    <w:r w:rsidRPr="00844799">
      <w:rPr>
        <w:rFonts w:ascii="Arial" w:eastAsia="Arial" w:hAnsi="Arial" w:cs="Arial"/>
        <w:b/>
        <w:i/>
      </w:rPr>
      <w:t xml:space="preserve"> </w:t>
    </w:r>
    <w:r>
      <w:rPr>
        <w:rFonts w:ascii="Arial" w:eastAsia="Arial" w:hAnsi="Arial" w:cs="Arial"/>
        <w:b/>
        <w:i/>
      </w:rPr>
      <w:t>D</w:t>
    </w:r>
    <w:r>
      <w:rPr>
        <w:rFonts w:ascii="Arial" w:eastAsia="Arial" w:hAnsi="Arial" w:cs="Arial"/>
        <w:b/>
        <w:i/>
        <w:sz w:val="18"/>
        <w:szCs w:val="18"/>
      </w:rPr>
      <w:t>IRECCIÓN</w:t>
    </w:r>
    <w:r>
      <w:rPr>
        <w:rFonts w:ascii="Arial" w:eastAsia="Arial" w:hAnsi="Arial" w:cs="Arial"/>
        <w:b/>
        <w:i/>
      </w:rPr>
      <w:t xml:space="preserve"> G</w:t>
    </w:r>
    <w:r>
      <w:rPr>
        <w:rFonts w:ascii="Arial" w:eastAsia="Arial" w:hAnsi="Arial" w:cs="Arial"/>
        <w:b/>
        <w:i/>
        <w:sz w:val="18"/>
        <w:szCs w:val="18"/>
      </w:rPr>
      <w:t>ENERAL</w:t>
    </w:r>
    <w:r>
      <w:rPr>
        <w:rFonts w:ascii="Arial" w:eastAsia="Arial" w:hAnsi="Arial" w:cs="Arial"/>
        <w:b/>
        <w:i/>
      </w:rPr>
      <w:t xml:space="preserve"> </w:t>
    </w:r>
    <w:r>
      <w:rPr>
        <w:rFonts w:ascii="Arial" w:eastAsia="Arial" w:hAnsi="Arial" w:cs="Arial"/>
        <w:b/>
        <w:i/>
        <w:sz w:val="18"/>
      </w:rPr>
      <w:t xml:space="preserve">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p>
  <w:p w14:paraId="324E16A9" w14:textId="77777777" w:rsidR="00D2495C" w:rsidRDefault="00D2495C" w:rsidP="00D2495C">
    <w:pPr>
      <w:ind w:right="115"/>
      <w:jc w:val="right"/>
      <w:rPr>
        <w:rFonts w:ascii="Arial" w:eastAsia="Arial" w:hAnsi="Arial" w:cs="Arial"/>
        <w:b/>
        <w:i/>
        <w:sz w:val="18"/>
      </w:rPr>
    </w:pPr>
  </w:p>
  <w:p w14:paraId="12292B4B" w14:textId="049D6BA2" w:rsidR="00D2495C" w:rsidRDefault="00D2495C">
    <w:pPr>
      <w:pStyle w:val="Encabezado"/>
    </w:pPr>
  </w:p>
  <w:p w14:paraId="2636DEA6" w14:textId="22085402" w:rsidR="00D2495C" w:rsidRDefault="00D2495C">
    <w:pPr>
      <w:pStyle w:val="Encabezado"/>
    </w:pPr>
  </w:p>
  <w:p w14:paraId="348B9211" w14:textId="696F58A3" w:rsidR="00D2495C" w:rsidRDefault="00D2495C">
    <w:pPr>
      <w:pStyle w:val="Encabezado"/>
    </w:pPr>
  </w:p>
  <w:p w14:paraId="6FA84379" w14:textId="77777777" w:rsidR="00D2495C" w:rsidRDefault="00D249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5F7E"/>
    <w:multiLevelType w:val="hybridMultilevel"/>
    <w:tmpl w:val="6144EEFC"/>
    <w:lvl w:ilvl="0" w:tplc="F4C01BCC">
      <w:start w:val="3"/>
      <w:numFmt w:val="decimal"/>
      <w:lvlText w:val="%1."/>
      <w:lvlJc w:val="left"/>
      <w:pPr>
        <w:ind w:left="108" w:hanging="274"/>
      </w:pPr>
      <w:rPr>
        <w:rFonts w:ascii="Century Gothic" w:eastAsia="Century Gothic" w:hAnsi="Century Gothic" w:cs="Century Gothic" w:hint="default"/>
        <w:spacing w:val="-1"/>
        <w:w w:val="99"/>
        <w:sz w:val="20"/>
        <w:szCs w:val="20"/>
        <w:lang w:val="es-MX" w:eastAsia="es-MX" w:bidi="es-MX"/>
      </w:rPr>
    </w:lvl>
    <w:lvl w:ilvl="1" w:tplc="DD964F14">
      <w:numFmt w:val="bullet"/>
      <w:lvlText w:val="•"/>
      <w:lvlJc w:val="left"/>
      <w:pPr>
        <w:ind w:left="955" w:hanging="274"/>
      </w:pPr>
      <w:rPr>
        <w:rFonts w:hint="default"/>
        <w:lang w:val="es-MX" w:eastAsia="es-MX" w:bidi="es-MX"/>
      </w:rPr>
    </w:lvl>
    <w:lvl w:ilvl="2" w:tplc="08E6A260">
      <w:numFmt w:val="bullet"/>
      <w:lvlText w:val="•"/>
      <w:lvlJc w:val="left"/>
      <w:pPr>
        <w:ind w:left="1810" w:hanging="274"/>
      </w:pPr>
      <w:rPr>
        <w:rFonts w:hint="default"/>
        <w:lang w:val="es-MX" w:eastAsia="es-MX" w:bidi="es-MX"/>
      </w:rPr>
    </w:lvl>
    <w:lvl w:ilvl="3" w:tplc="D556CF18">
      <w:numFmt w:val="bullet"/>
      <w:lvlText w:val="•"/>
      <w:lvlJc w:val="left"/>
      <w:pPr>
        <w:ind w:left="2665" w:hanging="274"/>
      </w:pPr>
      <w:rPr>
        <w:rFonts w:hint="default"/>
        <w:lang w:val="es-MX" w:eastAsia="es-MX" w:bidi="es-MX"/>
      </w:rPr>
    </w:lvl>
    <w:lvl w:ilvl="4" w:tplc="5BFC2472">
      <w:numFmt w:val="bullet"/>
      <w:lvlText w:val="•"/>
      <w:lvlJc w:val="left"/>
      <w:pPr>
        <w:ind w:left="3521" w:hanging="274"/>
      </w:pPr>
      <w:rPr>
        <w:rFonts w:hint="default"/>
        <w:lang w:val="es-MX" w:eastAsia="es-MX" w:bidi="es-MX"/>
      </w:rPr>
    </w:lvl>
    <w:lvl w:ilvl="5" w:tplc="9B02362E">
      <w:numFmt w:val="bullet"/>
      <w:lvlText w:val="•"/>
      <w:lvlJc w:val="left"/>
      <w:pPr>
        <w:ind w:left="4376" w:hanging="274"/>
      </w:pPr>
      <w:rPr>
        <w:rFonts w:hint="default"/>
        <w:lang w:val="es-MX" w:eastAsia="es-MX" w:bidi="es-MX"/>
      </w:rPr>
    </w:lvl>
    <w:lvl w:ilvl="6" w:tplc="111EE904">
      <w:numFmt w:val="bullet"/>
      <w:lvlText w:val="•"/>
      <w:lvlJc w:val="left"/>
      <w:pPr>
        <w:ind w:left="5231" w:hanging="274"/>
      </w:pPr>
      <w:rPr>
        <w:rFonts w:hint="default"/>
        <w:lang w:val="es-MX" w:eastAsia="es-MX" w:bidi="es-MX"/>
      </w:rPr>
    </w:lvl>
    <w:lvl w:ilvl="7" w:tplc="E9EA6AFE">
      <w:numFmt w:val="bullet"/>
      <w:lvlText w:val="•"/>
      <w:lvlJc w:val="left"/>
      <w:pPr>
        <w:ind w:left="6087" w:hanging="274"/>
      </w:pPr>
      <w:rPr>
        <w:rFonts w:hint="default"/>
        <w:lang w:val="es-MX" w:eastAsia="es-MX" w:bidi="es-MX"/>
      </w:rPr>
    </w:lvl>
    <w:lvl w:ilvl="8" w:tplc="F6F26BBA">
      <w:numFmt w:val="bullet"/>
      <w:lvlText w:val="•"/>
      <w:lvlJc w:val="left"/>
      <w:pPr>
        <w:ind w:left="6942" w:hanging="274"/>
      </w:pPr>
      <w:rPr>
        <w:rFonts w:hint="default"/>
        <w:lang w:val="es-MX" w:eastAsia="es-MX" w:bidi="es-MX"/>
      </w:rPr>
    </w:lvl>
  </w:abstractNum>
  <w:abstractNum w:abstractNumId="1" w15:restartNumberingAfterBreak="0">
    <w:nsid w:val="2F57660E"/>
    <w:multiLevelType w:val="hybridMultilevel"/>
    <w:tmpl w:val="D096BF12"/>
    <w:lvl w:ilvl="0" w:tplc="BE5C4084">
      <w:start w:val="1"/>
      <w:numFmt w:val="decimal"/>
      <w:lvlText w:val="%1."/>
      <w:lvlJc w:val="left"/>
      <w:pPr>
        <w:ind w:left="108" w:hanging="223"/>
      </w:pPr>
      <w:rPr>
        <w:rFonts w:ascii="Century Gothic" w:eastAsia="Century Gothic" w:hAnsi="Century Gothic" w:cs="Century Gothic" w:hint="default"/>
        <w:spacing w:val="-1"/>
        <w:w w:val="99"/>
        <w:sz w:val="20"/>
        <w:szCs w:val="20"/>
        <w:lang w:val="es-MX" w:eastAsia="es-MX" w:bidi="es-MX"/>
      </w:rPr>
    </w:lvl>
    <w:lvl w:ilvl="1" w:tplc="792ABCBE">
      <w:start w:val="1"/>
      <w:numFmt w:val="upperRoman"/>
      <w:lvlText w:val="%2."/>
      <w:lvlJc w:val="left"/>
      <w:pPr>
        <w:ind w:left="108" w:hanging="243"/>
      </w:pPr>
      <w:rPr>
        <w:rFonts w:ascii="Century Gothic" w:eastAsia="Century Gothic" w:hAnsi="Century Gothic" w:cs="Century Gothic" w:hint="default"/>
        <w:spacing w:val="0"/>
        <w:w w:val="99"/>
        <w:sz w:val="20"/>
        <w:szCs w:val="20"/>
        <w:lang w:val="es-MX" w:eastAsia="es-MX" w:bidi="es-MX"/>
      </w:rPr>
    </w:lvl>
    <w:lvl w:ilvl="2" w:tplc="40160A92">
      <w:numFmt w:val="bullet"/>
      <w:lvlText w:val="•"/>
      <w:lvlJc w:val="left"/>
      <w:pPr>
        <w:ind w:left="1810" w:hanging="243"/>
      </w:pPr>
      <w:rPr>
        <w:rFonts w:hint="default"/>
        <w:lang w:val="es-MX" w:eastAsia="es-MX" w:bidi="es-MX"/>
      </w:rPr>
    </w:lvl>
    <w:lvl w:ilvl="3" w:tplc="C27A6922">
      <w:numFmt w:val="bullet"/>
      <w:lvlText w:val="•"/>
      <w:lvlJc w:val="left"/>
      <w:pPr>
        <w:ind w:left="2665" w:hanging="243"/>
      </w:pPr>
      <w:rPr>
        <w:rFonts w:hint="default"/>
        <w:lang w:val="es-MX" w:eastAsia="es-MX" w:bidi="es-MX"/>
      </w:rPr>
    </w:lvl>
    <w:lvl w:ilvl="4" w:tplc="ADFAE4CE">
      <w:numFmt w:val="bullet"/>
      <w:lvlText w:val="•"/>
      <w:lvlJc w:val="left"/>
      <w:pPr>
        <w:ind w:left="3521" w:hanging="243"/>
      </w:pPr>
      <w:rPr>
        <w:rFonts w:hint="default"/>
        <w:lang w:val="es-MX" w:eastAsia="es-MX" w:bidi="es-MX"/>
      </w:rPr>
    </w:lvl>
    <w:lvl w:ilvl="5" w:tplc="394A5F5C">
      <w:numFmt w:val="bullet"/>
      <w:lvlText w:val="•"/>
      <w:lvlJc w:val="left"/>
      <w:pPr>
        <w:ind w:left="4376" w:hanging="243"/>
      </w:pPr>
      <w:rPr>
        <w:rFonts w:hint="default"/>
        <w:lang w:val="es-MX" w:eastAsia="es-MX" w:bidi="es-MX"/>
      </w:rPr>
    </w:lvl>
    <w:lvl w:ilvl="6" w:tplc="A144364A">
      <w:numFmt w:val="bullet"/>
      <w:lvlText w:val="•"/>
      <w:lvlJc w:val="left"/>
      <w:pPr>
        <w:ind w:left="5231" w:hanging="243"/>
      </w:pPr>
      <w:rPr>
        <w:rFonts w:hint="default"/>
        <w:lang w:val="es-MX" w:eastAsia="es-MX" w:bidi="es-MX"/>
      </w:rPr>
    </w:lvl>
    <w:lvl w:ilvl="7" w:tplc="2B7A7212">
      <w:numFmt w:val="bullet"/>
      <w:lvlText w:val="•"/>
      <w:lvlJc w:val="left"/>
      <w:pPr>
        <w:ind w:left="6087" w:hanging="243"/>
      </w:pPr>
      <w:rPr>
        <w:rFonts w:hint="default"/>
        <w:lang w:val="es-MX" w:eastAsia="es-MX" w:bidi="es-MX"/>
      </w:rPr>
    </w:lvl>
    <w:lvl w:ilvl="8" w:tplc="B1F0CB96">
      <w:numFmt w:val="bullet"/>
      <w:lvlText w:val="•"/>
      <w:lvlJc w:val="left"/>
      <w:pPr>
        <w:ind w:left="6942" w:hanging="243"/>
      </w:pPr>
      <w:rPr>
        <w:rFonts w:hint="default"/>
        <w:lang w:val="es-MX" w:eastAsia="es-MX" w:bidi="es-MX"/>
      </w:rPr>
    </w:lvl>
  </w:abstractNum>
  <w:abstractNum w:abstractNumId="2" w15:restartNumberingAfterBreak="0">
    <w:nsid w:val="2FAE69BF"/>
    <w:multiLevelType w:val="hybridMultilevel"/>
    <w:tmpl w:val="0F9E8CA8"/>
    <w:lvl w:ilvl="0" w:tplc="B0E4B6E6">
      <w:start w:val="1"/>
      <w:numFmt w:val="upperRoman"/>
      <w:lvlText w:val="%1."/>
      <w:lvlJc w:val="left"/>
      <w:pPr>
        <w:ind w:left="108" w:hanging="147"/>
      </w:pPr>
      <w:rPr>
        <w:rFonts w:ascii="Century Gothic" w:eastAsia="Century Gothic" w:hAnsi="Century Gothic" w:cs="Century Gothic" w:hint="default"/>
        <w:spacing w:val="0"/>
        <w:w w:val="99"/>
        <w:sz w:val="20"/>
        <w:szCs w:val="20"/>
        <w:lang w:val="es-MX" w:eastAsia="es-MX" w:bidi="es-MX"/>
      </w:rPr>
    </w:lvl>
    <w:lvl w:ilvl="1" w:tplc="2022200E">
      <w:numFmt w:val="bullet"/>
      <w:lvlText w:val="•"/>
      <w:lvlJc w:val="left"/>
      <w:pPr>
        <w:ind w:left="955" w:hanging="147"/>
      </w:pPr>
      <w:rPr>
        <w:rFonts w:hint="default"/>
        <w:lang w:val="es-MX" w:eastAsia="es-MX" w:bidi="es-MX"/>
      </w:rPr>
    </w:lvl>
    <w:lvl w:ilvl="2" w:tplc="407AFCEE">
      <w:numFmt w:val="bullet"/>
      <w:lvlText w:val="•"/>
      <w:lvlJc w:val="left"/>
      <w:pPr>
        <w:ind w:left="1810" w:hanging="147"/>
      </w:pPr>
      <w:rPr>
        <w:rFonts w:hint="default"/>
        <w:lang w:val="es-MX" w:eastAsia="es-MX" w:bidi="es-MX"/>
      </w:rPr>
    </w:lvl>
    <w:lvl w:ilvl="3" w:tplc="F0EC1610">
      <w:numFmt w:val="bullet"/>
      <w:lvlText w:val="•"/>
      <w:lvlJc w:val="left"/>
      <w:pPr>
        <w:ind w:left="2665" w:hanging="147"/>
      </w:pPr>
      <w:rPr>
        <w:rFonts w:hint="default"/>
        <w:lang w:val="es-MX" w:eastAsia="es-MX" w:bidi="es-MX"/>
      </w:rPr>
    </w:lvl>
    <w:lvl w:ilvl="4" w:tplc="A950DE6E">
      <w:numFmt w:val="bullet"/>
      <w:lvlText w:val="•"/>
      <w:lvlJc w:val="left"/>
      <w:pPr>
        <w:ind w:left="3521" w:hanging="147"/>
      </w:pPr>
      <w:rPr>
        <w:rFonts w:hint="default"/>
        <w:lang w:val="es-MX" w:eastAsia="es-MX" w:bidi="es-MX"/>
      </w:rPr>
    </w:lvl>
    <w:lvl w:ilvl="5" w:tplc="BF4441D0">
      <w:numFmt w:val="bullet"/>
      <w:lvlText w:val="•"/>
      <w:lvlJc w:val="left"/>
      <w:pPr>
        <w:ind w:left="4376" w:hanging="147"/>
      </w:pPr>
      <w:rPr>
        <w:rFonts w:hint="default"/>
        <w:lang w:val="es-MX" w:eastAsia="es-MX" w:bidi="es-MX"/>
      </w:rPr>
    </w:lvl>
    <w:lvl w:ilvl="6" w:tplc="2634DF0C">
      <w:numFmt w:val="bullet"/>
      <w:lvlText w:val="•"/>
      <w:lvlJc w:val="left"/>
      <w:pPr>
        <w:ind w:left="5231" w:hanging="147"/>
      </w:pPr>
      <w:rPr>
        <w:rFonts w:hint="default"/>
        <w:lang w:val="es-MX" w:eastAsia="es-MX" w:bidi="es-MX"/>
      </w:rPr>
    </w:lvl>
    <w:lvl w:ilvl="7" w:tplc="5AF27A38">
      <w:numFmt w:val="bullet"/>
      <w:lvlText w:val="•"/>
      <w:lvlJc w:val="left"/>
      <w:pPr>
        <w:ind w:left="6087" w:hanging="147"/>
      </w:pPr>
      <w:rPr>
        <w:rFonts w:hint="default"/>
        <w:lang w:val="es-MX" w:eastAsia="es-MX" w:bidi="es-MX"/>
      </w:rPr>
    </w:lvl>
    <w:lvl w:ilvl="8" w:tplc="308E303E">
      <w:numFmt w:val="bullet"/>
      <w:lvlText w:val="•"/>
      <w:lvlJc w:val="left"/>
      <w:pPr>
        <w:ind w:left="6942" w:hanging="147"/>
      </w:pPr>
      <w:rPr>
        <w:rFonts w:hint="default"/>
        <w:lang w:val="es-MX" w:eastAsia="es-MX" w:bidi="es-MX"/>
      </w:rPr>
    </w:lvl>
  </w:abstractNum>
  <w:abstractNum w:abstractNumId="3" w15:restartNumberingAfterBreak="0">
    <w:nsid w:val="583D6398"/>
    <w:multiLevelType w:val="hybridMultilevel"/>
    <w:tmpl w:val="003A0284"/>
    <w:lvl w:ilvl="0" w:tplc="E42E6C5C">
      <w:start w:val="1"/>
      <w:numFmt w:val="decimal"/>
      <w:lvlText w:val="%1."/>
      <w:lvlJc w:val="left"/>
      <w:pPr>
        <w:ind w:left="108" w:hanging="230"/>
      </w:pPr>
      <w:rPr>
        <w:rFonts w:ascii="Century Gothic" w:eastAsia="Century Gothic" w:hAnsi="Century Gothic" w:cs="Century Gothic" w:hint="default"/>
        <w:spacing w:val="-1"/>
        <w:w w:val="99"/>
        <w:sz w:val="20"/>
        <w:szCs w:val="20"/>
        <w:lang w:val="es-MX" w:eastAsia="es-MX" w:bidi="es-MX"/>
      </w:rPr>
    </w:lvl>
    <w:lvl w:ilvl="1" w:tplc="8BEEC478">
      <w:numFmt w:val="bullet"/>
      <w:lvlText w:val="•"/>
      <w:lvlJc w:val="left"/>
      <w:pPr>
        <w:ind w:left="955" w:hanging="230"/>
      </w:pPr>
      <w:rPr>
        <w:rFonts w:hint="default"/>
        <w:lang w:val="es-MX" w:eastAsia="es-MX" w:bidi="es-MX"/>
      </w:rPr>
    </w:lvl>
    <w:lvl w:ilvl="2" w:tplc="E43209A8">
      <w:numFmt w:val="bullet"/>
      <w:lvlText w:val="•"/>
      <w:lvlJc w:val="left"/>
      <w:pPr>
        <w:ind w:left="1810" w:hanging="230"/>
      </w:pPr>
      <w:rPr>
        <w:rFonts w:hint="default"/>
        <w:lang w:val="es-MX" w:eastAsia="es-MX" w:bidi="es-MX"/>
      </w:rPr>
    </w:lvl>
    <w:lvl w:ilvl="3" w:tplc="C5BC7110">
      <w:numFmt w:val="bullet"/>
      <w:lvlText w:val="•"/>
      <w:lvlJc w:val="left"/>
      <w:pPr>
        <w:ind w:left="2665" w:hanging="230"/>
      </w:pPr>
      <w:rPr>
        <w:rFonts w:hint="default"/>
        <w:lang w:val="es-MX" w:eastAsia="es-MX" w:bidi="es-MX"/>
      </w:rPr>
    </w:lvl>
    <w:lvl w:ilvl="4" w:tplc="CE7AB4F0">
      <w:numFmt w:val="bullet"/>
      <w:lvlText w:val="•"/>
      <w:lvlJc w:val="left"/>
      <w:pPr>
        <w:ind w:left="3521" w:hanging="230"/>
      </w:pPr>
      <w:rPr>
        <w:rFonts w:hint="default"/>
        <w:lang w:val="es-MX" w:eastAsia="es-MX" w:bidi="es-MX"/>
      </w:rPr>
    </w:lvl>
    <w:lvl w:ilvl="5" w:tplc="E624A672">
      <w:numFmt w:val="bullet"/>
      <w:lvlText w:val="•"/>
      <w:lvlJc w:val="left"/>
      <w:pPr>
        <w:ind w:left="4376" w:hanging="230"/>
      </w:pPr>
      <w:rPr>
        <w:rFonts w:hint="default"/>
        <w:lang w:val="es-MX" w:eastAsia="es-MX" w:bidi="es-MX"/>
      </w:rPr>
    </w:lvl>
    <w:lvl w:ilvl="6" w:tplc="D3CCD45A">
      <w:numFmt w:val="bullet"/>
      <w:lvlText w:val="•"/>
      <w:lvlJc w:val="left"/>
      <w:pPr>
        <w:ind w:left="5231" w:hanging="230"/>
      </w:pPr>
      <w:rPr>
        <w:rFonts w:hint="default"/>
        <w:lang w:val="es-MX" w:eastAsia="es-MX" w:bidi="es-MX"/>
      </w:rPr>
    </w:lvl>
    <w:lvl w:ilvl="7" w:tplc="FCCCC1BC">
      <w:numFmt w:val="bullet"/>
      <w:lvlText w:val="•"/>
      <w:lvlJc w:val="left"/>
      <w:pPr>
        <w:ind w:left="6087" w:hanging="230"/>
      </w:pPr>
      <w:rPr>
        <w:rFonts w:hint="default"/>
        <w:lang w:val="es-MX" w:eastAsia="es-MX" w:bidi="es-MX"/>
      </w:rPr>
    </w:lvl>
    <w:lvl w:ilvl="8" w:tplc="F1026C2C">
      <w:numFmt w:val="bullet"/>
      <w:lvlText w:val="•"/>
      <w:lvlJc w:val="left"/>
      <w:pPr>
        <w:ind w:left="6942" w:hanging="230"/>
      </w:pPr>
      <w:rPr>
        <w:rFonts w:hint="default"/>
        <w:lang w:val="es-MX" w:eastAsia="es-MX" w:bidi="es-MX"/>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B1EAC"/>
    <w:rsid w:val="000D1A00"/>
    <w:rsid w:val="00102BBF"/>
    <w:rsid w:val="00102CAB"/>
    <w:rsid w:val="0017384F"/>
    <w:rsid w:val="001B1EAC"/>
    <w:rsid w:val="001B7E67"/>
    <w:rsid w:val="001E1263"/>
    <w:rsid w:val="002726E9"/>
    <w:rsid w:val="00284190"/>
    <w:rsid w:val="002E5F40"/>
    <w:rsid w:val="002F2FB7"/>
    <w:rsid w:val="0033145D"/>
    <w:rsid w:val="0037749C"/>
    <w:rsid w:val="003C04B6"/>
    <w:rsid w:val="004147E5"/>
    <w:rsid w:val="00415C8D"/>
    <w:rsid w:val="0041624E"/>
    <w:rsid w:val="00442C9A"/>
    <w:rsid w:val="00466155"/>
    <w:rsid w:val="00476864"/>
    <w:rsid w:val="00490358"/>
    <w:rsid w:val="004B49A2"/>
    <w:rsid w:val="004B6D0A"/>
    <w:rsid w:val="004D3A98"/>
    <w:rsid w:val="0050149D"/>
    <w:rsid w:val="00505EAC"/>
    <w:rsid w:val="005276E2"/>
    <w:rsid w:val="0053303E"/>
    <w:rsid w:val="00552EE2"/>
    <w:rsid w:val="00582740"/>
    <w:rsid w:val="005D0718"/>
    <w:rsid w:val="005F0E3E"/>
    <w:rsid w:val="00636DEE"/>
    <w:rsid w:val="00667B4F"/>
    <w:rsid w:val="00681847"/>
    <w:rsid w:val="0068649D"/>
    <w:rsid w:val="006A296C"/>
    <w:rsid w:val="006C19B4"/>
    <w:rsid w:val="00711801"/>
    <w:rsid w:val="00767A43"/>
    <w:rsid w:val="00770691"/>
    <w:rsid w:val="00784DCB"/>
    <w:rsid w:val="00784EBF"/>
    <w:rsid w:val="00795B48"/>
    <w:rsid w:val="007A58FF"/>
    <w:rsid w:val="007B6375"/>
    <w:rsid w:val="007C79B7"/>
    <w:rsid w:val="007D01AE"/>
    <w:rsid w:val="00813590"/>
    <w:rsid w:val="00822AB6"/>
    <w:rsid w:val="00823A33"/>
    <w:rsid w:val="00844799"/>
    <w:rsid w:val="0086159C"/>
    <w:rsid w:val="008972DF"/>
    <w:rsid w:val="008A16F5"/>
    <w:rsid w:val="008A2BEC"/>
    <w:rsid w:val="008B1278"/>
    <w:rsid w:val="008E38C2"/>
    <w:rsid w:val="0094497F"/>
    <w:rsid w:val="00996D42"/>
    <w:rsid w:val="009A0501"/>
    <w:rsid w:val="009A3BEB"/>
    <w:rsid w:val="009A4E18"/>
    <w:rsid w:val="009D7F07"/>
    <w:rsid w:val="009E0462"/>
    <w:rsid w:val="009E75F5"/>
    <w:rsid w:val="00AF74D4"/>
    <w:rsid w:val="00B058B0"/>
    <w:rsid w:val="00B43715"/>
    <w:rsid w:val="00B55D08"/>
    <w:rsid w:val="00C04CBE"/>
    <w:rsid w:val="00C20737"/>
    <w:rsid w:val="00C31D20"/>
    <w:rsid w:val="00C41768"/>
    <w:rsid w:val="00C75206"/>
    <w:rsid w:val="00C96481"/>
    <w:rsid w:val="00CC3C92"/>
    <w:rsid w:val="00D2495C"/>
    <w:rsid w:val="00D64517"/>
    <w:rsid w:val="00D73F71"/>
    <w:rsid w:val="00DC4B65"/>
    <w:rsid w:val="00DD3B7E"/>
    <w:rsid w:val="00E06E31"/>
    <w:rsid w:val="00E84D73"/>
    <w:rsid w:val="00EB1346"/>
    <w:rsid w:val="00EF4E34"/>
    <w:rsid w:val="00F17E87"/>
    <w:rsid w:val="00F671E4"/>
    <w:rsid w:val="00FB26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7899"/>
  <w15:docId w15:val="{AF27E3CB-B152-444F-AE7B-F19645FD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b/>
      <w:bCs/>
      <w: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8"/>
    </w:pPr>
  </w:style>
  <w:style w:type="character" w:styleId="Hipervnculo">
    <w:name w:val="Hyperlink"/>
    <w:basedOn w:val="Fuentedeprrafopredeter"/>
    <w:uiPriority w:val="99"/>
    <w:unhideWhenUsed/>
    <w:rsid w:val="009E75F5"/>
    <w:rPr>
      <w:color w:val="0000FF" w:themeColor="hyperlink"/>
      <w:u w:val="single"/>
    </w:rPr>
  </w:style>
  <w:style w:type="character" w:styleId="Mencinsinresolver">
    <w:name w:val="Unresolved Mention"/>
    <w:basedOn w:val="Fuentedeprrafopredeter"/>
    <w:uiPriority w:val="99"/>
    <w:semiHidden/>
    <w:unhideWhenUsed/>
    <w:rsid w:val="009E75F5"/>
    <w:rPr>
      <w:color w:val="605E5C"/>
      <w:shd w:val="clear" w:color="auto" w:fill="E1DFDD"/>
    </w:rPr>
  </w:style>
  <w:style w:type="character" w:styleId="Hipervnculovisitado">
    <w:name w:val="FollowedHyperlink"/>
    <w:basedOn w:val="Fuentedeprrafopredeter"/>
    <w:uiPriority w:val="99"/>
    <w:semiHidden/>
    <w:unhideWhenUsed/>
    <w:rsid w:val="004B6D0A"/>
    <w:rPr>
      <w:color w:val="800080" w:themeColor="followedHyperlink"/>
      <w:u w:val="single"/>
    </w:rPr>
  </w:style>
  <w:style w:type="paragraph" w:styleId="Encabezado">
    <w:name w:val="header"/>
    <w:basedOn w:val="Normal"/>
    <w:link w:val="EncabezadoCar"/>
    <w:uiPriority w:val="99"/>
    <w:unhideWhenUsed/>
    <w:rsid w:val="00D2495C"/>
    <w:pPr>
      <w:tabs>
        <w:tab w:val="center" w:pos="4419"/>
        <w:tab w:val="right" w:pos="8838"/>
      </w:tabs>
    </w:pPr>
  </w:style>
  <w:style w:type="character" w:customStyle="1" w:styleId="EncabezadoCar">
    <w:name w:val="Encabezado Car"/>
    <w:basedOn w:val="Fuentedeprrafopredeter"/>
    <w:link w:val="Encabezado"/>
    <w:uiPriority w:val="99"/>
    <w:rsid w:val="00D2495C"/>
    <w:rPr>
      <w:rFonts w:ascii="Century Gothic" w:eastAsia="Century Gothic" w:hAnsi="Century Gothic" w:cs="Century Gothic"/>
      <w:lang w:val="es-MX" w:eastAsia="es-MX" w:bidi="es-MX"/>
    </w:rPr>
  </w:style>
  <w:style w:type="paragraph" w:styleId="Piedepgina">
    <w:name w:val="footer"/>
    <w:basedOn w:val="Normal"/>
    <w:link w:val="PiedepginaCar"/>
    <w:uiPriority w:val="99"/>
    <w:unhideWhenUsed/>
    <w:rsid w:val="00D2495C"/>
    <w:pPr>
      <w:tabs>
        <w:tab w:val="center" w:pos="4419"/>
        <w:tab w:val="right" w:pos="8838"/>
      </w:tabs>
    </w:pPr>
  </w:style>
  <w:style w:type="character" w:customStyle="1" w:styleId="PiedepginaCar">
    <w:name w:val="Pie de página Car"/>
    <w:basedOn w:val="Fuentedeprrafopredeter"/>
    <w:link w:val="Piedepgina"/>
    <w:uiPriority w:val="99"/>
    <w:rsid w:val="00D2495C"/>
    <w:rPr>
      <w:rFonts w:ascii="Century Gothic" w:eastAsia="Century Gothic" w:hAnsi="Century Gothic" w:cs="Century Gothic"/>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ngresochiapas.gob.mx/new/Info-Parlamentaria/LEY_0006.pdf?v=Mjg=" TargetMode="External"/><Relationship Id="rId3" Type="http://schemas.openxmlformats.org/officeDocument/2006/relationships/settings" Target="settings.xml"/><Relationship Id="rId7" Type="http://schemas.openxmlformats.org/officeDocument/2006/relationships/hyperlink" Target="https://www.congresochiapas.gob.mx/new/Info-Parlamentaria/LEY_0002.pdf?v=N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epc-chiapas.org.mx/archivos/legislacion/2020/INTERNA/Reglamento%20de%20interno%20del%20IEPC_dic2020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1380</Words>
  <Characters>7592</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Fernanda Rodríguez Álvarez</dc:creator>
  <cp:lastModifiedBy>Luis Enrique González Ortega</cp:lastModifiedBy>
  <cp:revision>145</cp:revision>
  <dcterms:created xsi:type="dcterms:W3CDTF">2021-11-01T19:12:00Z</dcterms:created>
  <dcterms:modified xsi:type="dcterms:W3CDTF">2021-11-09T22:50:00Z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2021-11-01T00:00:00Z</vt:filetime>
  </property>
</Properties>
</file>