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E667"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PARIDAD DE GÉNERO</w:t>
      </w:r>
    </w:p>
    <w:p w14:paraId="257BDED4" w14:textId="77777777" w:rsidR="00671C3F" w:rsidRDefault="00671C3F" w:rsidP="00671C3F">
      <w:pPr>
        <w:spacing w:line="276" w:lineRule="auto"/>
        <w:ind w:left="426"/>
        <w:rPr>
          <w:rFonts w:ascii="Univers" w:hAnsi="Univers"/>
          <w:b/>
          <w:sz w:val="20"/>
          <w:szCs w:val="20"/>
        </w:rPr>
      </w:pPr>
    </w:p>
    <w:p w14:paraId="1C202397" w14:textId="77777777" w:rsidR="00671C3F" w:rsidRPr="00A41623" w:rsidRDefault="00671C3F" w:rsidP="00671C3F">
      <w:pPr>
        <w:spacing w:line="276" w:lineRule="auto"/>
        <w:ind w:left="426"/>
        <w:rPr>
          <w:rFonts w:ascii="Univers" w:hAnsi="Univers"/>
          <w:b/>
          <w:sz w:val="20"/>
          <w:szCs w:val="20"/>
        </w:rPr>
      </w:pPr>
    </w:p>
    <w:p w14:paraId="180210A7"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sz w:val="20"/>
          <w:szCs w:val="20"/>
        </w:rPr>
        <w:t>EMISIÓN DE LINEAMIENTOS PARA SOLICITAR EL REGISTRO DE CANDIDATURAS A CARGOS DE ELECCIÓN POPULAR NO GENERA NUEVA OPORTUNIDAD PARA IMPUGNAR</w:t>
      </w:r>
    </w:p>
    <w:p w14:paraId="2245A45F" w14:textId="77777777" w:rsidR="00671C3F" w:rsidRPr="00A41623" w:rsidRDefault="00671C3F" w:rsidP="00671C3F">
      <w:pPr>
        <w:spacing w:line="276" w:lineRule="auto"/>
        <w:ind w:left="426" w:right="567"/>
        <w:jc w:val="both"/>
        <w:rPr>
          <w:rFonts w:ascii="Univers" w:hAnsi="Univers" w:cs="Arial"/>
          <w:b/>
          <w:sz w:val="20"/>
          <w:szCs w:val="20"/>
        </w:rPr>
      </w:pPr>
    </w:p>
    <w:p w14:paraId="64BF91D9" w14:textId="77777777" w:rsidR="00671C3F" w:rsidRPr="00A41623" w:rsidRDefault="00671C3F" w:rsidP="00671C3F">
      <w:pPr>
        <w:spacing w:line="276" w:lineRule="auto"/>
        <w:ind w:left="426" w:right="567"/>
        <w:jc w:val="both"/>
        <w:rPr>
          <w:rFonts w:ascii="Univers" w:hAnsi="Univers" w:cs="Arial"/>
          <w:sz w:val="20"/>
          <w:szCs w:val="20"/>
        </w:rPr>
      </w:pPr>
      <w:r w:rsidRPr="00A41623">
        <w:rPr>
          <w:rFonts w:ascii="Univers" w:hAnsi="Univers" w:cs="Arial"/>
          <w:b/>
          <w:sz w:val="20"/>
          <w:szCs w:val="20"/>
        </w:rPr>
        <w:t>C</w:t>
      </w:r>
      <w:r>
        <w:rPr>
          <w:rFonts w:ascii="Univers" w:hAnsi="Univers" w:cs="Arial"/>
          <w:b/>
          <w:sz w:val="20"/>
          <w:szCs w:val="20"/>
        </w:rPr>
        <w:t>riterio</w:t>
      </w:r>
      <w:r w:rsidRPr="00A41623">
        <w:rPr>
          <w:rFonts w:ascii="Univers" w:hAnsi="Univers" w:cs="Arial"/>
          <w:b/>
          <w:sz w:val="20"/>
          <w:szCs w:val="20"/>
        </w:rPr>
        <w:t xml:space="preserve">: </w:t>
      </w:r>
      <w:r w:rsidRPr="00A41623">
        <w:rPr>
          <w:rFonts w:ascii="Univers" w:hAnsi="Univers" w:cs="Arial"/>
          <w:sz w:val="20"/>
          <w:szCs w:val="20"/>
        </w:rPr>
        <w:t>Los lineamientos que tienen por objeto establecer con certeza los plazos y formas en que se llevará a cabo el procedimiento para solicitar el registro de candidaturas a cargos de elección popular, no pueden ser utilizado como una nueva oportunidad para impugnar cuestiones relacionadas con el cumplimiento de las reglas de paridad de género en la postulación de candidaturas, cuando los lineamientos atinentes a este último tema (paridad de género) fueron aprobados y publicados en diverso acto anterior, y los lineamientos para la postulación de candidaturas sólo los retoman por estar vinculados con dicho procedimiento.</w:t>
      </w:r>
    </w:p>
    <w:p w14:paraId="244B1AA9" w14:textId="77777777" w:rsidR="00671C3F" w:rsidRPr="00A41623" w:rsidRDefault="00671C3F" w:rsidP="00671C3F">
      <w:pPr>
        <w:spacing w:line="276" w:lineRule="auto"/>
        <w:ind w:left="426" w:right="567"/>
        <w:jc w:val="both"/>
        <w:rPr>
          <w:rFonts w:ascii="Univers" w:hAnsi="Univers" w:cs="Arial"/>
          <w:sz w:val="20"/>
          <w:szCs w:val="20"/>
        </w:rPr>
      </w:pPr>
    </w:p>
    <w:p w14:paraId="704A7D4A" w14:textId="77777777" w:rsidR="00805B6D" w:rsidRDefault="00671C3F" w:rsidP="00671C3F">
      <w:pPr>
        <w:spacing w:line="276" w:lineRule="auto"/>
        <w:ind w:left="426" w:right="616"/>
        <w:jc w:val="both"/>
        <w:rPr>
          <w:rFonts w:ascii="Univers" w:hAnsi="Univers" w:cs="Arial"/>
          <w:sz w:val="20"/>
          <w:szCs w:val="20"/>
        </w:rPr>
      </w:pPr>
      <w:r w:rsidRPr="00A41623">
        <w:rPr>
          <w:rFonts w:ascii="Univers" w:hAnsi="Univers" w:cs="Arial"/>
          <w:sz w:val="20"/>
          <w:szCs w:val="20"/>
        </w:rPr>
        <w:t>El criterio que aquí se sostiene, encuentra sustento en la necesidad de preservar los principios de seguridad jurídica y certeza aplicables a los procesos electorales, porque deben existir plazos ciertos y uniformes para someter a escrutinio jurisdiccional, de manera oportuna, los distintos actos que conforman el proceso electoral.</w:t>
      </w:r>
    </w:p>
    <w:p w14:paraId="74B56D0D" w14:textId="77777777" w:rsidR="00805B6D" w:rsidRDefault="00805B6D" w:rsidP="00671C3F">
      <w:pPr>
        <w:spacing w:line="276" w:lineRule="auto"/>
        <w:ind w:left="426" w:right="616"/>
        <w:jc w:val="both"/>
        <w:rPr>
          <w:rFonts w:ascii="Univers" w:hAnsi="Univers" w:cs="Arial"/>
          <w:sz w:val="20"/>
          <w:szCs w:val="20"/>
        </w:rPr>
      </w:pPr>
    </w:p>
    <w:p w14:paraId="6F257E96" w14:textId="449E6790" w:rsidR="00671C3F" w:rsidRPr="00A41623" w:rsidRDefault="00F77859" w:rsidP="00671C3F">
      <w:pPr>
        <w:spacing w:line="276" w:lineRule="auto"/>
        <w:ind w:left="426" w:right="616"/>
        <w:jc w:val="both"/>
        <w:rPr>
          <w:rFonts w:ascii="Univers" w:hAnsi="Univers" w:cs="Arial"/>
          <w:sz w:val="20"/>
          <w:szCs w:val="20"/>
        </w:rPr>
      </w:pPr>
      <w:r>
        <w:rPr>
          <w:rFonts w:ascii="Univers" w:hAnsi="Univers" w:cs="Arial"/>
          <w:sz w:val="20"/>
          <w:szCs w:val="20"/>
        </w:rPr>
        <w:t xml:space="preserve">Expediente: </w:t>
      </w:r>
      <w:hyperlink r:id="rId4" w:history="1">
        <w:r w:rsidR="00671C3F" w:rsidRPr="00B06172">
          <w:rPr>
            <w:rStyle w:val="Hipervnculo"/>
            <w:rFonts w:ascii="Univers" w:hAnsi="Univers" w:cs="Arial"/>
            <w:sz w:val="20"/>
            <w:szCs w:val="20"/>
          </w:rPr>
          <w:t>SG-JRC-2</w:t>
        </w:r>
        <w:r w:rsidR="00671C3F" w:rsidRPr="00B06172">
          <w:rPr>
            <w:rStyle w:val="Hipervnculo"/>
            <w:rFonts w:ascii="Univers" w:hAnsi="Univers" w:cs="Arial"/>
            <w:sz w:val="20"/>
            <w:szCs w:val="20"/>
          </w:rPr>
          <w:t>4</w:t>
        </w:r>
        <w:r w:rsidR="00671C3F" w:rsidRPr="00B06172">
          <w:rPr>
            <w:rStyle w:val="Hipervnculo"/>
            <w:rFonts w:ascii="Univers" w:hAnsi="Univers" w:cs="Arial"/>
            <w:sz w:val="20"/>
            <w:szCs w:val="20"/>
          </w:rPr>
          <w:t>/2019</w:t>
        </w:r>
      </w:hyperlink>
      <w:r w:rsidR="00671C3F" w:rsidRPr="00A41623">
        <w:rPr>
          <w:rFonts w:ascii="Univers" w:hAnsi="Univers" w:cs="Arial"/>
          <w:sz w:val="20"/>
          <w:szCs w:val="20"/>
        </w:rPr>
        <w:t xml:space="preserve"> y acumulados</w:t>
      </w:r>
    </w:p>
    <w:p w14:paraId="0C762BDE" w14:textId="77777777" w:rsidR="00671C3F" w:rsidRDefault="00671C3F" w:rsidP="00671C3F">
      <w:pPr>
        <w:spacing w:line="276" w:lineRule="auto"/>
        <w:ind w:left="426" w:right="616"/>
        <w:jc w:val="both"/>
        <w:rPr>
          <w:rFonts w:ascii="Univers" w:hAnsi="Univers" w:cs="Arial"/>
          <w:sz w:val="20"/>
          <w:szCs w:val="20"/>
        </w:rPr>
      </w:pPr>
    </w:p>
    <w:p w14:paraId="2C7DA25D" w14:textId="77777777" w:rsidR="00671C3F" w:rsidRDefault="00671C3F" w:rsidP="00671C3F">
      <w:pPr>
        <w:spacing w:line="276" w:lineRule="auto"/>
        <w:ind w:left="426" w:right="616"/>
        <w:jc w:val="both"/>
        <w:rPr>
          <w:rFonts w:ascii="Univers" w:hAnsi="Univers" w:cs="Arial"/>
          <w:sz w:val="20"/>
          <w:szCs w:val="20"/>
        </w:rPr>
      </w:pPr>
    </w:p>
    <w:p w14:paraId="6ACAA4E5" w14:textId="77777777" w:rsidR="00671C3F" w:rsidRDefault="00671C3F" w:rsidP="00671C3F">
      <w:pPr>
        <w:spacing w:line="276" w:lineRule="auto"/>
        <w:ind w:left="426" w:right="616"/>
        <w:jc w:val="both"/>
        <w:rPr>
          <w:rFonts w:ascii="Univers" w:hAnsi="Univers" w:cs="Arial"/>
          <w:sz w:val="20"/>
          <w:szCs w:val="20"/>
        </w:rPr>
      </w:pPr>
    </w:p>
    <w:p w14:paraId="7B24E098" w14:textId="77777777" w:rsidR="00671C3F" w:rsidRPr="00A41623" w:rsidRDefault="00671C3F" w:rsidP="00671C3F">
      <w:pPr>
        <w:spacing w:line="276" w:lineRule="auto"/>
        <w:ind w:left="426" w:right="616"/>
        <w:jc w:val="both"/>
        <w:rPr>
          <w:rFonts w:ascii="Univers" w:hAnsi="Univers" w:cs="Arial"/>
          <w:sz w:val="20"/>
          <w:szCs w:val="20"/>
        </w:rPr>
      </w:pPr>
    </w:p>
    <w:p w14:paraId="50C92DB7"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REGISTRO DE PARTIDOS POLÍTICOS LOCALES</w:t>
      </w:r>
    </w:p>
    <w:p w14:paraId="50EBA11E" w14:textId="77777777" w:rsidR="00671C3F" w:rsidRPr="00A41623" w:rsidRDefault="00671C3F" w:rsidP="00671C3F">
      <w:pPr>
        <w:spacing w:line="276" w:lineRule="auto"/>
        <w:ind w:left="426" w:right="616"/>
        <w:jc w:val="center"/>
        <w:rPr>
          <w:rFonts w:ascii="Univers" w:hAnsi="Univers"/>
          <w:b/>
          <w:sz w:val="20"/>
          <w:szCs w:val="20"/>
        </w:rPr>
      </w:pPr>
    </w:p>
    <w:p w14:paraId="7A90DB5B"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sz w:val="20"/>
          <w:szCs w:val="20"/>
        </w:rPr>
        <w:t>NÚMERO MÍNIMO DE MILITANTES, NO ES NECESARIO ACREDITARLO PARA EL REGISTRO DE UN PARTIDO NACIONAL QUE PERDIÓ REGISTRO Y DESEA OBTENERLO A NIVEL LOCAL</w:t>
      </w:r>
    </w:p>
    <w:p w14:paraId="223C1BA2" w14:textId="77777777" w:rsidR="00671C3F" w:rsidRPr="00A41623" w:rsidRDefault="00671C3F" w:rsidP="00671C3F">
      <w:pPr>
        <w:spacing w:line="276" w:lineRule="auto"/>
        <w:ind w:left="426" w:right="567"/>
        <w:jc w:val="both"/>
        <w:rPr>
          <w:rFonts w:ascii="Univers" w:hAnsi="Univers" w:cs="Arial"/>
          <w:b/>
          <w:sz w:val="20"/>
          <w:szCs w:val="20"/>
        </w:rPr>
      </w:pPr>
    </w:p>
    <w:p w14:paraId="76FCED24" w14:textId="77777777" w:rsidR="00DC4739" w:rsidRDefault="00671C3F" w:rsidP="00671C3F">
      <w:pPr>
        <w:spacing w:line="276" w:lineRule="auto"/>
        <w:ind w:left="426" w:right="616"/>
        <w:jc w:val="both"/>
        <w:rPr>
          <w:rFonts w:ascii="Univers" w:hAnsi="Univers" w:cs="Arial"/>
          <w:bCs/>
          <w:sz w:val="20"/>
          <w:szCs w:val="20"/>
        </w:rPr>
      </w:pPr>
      <w:r w:rsidRPr="00A41623">
        <w:rPr>
          <w:rFonts w:ascii="Univers" w:hAnsi="Univers" w:cs="Arial"/>
          <w:b/>
          <w:sz w:val="20"/>
          <w:szCs w:val="20"/>
        </w:rPr>
        <w:t xml:space="preserve">Criterio: </w:t>
      </w:r>
      <w:r w:rsidRPr="00A41623">
        <w:rPr>
          <w:rFonts w:ascii="Univers" w:hAnsi="Univers" w:cs="Arial"/>
          <w:sz w:val="20"/>
          <w:szCs w:val="20"/>
        </w:rPr>
        <w:t xml:space="preserve">Una interpretación conforme con la Constitución federal del artículo 95, párrafo 5, de la Ley General de Partidos Políticos, lleva a concluir que, para que los partidos políticos que perdieron su registro nacional puedan obtenerlo a nivel local, no es necesario que acredite el requisito del número mínimo de militantes que se requiere para los partidos de nueva creación. Lo anterior, porque dicho entendimiento </w:t>
      </w:r>
      <w:r w:rsidRPr="00A41623">
        <w:rPr>
          <w:rFonts w:ascii="Univers" w:hAnsi="Univers" w:cs="Arial"/>
          <w:bCs/>
          <w:sz w:val="20"/>
          <w:szCs w:val="20"/>
        </w:rPr>
        <w:t>potencia el derecho de asociación y de afiliación, al otorgar una alternativa y/o posibilidad de que un partido político mantenga su registro a nivel local, sin que ello implique que se vulneren los derechos de afiliación de las personas, dado que no se trata del supuesto de un partido político de nueva creación.</w:t>
      </w:r>
    </w:p>
    <w:p w14:paraId="60226F5E" w14:textId="77777777" w:rsidR="00DC4739" w:rsidRDefault="00DC4739" w:rsidP="00671C3F">
      <w:pPr>
        <w:spacing w:line="276" w:lineRule="auto"/>
        <w:ind w:left="426" w:right="616"/>
        <w:jc w:val="both"/>
        <w:rPr>
          <w:rFonts w:ascii="Univers" w:hAnsi="Univers" w:cs="Arial"/>
          <w:bCs/>
          <w:sz w:val="20"/>
          <w:szCs w:val="20"/>
        </w:rPr>
      </w:pPr>
    </w:p>
    <w:p w14:paraId="24175B91" w14:textId="1533A80D" w:rsidR="00671C3F" w:rsidRPr="00A41623" w:rsidRDefault="00DC4739" w:rsidP="00671C3F">
      <w:pPr>
        <w:spacing w:line="276" w:lineRule="auto"/>
        <w:ind w:left="426" w:right="616"/>
        <w:jc w:val="both"/>
        <w:rPr>
          <w:rFonts w:ascii="Univers" w:hAnsi="Univers" w:cs="Arial"/>
          <w:sz w:val="20"/>
          <w:szCs w:val="20"/>
        </w:rPr>
      </w:pPr>
      <w:r>
        <w:rPr>
          <w:rFonts w:ascii="Univers" w:hAnsi="Univers" w:cs="Arial"/>
          <w:bCs/>
          <w:sz w:val="20"/>
          <w:szCs w:val="20"/>
        </w:rPr>
        <w:t xml:space="preserve">Expediente: </w:t>
      </w:r>
      <w:hyperlink r:id="rId5" w:history="1">
        <w:r w:rsidR="00671C3F" w:rsidRPr="007A7E16">
          <w:rPr>
            <w:rStyle w:val="Hipervnculo"/>
            <w:rFonts w:ascii="Univers" w:hAnsi="Univers" w:cs="Arial"/>
            <w:sz w:val="20"/>
            <w:szCs w:val="20"/>
          </w:rPr>
          <w:t>SG-JRC</w:t>
        </w:r>
        <w:r w:rsidR="00671C3F" w:rsidRPr="007A7E16">
          <w:rPr>
            <w:rStyle w:val="Hipervnculo"/>
            <w:rFonts w:ascii="Univers" w:hAnsi="Univers" w:cs="Arial"/>
            <w:sz w:val="20"/>
            <w:szCs w:val="20"/>
          </w:rPr>
          <w:t>-</w:t>
        </w:r>
        <w:r w:rsidR="00671C3F" w:rsidRPr="007A7E16">
          <w:rPr>
            <w:rStyle w:val="Hipervnculo"/>
            <w:rFonts w:ascii="Univers" w:hAnsi="Univers" w:cs="Arial"/>
            <w:sz w:val="20"/>
            <w:szCs w:val="20"/>
          </w:rPr>
          <w:t>8/2019</w:t>
        </w:r>
      </w:hyperlink>
      <w:r w:rsidR="00671C3F" w:rsidRPr="00A41623">
        <w:rPr>
          <w:rFonts w:ascii="Univers" w:hAnsi="Univers" w:cs="Arial"/>
          <w:sz w:val="20"/>
          <w:szCs w:val="20"/>
        </w:rPr>
        <w:t xml:space="preserve"> y </w:t>
      </w:r>
      <w:hyperlink r:id="rId6" w:history="1">
        <w:r w:rsidR="00671C3F" w:rsidRPr="007A7E16">
          <w:rPr>
            <w:rStyle w:val="Hipervnculo"/>
            <w:rFonts w:ascii="Univers" w:hAnsi="Univers" w:cs="Arial"/>
            <w:sz w:val="20"/>
            <w:szCs w:val="20"/>
          </w:rPr>
          <w:t>SG-JR</w:t>
        </w:r>
        <w:r w:rsidR="00671C3F" w:rsidRPr="007A7E16">
          <w:rPr>
            <w:rStyle w:val="Hipervnculo"/>
            <w:rFonts w:ascii="Univers" w:hAnsi="Univers" w:cs="Arial"/>
            <w:sz w:val="20"/>
            <w:szCs w:val="20"/>
          </w:rPr>
          <w:t>C</w:t>
        </w:r>
        <w:r w:rsidR="00671C3F" w:rsidRPr="007A7E16">
          <w:rPr>
            <w:rStyle w:val="Hipervnculo"/>
            <w:rFonts w:ascii="Univers" w:hAnsi="Univers" w:cs="Arial"/>
            <w:sz w:val="20"/>
            <w:szCs w:val="20"/>
          </w:rPr>
          <w:t>-9/2019</w:t>
        </w:r>
      </w:hyperlink>
      <w:r w:rsidR="00671C3F" w:rsidRPr="00A41623">
        <w:rPr>
          <w:rFonts w:ascii="Univers" w:hAnsi="Univers" w:cs="Arial"/>
          <w:sz w:val="20"/>
          <w:szCs w:val="20"/>
        </w:rPr>
        <w:t xml:space="preserve"> acumulado</w:t>
      </w:r>
    </w:p>
    <w:p w14:paraId="2F208B2A" w14:textId="77777777" w:rsidR="00671C3F" w:rsidRPr="00A41623" w:rsidRDefault="00671C3F" w:rsidP="00671C3F">
      <w:pPr>
        <w:spacing w:line="276" w:lineRule="auto"/>
        <w:ind w:left="426" w:right="616"/>
        <w:jc w:val="both"/>
        <w:rPr>
          <w:rFonts w:ascii="Univers" w:hAnsi="Univers" w:cs="Arial"/>
          <w:sz w:val="20"/>
          <w:szCs w:val="20"/>
        </w:rPr>
      </w:pPr>
    </w:p>
    <w:p w14:paraId="0E879AA9"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sz w:val="20"/>
          <w:szCs w:val="20"/>
        </w:rPr>
        <w:t>LA VOTACIÓN OBTENIDA EN LA ELECCIÓN DE REGIDURÍAS NO ES PARÁMETRO PARA CONSIDERAR QUE SE HAYA OBTENIDO AL MENOS EL 3% DE VOTACIÓN EN ALGUNA DE LAS ELECCIONES LOCALES.</w:t>
      </w:r>
    </w:p>
    <w:p w14:paraId="0344F50E" w14:textId="77777777" w:rsidR="00671C3F" w:rsidRPr="00A41623" w:rsidRDefault="00671C3F" w:rsidP="00671C3F">
      <w:pPr>
        <w:spacing w:line="276" w:lineRule="auto"/>
        <w:ind w:left="426" w:right="567"/>
        <w:jc w:val="both"/>
        <w:rPr>
          <w:rFonts w:ascii="Univers" w:hAnsi="Univers" w:cs="Arial"/>
          <w:sz w:val="20"/>
          <w:szCs w:val="20"/>
        </w:rPr>
      </w:pPr>
    </w:p>
    <w:p w14:paraId="0779BB48" w14:textId="77777777" w:rsidR="00671C3F" w:rsidRPr="00A41623" w:rsidRDefault="00671C3F" w:rsidP="00671C3F">
      <w:pPr>
        <w:spacing w:line="276" w:lineRule="auto"/>
        <w:ind w:left="426" w:right="567"/>
        <w:jc w:val="both"/>
        <w:rPr>
          <w:rFonts w:ascii="Univers" w:hAnsi="Univers" w:cs="Arial"/>
          <w:sz w:val="20"/>
          <w:szCs w:val="20"/>
        </w:rPr>
      </w:pPr>
      <w:r w:rsidRPr="00A41623">
        <w:rPr>
          <w:rFonts w:ascii="Univers" w:hAnsi="Univers" w:cs="Arial"/>
          <w:b/>
          <w:sz w:val="20"/>
          <w:szCs w:val="20"/>
        </w:rPr>
        <w:t xml:space="preserve">Criterio: </w:t>
      </w:r>
      <w:r w:rsidRPr="00A41623">
        <w:rPr>
          <w:rFonts w:ascii="Univers" w:hAnsi="Univers" w:cs="Arial"/>
          <w:sz w:val="20"/>
          <w:szCs w:val="20"/>
        </w:rPr>
        <w:t xml:space="preserve">En la sentencia emitida en el SG-JRC-37/2019, el Pleno de la Sala Regional determinó revocar la sentencia del Tribunal Estatal Electoral de Chihuahua, que a su vez confirmó el acuerdo del Instituto Electoral de aquella entidad, que declaró la procedencia del registro del partido político local “Encuentro Social Chihuahua”, en ejercicio del derecho establecido en el artículo 95, numeral 5 de la ley general de partidos políticos. </w:t>
      </w:r>
    </w:p>
    <w:p w14:paraId="64127E8A" w14:textId="77777777" w:rsidR="00671C3F" w:rsidRPr="00A41623" w:rsidRDefault="00671C3F" w:rsidP="00671C3F">
      <w:pPr>
        <w:shd w:val="clear" w:color="auto" w:fill="FFFFFF"/>
        <w:spacing w:line="276" w:lineRule="auto"/>
        <w:ind w:left="426" w:right="567"/>
        <w:jc w:val="both"/>
        <w:rPr>
          <w:rFonts w:ascii="Univers" w:hAnsi="Univers" w:cs="Arial"/>
          <w:sz w:val="20"/>
          <w:szCs w:val="20"/>
        </w:rPr>
      </w:pPr>
    </w:p>
    <w:p w14:paraId="348D6C9C" w14:textId="77777777" w:rsidR="00671C3F" w:rsidRPr="00A41623" w:rsidRDefault="00671C3F" w:rsidP="00671C3F">
      <w:pPr>
        <w:pStyle w:val="NormalWeb"/>
        <w:shd w:val="clear" w:color="auto" w:fill="FFFFFF"/>
        <w:spacing w:line="276" w:lineRule="auto"/>
        <w:ind w:left="426" w:right="567"/>
        <w:jc w:val="both"/>
        <w:rPr>
          <w:rFonts w:ascii="Univers" w:eastAsia="Calibri" w:hAnsi="Univers" w:cs="Arial"/>
          <w:sz w:val="20"/>
          <w:szCs w:val="20"/>
          <w:lang w:eastAsia="en-US"/>
        </w:rPr>
      </w:pPr>
      <w:r w:rsidRPr="00A41623">
        <w:rPr>
          <w:rFonts w:ascii="Univers" w:eastAsia="Calibri" w:hAnsi="Univers" w:cs="Arial"/>
          <w:sz w:val="20"/>
          <w:szCs w:val="20"/>
          <w:lang w:eastAsia="en-US"/>
        </w:rPr>
        <w:t xml:space="preserve">Lo anterior, toda vez que esta Sala Regional señaló que la votación obtenida por dicho ente político en la elección de regidurías en el proceso inmediato </w:t>
      </w:r>
      <w:proofErr w:type="gramStart"/>
      <w:r w:rsidRPr="00A41623">
        <w:rPr>
          <w:rFonts w:ascii="Univers" w:eastAsia="Calibri" w:hAnsi="Univers" w:cs="Arial"/>
          <w:sz w:val="20"/>
          <w:szCs w:val="20"/>
          <w:lang w:eastAsia="en-US"/>
        </w:rPr>
        <w:t>anterior,</w:t>
      </w:r>
      <w:proofErr w:type="gramEnd"/>
      <w:r w:rsidRPr="00A41623">
        <w:rPr>
          <w:rFonts w:ascii="Univers" w:eastAsia="Calibri" w:hAnsi="Univers" w:cs="Arial"/>
          <w:sz w:val="20"/>
          <w:szCs w:val="20"/>
          <w:lang w:eastAsia="en-US"/>
        </w:rPr>
        <w:t xml:space="preserve"> no es parámetro para considerar que el partido solicitante, haya obtenido al menos el 3% de votación en alguna de las elecciones locales.  </w:t>
      </w:r>
    </w:p>
    <w:p w14:paraId="308C6A39" w14:textId="77777777" w:rsidR="00671C3F" w:rsidRPr="00A41623" w:rsidRDefault="00671C3F" w:rsidP="00671C3F">
      <w:pPr>
        <w:pStyle w:val="NormalWeb"/>
        <w:shd w:val="clear" w:color="auto" w:fill="FFFFFF"/>
        <w:spacing w:line="276" w:lineRule="auto"/>
        <w:ind w:left="426" w:right="567"/>
        <w:jc w:val="both"/>
        <w:rPr>
          <w:rFonts w:ascii="Univers" w:eastAsia="Calibri" w:hAnsi="Univers" w:cs="Arial"/>
          <w:sz w:val="20"/>
          <w:szCs w:val="20"/>
          <w:lang w:eastAsia="en-US"/>
        </w:rPr>
      </w:pPr>
    </w:p>
    <w:p w14:paraId="15D3E679" w14:textId="77777777" w:rsidR="00DC4739" w:rsidRDefault="00671C3F" w:rsidP="00671C3F">
      <w:pPr>
        <w:spacing w:line="276" w:lineRule="auto"/>
        <w:ind w:left="426" w:right="616"/>
        <w:jc w:val="both"/>
        <w:rPr>
          <w:rFonts w:ascii="Univers" w:hAnsi="Univers" w:cs="Arial"/>
          <w:sz w:val="20"/>
          <w:szCs w:val="20"/>
        </w:rPr>
      </w:pPr>
      <w:r w:rsidRPr="00A41623">
        <w:rPr>
          <w:rFonts w:ascii="Univers" w:hAnsi="Univers" w:cs="Arial"/>
          <w:sz w:val="20"/>
          <w:szCs w:val="20"/>
        </w:rPr>
        <w:t>En consecuencia, quedó sin efectos el registro del Partido Encuentro Social Chihuahua</w:t>
      </w:r>
      <w:r w:rsidR="00DC4739">
        <w:rPr>
          <w:rFonts w:ascii="Univers" w:hAnsi="Univers" w:cs="Arial"/>
          <w:sz w:val="20"/>
          <w:szCs w:val="20"/>
        </w:rPr>
        <w:t>.</w:t>
      </w:r>
    </w:p>
    <w:p w14:paraId="7D3D7AA8" w14:textId="77777777" w:rsidR="00DC4739" w:rsidRDefault="00DC4739" w:rsidP="00671C3F">
      <w:pPr>
        <w:spacing w:line="276" w:lineRule="auto"/>
        <w:ind w:left="426" w:right="616"/>
        <w:jc w:val="both"/>
        <w:rPr>
          <w:rFonts w:ascii="Univers" w:hAnsi="Univers" w:cs="Arial"/>
          <w:sz w:val="20"/>
          <w:szCs w:val="20"/>
        </w:rPr>
      </w:pPr>
    </w:p>
    <w:p w14:paraId="3A9782E8" w14:textId="57C66A07" w:rsidR="00671C3F" w:rsidRPr="00A41623" w:rsidRDefault="00DC4739" w:rsidP="00671C3F">
      <w:pPr>
        <w:spacing w:line="276" w:lineRule="auto"/>
        <w:ind w:left="426" w:right="616"/>
        <w:jc w:val="both"/>
        <w:rPr>
          <w:rFonts w:ascii="Univers" w:hAnsi="Univers" w:cs="Arial"/>
          <w:sz w:val="20"/>
          <w:szCs w:val="20"/>
        </w:rPr>
      </w:pPr>
      <w:r>
        <w:rPr>
          <w:rFonts w:ascii="Univers" w:hAnsi="Univers" w:cs="Arial"/>
          <w:sz w:val="20"/>
          <w:szCs w:val="20"/>
        </w:rPr>
        <w:t xml:space="preserve">Expediente: </w:t>
      </w:r>
      <w:hyperlink r:id="rId7" w:history="1">
        <w:r w:rsidR="00671C3F" w:rsidRPr="00027A48">
          <w:rPr>
            <w:rStyle w:val="Hipervnculo"/>
            <w:rFonts w:ascii="Univers" w:hAnsi="Univers" w:cs="Arial"/>
            <w:sz w:val="20"/>
            <w:szCs w:val="20"/>
          </w:rPr>
          <w:t>SG-J</w:t>
        </w:r>
        <w:r w:rsidR="00671C3F" w:rsidRPr="00027A48">
          <w:rPr>
            <w:rStyle w:val="Hipervnculo"/>
            <w:rFonts w:ascii="Univers" w:hAnsi="Univers" w:cs="Arial"/>
            <w:sz w:val="20"/>
            <w:szCs w:val="20"/>
          </w:rPr>
          <w:t>E</w:t>
        </w:r>
        <w:r w:rsidR="00671C3F" w:rsidRPr="00027A48">
          <w:rPr>
            <w:rStyle w:val="Hipervnculo"/>
            <w:rFonts w:ascii="Univers" w:hAnsi="Univers" w:cs="Arial"/>
            <w:sz w:val="20"/>
            <w:szCs w:val="20"/>
          </w:rPr>
          <w:t>-37/2019</w:t>
        </w:r>
      </w:hyperlink>
    </w:p>
    <w:p w14:paraId="6185CC21" w14:textId="77777777" w:rsidR="00671C3F" w:rsidRPr="00A41623" w:rsidRDefault="00671C3F" w:rsidP="00671C3F">
      <w:pPr>
        <w:spacing w:line="276" w:lineRule="auto"/>
        <w:ind w:left="426" w:right="616"/>
        <w:jc w:val="both"/>
        <w:rPr>
          <w:rFonts w:ascii="Univers" w:hAnsi="Univers" w:cs="Arial"/>
          <w:sz w:val="20"/>
          <w:szCs w:val="20"/>
        </w:rPr>
      </w:pPr>
    </w:p>
    <w:p w14:paraId="64F503A0"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sz w:val="20"/>
          <w:szCs w:val="20"/>
        </w:rPr>
        <w:t>REQUISITOS PARA REGISTRO DE PARTIDO POLÍTICO NACIONAL COMO PARTIDO LOCAL</w:t>
      </w:r>
    </w:p>
    <w:p w14:paraId="2698F1B6" w14:textId="77777777" w:rsidR="00671C3F" w:rsidRPr="00A41623" w:rsidRDefault="00671C3F" w:rsidP="00671C3F">
      <w:pPr>
        <w:spacing w:line="276" w:lineRule="auto"/>
        <w:ind w:left="426" w:right="567"/>
        <w:jc w:val="both"/>
        <w:rPr>
          <w:rFonts w:ascii="Univers" w:hAnsi="Univers" w:cs="Arial"/>
          <w:sz w:val="20"/>
          <w:szCs w:val="20"/>
        </w:rPr>
      </w:pPr>
    </w:p>
    <w:p w14:paraId="547D8BC3" w14:textId="77777777" w:rsidR="00DC4739" w:rsidRDefault="00671C3F" w:rsidP="00671C3F">
      <w:pPr>
        <w:spacing w:line="276" w:lineRule="auto"/>
        <w:ind w:left="426" w:right="616"/>
        <w:jc w:val="both"/>
        <w:rPr>
          <w:rFonts w:ascii="Univers" w:hAnsi="Univers" w:cs="Arial"/>
          <w:sz w:val="20"/>
          <w:szCs w:val="20"/>
        </w:rPr>
      </w:pPr>
      <w:r w:rsidRPr="00A41623">
        <w:rPr>
          <w:rFonts w:ascii="Univers" w:hAnsi="Univers" w:cs="Arial"/>
          <w:b/>
          <w:sz w:val="20"/>
          <w:szCs w:val="20"/>
        </w:rPr>
        <w:t xml:space="preserve">Criterio: </w:t>
      </w:r>
      <w:r w:rsidRPr="00A41623">
        <w:rPr>
          <w:rFonts w:ascii="Univers" w:hAnsi="Univers" w:cs="Arial"/>
          <w:sz w:val="20"/>
          <w:szCs w:val="20"/>
        </w:rPr>
        <w:t>La Sala Guadalajara confirmó la resolución del Tribunal de Justicia Electoral del Estado de Baja California, relacionada con el ejercicio del derecho que tiene los otrora partidos políticos nacionales para optar por el registro como partido político local, establecido en el artículo 95, párrafo 5 de la Ley General de Partidos Políticos”, de presentar las cédulas de afiliación.</w:t>
      </w:r>
    </w:p>
    <w:p w14:paraId="6F679DF7" w14:textId="77777777" w:rsidR="00DC4739" w:rsidRDefault="00DC4739" w:rsidP="00671C3F">
      <w:pPr>
        <w:spacing w:line="276" w:lineRule="auto"/>
        <w:ind w:left="426" w:right="616"/>
        <w:jc w:val="both"/>
        <w:rPr>
          <w:rFonts w:ascii="Univers" w:hAnsi="Univers" w:cs="Arial"/>
          <w:sz w:val="20"/>
          <w:szCs w:val="20"/>
        </w:rPr>
      </w:pPr>
    </w:p>
    <w:p w14:paraId="7523FCAC" w14:textId="4BF9EE28" w:rsidR="00671C3F" w:rsidRPr="00A41623" w:rsidRDefault="00DC4739" w:rsidP="00671C3F">
      <w:pPr>
        <w:spacing w:line="276" w:lineRule="auto"/>
        <w:ind w:left="426" w:right="616"/>
        <w:jc w:val="both"/>
        <w:rPr>
          <w:rFonts w:ascii="Univers" w:hAnsi="Univers"/>
          <w:sz w:val="20"/>
          <w:szCs w:val="20"/>
        </w:rPr>
      </w:pPr>
      <w:r>
        <w:rPr>
          <w:rFonts w:ascii="Univers" w:hAnsi="Univers" w:cs="Arial"/>
          <w:sz w:val="20"/>
          <w:szCs w:val="20"/>
        </w:rPr>
        <w:t xml:space="preserve">Expediente: </w:t>
      </w:r>
      <w:hyperlink r:id="rId8" w:history="1">
        <w:r w:rsidR="00671C3F" w:rsidRPr="00F7497A">
          <w:rPr>
            <w:rStyle w:val="Hipervnculo"/>
            <w:rFonts w:ascii="Univers" w:hAnsi="Univers" w:cs="Arial"/>
            <w:sz w:val="20"/>
            <w:szCs w:val="20"/>
          </w:rPr>
          <w:t>SG-JRC</w:t>
        </w:r>
        <w:r w:rsidR="00671C3F" w:rsidRPr="00F7497A">
          <w:rPr>
            <w:rStyle w:val="Hipervnculo"/>
            <w:rFonts w:ascii="Univers" w:hAnsi="Univers" w:cs="Arial"/>
            <w:sz w:val="20"/>
            <w:szCs w:val="20"/>
          </w:rPr>
          <w:t>-</w:t>
        </w:r>
        <w:r w:rsidR="00671C3F" w:rsidRPr="00F7497A">
          <w:rPr>
            <w:rStyle w:val="Hipervnculo"/>
            <w:rFonts w:ascii="Univers" w:hAnsi="Univers" w:cs="Arial"/>
            <w:sz w:val="20"/>
            <w:szCs w:val="20"/>
          </w:rPr>
          <w:t>52/2019</w:t>
        </w:r>
      </w:hyperlink>
    </w:p>
    <w:p w14:paraId="00A13AB7" w14:textId="77777777" w:rsidR="00671C3F" w:rsidRDefault="00671C3F" w:rsidP="00671C3F">
      <w:pPr>
        <w:spacing w:line="276" w:lineRule="auto"/>
        <w:ind w:left="426" w:right="616"/>
        <w:jc w:val="both"/>
        <w:rPr>
          <w:rFonts w:ascii="Univers" w:hAnsi="Univers"/>
          <w:sz w:val="20"/>
          <w:szCs w:val="20"/>
        </w:rPr>
      </w:pPr>
    </w:p>
    <w:p w14:paraId="44562512" w14:textId="77777777" w:rsidR="00671C3F" w:rsidRPr="00A41623" w:rsidRDefault="00671C3F" w:rsidP="00671C3F">
      <w:pPr>
        <w:spacing w:line="276" w:lineRule="auto"/>
        <w:ind w:left="426" w:right="616"/>
        <w:jc w:val="both"/>
        <w:rPr>
          <w:rFonts w:ascii="Univers" w:hAnsi="Univers"/>
          <w:sz w:val="20"/>
          <w:szCs w:val="20"/>
        </w:rPr>
      </w:pPr>
    </w:p>
    <w:p w14:paraId="37D8EBEC"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 xml:space="preserve">VIOLENCIA POLÍTICA </w:t>
      </w:r>
      <w:proofErr w:type="gramStart"/>
      <w:r w:rsidRPr="00A41623">
        <w:rPr>
          <w:rFonts w:ascii="Univers" w:hAnsi="Univers"/>
          <w:b/>
          <w:sz w:val="22"/>
          <w:szCs w:val="22"/>
          <w:u w:val="single"/>
        </w:rPr>
        <w:t>EN RAZÓN DE</w:t>
      </w:r>
      <w:proofErr w:type="gramEnd"/>
      <w:r w:rsidRPr="00A41623">
        <w:rPr>
          <w:rFonts w:ascii="Univers" w:hAnsi="Univers"/>
          <w:b/>
          <w:sz w:val="22"/>
          <w:szCs w:val="22"/>
          <w:u w:val="single"/>
        </w:rPr>
        <w:t xml:space="preserve"> GÉNERO</w:t>
      </w:r>
    </w:p>
    <w:p w14:paraId="17DF8D83" w14:textId="77777777" w:rsidR="00671C3F" w:rsidRPr="00A41623" w:rsidRDefault="00671C3F" w:rsidP="00671C3F">
      <w:pPr>
        <w:spacing w:line="276" w:lineRule="auto"/>
        <w:ind w:left="426" w:right="616"/>
        <w:jc w:val="both"/>
        <w:rPr>
          <w:rFonts w:ascii="Univers" w:hAnsi="Univers"/>
          <w:sz w:val="20"/>
          <w:szCs w:val="20"/>
        </w:rPr>
      </w:pPr>
    </w:p>
    <w:p w14:paraId="764486B8"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sz w:val="20"/>
          <w:szCs w:val="20"/>
        </w:rPr>
        <w:t xml:space="preserve">VIOLENCIA POLÍTICA </w:t>
      </w:r>
      <w:proofErr w:type="gramStart"/>
      <w:r w:rsidRPr="00A41623">
        <w:rPr>
          <w:rFonts w:ascii="Univers" w:hAnsi="Univers" w:cs="Arial"/>
          <w:b/>
          <w:sz w:val="20"/>
          <w:szCs w:val="20"/>
        </w:rPr>
        <w:t>EN RAZÓN DE</w:t>
      </w:r>
      <w:proofErr w:type="gramEnd"/>
      <w:r w:rsidRPr="00A41623">
        <w:rPr>
          <w:rFonts w:ascii="Univers" w:hAnsi="Univers" w:cs="Arial"/>
          <w:b/>
          <w:sz w:val="20"/>
          <w:szCs w:val="20"/>
        </w:rPr>
        <w:t xml:space="preserve"> GÉNERO, LO CONSTITUYEN LAS AMENAZAS, COACCIÓN E INTIMIDACIÓN A LA ACTORA Y SU FAMILIA</w:t>
      </w:r>
    </w:p>
    <w:p w14:paraId="3DF14086" w14:textId="77777777" w:rsidR="00671C3F" w:rsidRPr="00A41623" w:rsidRDefault="00671C3F" w:rsidP="00671C3F">
      <w:pPr>
        <w:spacing w:line="276" w:lineRule="auto"/>
        <w:ind w:left="426" w:right="567"/>
        <w:jc w:val="both"/>
        <w:rPr>
          <w:rFonts w:ascii="Univers" w:hAnsi="Univers" w:cs="Arial"/>
          <w:b/>
          <w:sz w:val="20"/>
          <w:szCs w:val="20"/>
        </w:rPr>
      </w:pPr>
    </w:p>
    <w:p w14:paraId="6B451BEF" w14:textId="77777777" w:rsidR="00671C3F" w:rsidRPr="00A41623" w:rsidRDefault="00671C3F" w:rsidP="00671C3F">
      <w:pPr>
        <w:spacing w:line="276" w:lineRule="auto"/>
        <w:ind w:left="426" w:right="567"/>
        <w:jc w:val="both"/>
        <w:rPr>
          <w:rFonts w:ascii="Univers" w:hAnsi="Univers" w:cs="Arial"/>
          <w:sz w:val="20"/>
          <w:szCs w:val="20"/>
          <w:lang w:eastAsia="es-MX"/>
        </w:rPr>
      </w:pPr>
      <w:r w:rsidRPr="00A41623">
        <w:rPr>
          <w:rFonts w:ascii="Univers" w:hAnsi="Univers" w:cs="Arial"/>
          <w:b/>
          <w:sz w:val="20"/>
          <w:szCs w:val="20"/>
        </w:rPr>
        <w:t xml:space="preserve">Criterio: </w:t>
      </w:r>
      <w:r w:rsidRPr="00A41623">
        <w:rPr>
          <w:rFonts w:ascii="Univers" w:hAnsi="Univers" w:cs="Arial"/>
          <w:sz w:val="20"/>
          <w:szCs w:val="20"/>
          <w:lang w:eastAsia="es-MX"/>
        </w:rPr>
        <w:t xml:space="preserve">Las amenazas, coacción e intimidación a la actora y a su familia, por parte de un grupo de personas para que renunciara a la regiduría y abandonara el municipio donde ejercía su cargo, constituyen violencia política contra la actora </w:t>
      </w:r>
      <w:proofErr w:type="gramStart"/>
      <w:r w:rsidRPr="00A41623">
        <w:rPr>
          <w:rFonts w:ascii="Univers" w:hAnsi="Univers" w:cs="Arial"/>
          <w:sz w:val="20"/>
          <w:szCs w:val="20"/>
          <w:lang w:eastAsia="es-MX"/>
        </w:rPr>
        <w:t>en razón de</w:t>
      </w:r>
      <w:proofErr w:type="gramEnd"/>
      <w:r w:rsidRPr="00A41623">
        <w:rPr>
          <w:rFonts w:ascii="Univers" w:hAnsi="Univers" w:cs="Arial"/>
          <w:sz w:val="20"/>
          <w:szCs w:val="20"/>
          <w:lang w:eastAsia="es-MX"/>
        </w:rPr>
        <w:t xml:space="preserve"> género. </w:t>
      </w:r>
    </w:p>
    <w:p w14:paraId="554D960F" w14:textId="77777777" w:rsidR="00671C3F" w:rsidRPr="00A41623" w:rsidRDefault="00671C3F" w:rsidP="00671C3F">
      <w:pPr>
        <w:spacing w:line="276" w:lineRule="auto"/>
        <w:ind w:left="426" w:right="567"/>
        <w:jc w:val="both"/>
        <w:rPr>
          <w:rFonts w:ascii="Univers" w:hAnsi="Univers" w:cs="Arial"/>
          <w:sz w:val="20"/>
          <w:szCs w:val="20"/>
          <w:lang w:eastAsia="es-MX"/>
        </w:rPr>
      </w:pPr>
    </w:p>
    <w:p w14:paraId="1C82AF91" w14:textId="77777777" w:rsidR="00671C3F" w:rsidRPr="00A41623" w:rsidRDefault="00671C3F" w:rsidP="00671C3F">
      <w:pPr>
        <w:spacing w:line="276" w:lineRule="auto"/>
        <w:ind w:left="426" w:right="567"/>
        <w:jc w:val="both"/>
        <w:rPr>
          <w:rFonts w:ascii="Univers" w:hAnsi="Univers" w:cs="Arial"/>
          <w:sz w:val="20"/>
          <w:szCs w:val="20"/>
          <w:lang w:eastAsia="es-MX"/>
        </w:rPr>
      </w:pPr>
      <w:r w:rsidRPr="00A41623">
        <w:rPr>
          <w:rFonts w:ascii="Univers" w:hAnsi="Univers" w:cs="Arial"/>
          <w:sz w:val="20"/>
          <w:szCs w:val="20"/>
          <w:lang w:eastAsia="es-MX"/>
        </w:rPr>
        <w:lastRenderedPageBreak/>
        <w:t xml:space="preserve">Al respecto, se consideró que se cumplían los elementos previstos en el Protocolo para la Atención de la Violencia Política Contra las Mujeres en Razón de Género, conforme al cual, la violencia ejercida contra las mujeres que desempeñan un cargo público, tiene un impacto diferenciado y desproporcionado respecto de los hombres, debido a que aquellas representan un porcentaje menor en el desempeño de los cargos públicos, y los actos de violencia contra mujeres que ejercen un cargo público, genera afectaciones en su proyecto de vida, que les impide alcanzar la igualdad sustantiva en dicho ejercicio. </w:t>
      </w:r>
    </w:p>
    <w:p w14:paraId="5C9619A7" w14:textId="77777777" w:rsidR="00671C3F" w:rsidRPr="00A41623" w:rsidRDefault="00671C3F" w:rsidP="00671C3F">
      <w:pPr>
        <w:spacing w:line="276" w:lineRule="auto"/>
        <w:ind w:left="426" w:right="567"/>
        <w:jc w:val="both"/>
        <w:rPr>
          <w:rFonts w:ascii="Univers" w:hAnsi="Univers" w:cs="Arial"/>
          <w:sz w:val="20"/>
          <w:szCs w:val="20"/>
          <w:lang w:eastAsia="es-MX"/>
        </w:rPr>
      </w:pPr>
    </w:p>
    <w:p w14:paraId="0562FC8E" w14:textId="77777777" w:rsidR="00DC4739" w:rsidRDefault="00671C3F" w:rsidP="00671C3F">
      <w:pPr>
        <w:spacing w:line="276" w:lineRule="auto"/>
        <w:ind w:left="426" w:right="616"/>
        <w:jc w:val="both"/>
        <w:rPr>
          <w:rFonts w:ascii="Univers" w:hAnsi="Univers" w:cs="Arial"/>
          <w:sz w:val="20"/>
          <w:szCs w:val="20"/>
          <w:lang w:eastAsia="es-MX"/>
        </w:rPr>
      </w:pPr>
      <w:r w:rsidRPr="00A41623">
        <w:rPr>
          <w:rFonts w:ascii="Univers" w:hAnsi="Univers" w:cs="Arial"/>
          <w:sz w:val="20"/>
          <w:szCs w:val="20"/>
          <w:lang w:eastAsia="es-MX"/>
        </w:rPr>
        <w:t xml:space="preserve">En el anterior sentido, en el caso concreto, las amenazas tenían por objeto anular el ejercicio de los derechos político-electorales de la actora, en concreto, el de ocupar materialmente y ejercer el cargo de regidora en el municipio de Cihuatlán, Jalisco. </w:t>
      </w:r>
    </w:p>
    <w:p w14:paraId="417F81BE" w14:textId="77777777" w:rsidR="00DC4739" w:rsidRDefault="00DC4739" w:rsidP="00671C3F">
      <w:pPr>
        <w:spacing w:line="276" w:lineRule="auto"/>
        <w:ind w:left="426" w:right="616"/>
        <w:jc w:val="both"/>
        <w:rPr>
          <w:rFonts w:ascii="Univers" w:hAnsi="Univers" w:cs="Arial"/>
          <w:sz w:val="20"/>
          <w:szCs w:val="20"/>
          <w:lang w:eastAsia="es-MX"/>
        </w:rPr>
      </w:pPr>
    </w:p>
    <w:p w14:paraId="53A12BAA" w14:textId="4A75EA25" w:rsidR="00671C3F" w:rsidRPr="00A41623" w:rsidRDefault="00DC4739" w:rsidP="00671C3F">
      <w:pPr>
        <w:spacing w:line="276" w:lineRule="auto"/>
        <w:ind w:left="426" w:right="616"/>
        <w:jc w:val="both"/>
        <w:rPr>
          <w:rFonts w:ascii="Univers" w:hAnsi="Univers" w:cs="Arial"/>
          <w:sz w:val="20"/>
          <w:szCs w:val="20"/>
        </w:rPr>
      </w:pPr>
      <w:r>
        <w:rPr>
          <w:rFonts w:ascii="Univers" w:hAnsi="Univers" w:cs="Arial"/>
          <w:sz w:val="20"/>
          <w:szCs w:val="20"/>
        </w:rPr>
        <w:t>Expediente:</w:t>
      </w:r>
      <w:r w:rsidRPr="00A41623">
        <w:rPr>
          <w:rFonts w:ascii="Univers" w:hAnsi="Univers" w:cs="Arial"/>
          <w:sz w:val="20"/>
          <w:szCs w:val="20"/>
          <w:lang w:eastAsia="es-MX"/>
        </w:rPr>
        <w:t xml:space="preserve"> </w:t>
      </w:r>
      <w:hyperlink r:id="rId9" w:history="1">
        <w:r w:rsidR="00671C3F" w:rsidRPr="00391835">
          <w:rPr>
            <w:rStyle w:val="Hipervnculo"/>
            <w:rFonts w:ascii="Univers" w:hAnsi="Univers" w:cs="Arial"/>
            <w:sz w:val="20"/>
            <w:szCs w:val="20"/>
          </w:rPr>
          <w:t>SG-JDC-1</w:t>
        </w:r>
        <w:r w:rsidR="00671C3F" w:rsidRPr="00391835">
          <w:rPr>
            <w:rStyle w:val="Hipervnculo"/>
            <w:rFonts w:ascii="Univers" w:hAnsi="Univers" w:cs="Arial"/>
            <w:sz w:val="20"/>
            <w:szCs w:val="20"/>
          </w:rPr>
          <w:t>4</w:t>
        </w:r>
        <w:r w:rsidR="00671C3F" w:rsidRPr="00391835">
          <w:rPr>
            <w:rStyle w:val="Hipervnculo"/>
            <w:rFonts w:ascii="Univers" w:hAnsi="Univers" w:cs="Arial"/>
            <w:sz w:val="20"/>
            <w:szCs w:val="20"/>
          </w:rPr>
          <w:t>0/2019</w:t>
        </w:r>
      </w:hyperlink>
    </w:p>
    <w:p w14:paraId="69150A32" w14:textId="77777777" w:rsidR="00671C3F" w:rsidRDefault="00671C3F" w:rsidP="00671C3F">
      <w:pPr>
        <w:spacing w:line="276" w:lineRule="auto"/>
        <w:ind w:left="426" w:right="616"/>
        <w:jc w:val="both"/>
        <w:rPr>
          <w:rFonts w:ascii="Univers" w:hAnsi="Univers" w:cs="Arial"/>
          <w:sz w:val="20"/>
          <w:szCs w:val="20"/>
        </w:rPr>
      </w:pPr>
    </w:p>
    <w:p w14:paraId="67352084" w14:textId="77777777" w:rsidR="00671C3F" w:rsidRPr="00A41623" w:rsidRDefault="00671C3F" w:rsidP="00671C3F">
      <w:pPr>
        <w:spacing w:line="276" w:lineRule="auto"/>
        <w:ind w:left="426" w:right="616"/>
        <w:jc w:val="both"/>
        <w:rPr>
          <w:rFonts w:ascii="Univers" w:hAnsi="Univers" w:cs="Arial"/>
          <w:sz w:val="20"/>
          <w:szCs w:val="20"/>
        </w:rPr>
      </w:pPr>
    </w:p>
    <w:p w14:paraId="7C2D478F"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CREDENCIAL DE ELECTOR</w:t>
      </w:r>
    </w:p>
    <w:p w14:paraId="701F3075" w14:textId="77777777" w:rsidR="00671C3F" w:rsidRPr="00A41623" w:rsidRDefault="00671C3F" w:rsidP="00671C3F">
      <w:pPr>
        <w:spacing w:line="276" w:lineRule="auto"/>
        <w:ind w:left="426" w:right="616"/>
        <w:jc w:val="both"/>
        <w:rPr>
          <w:rFonts w:ascii="Univers" w:hAnsi="Univers"/>
          <w:sz w:val="20"/>
          <w:szCs w:val="20"/>
        </w:rPr>
      </w:pPr>
    </w:p>
    <w:p w14:paraId="7792EDEA"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sz w:val="20"/>
          <w:szCs w:val="20"/>
        </w:rPr>
        <w:t>LA EXPRESIÓN DE LA VOLUNTAD DEL SOLICITANTE DE ACTUALIZACIÓN DEL PADRÓN ELECTORAL CUANDO TIENE UNA DISCAPACIDAD TOTAL PUEDE SER POR CONDUCTO DE SU ENLACE O REPRESENTANTE LEGAL.</w:t>
      </w:r>
    </w:p>
    <w:p w14:paraId="5ABE1C1F" w14:textId="77777777" w:rsidR="00671C3F" w:rsidRPr="00A41623" w:rsidRDefault="00671C3F" w:rsidP="00671C3F">
      <w:pPr>
        <w:spacing w:line="276" w:lineRule="auto"/>
        <w:ind w:left="426" w:right="567"/>
        <w:jc w:val="both"/>
        <w:rPr>
          <w:rFonts w:ascii="Univers" w:hAnsi="Univers" w:cs="Arial"/>
          <w:b/>
          <w:sz w:val="20"/>
          <w:szCs w:val="20"/>
        </w:rPr>
      </w:pPr>
    </w:p>
    <w:p w14:paraId="4A49C3AD" w14:textId="77777777" w:rsidR="00671C3F" w:rsidRPr="00A41623" w:rsidRDefault="00671C3F" w:rsidP="00671C3F">
      <w:pPr>
        <w:spacing w:line="276" w:lineRule="auto"/>
        <w:ind w:left="426" w:right="567"/>
        <w:jc w:val="both"/>
        <w:rPr>
          <w:rFonts w:ascii="Univers" w:hAnsi="Univers" w:cs="Arial"/>
          <w:sz w:val="20"/>
          <w:szCs w:val="20"/>
        </w:rPr>
      </w:pPr>
      <w:r w:rsidRPr="00A41623">
        <w:rPr>
          <w:rFonts w:ascii="Univers" w:hAnsi="Univers" w:cs="Arial"/>
          <w:b/>
          <w:sz w:val="20"/>
          <w:szCs w:val="20"/>
        </w:rPr>
        <w:t xml:space="preserve">Criterio: </w:t>
      </w:r>
      <w:r w:rsidRPr="00A41623">
        <w:rPr>
          <w:rFonts w:ascii="Univers" w:hAnsi="Univers" w:cs="Arial"/>
          <w:sz w:val="20"/>
          <w:szCs w:val="20"/>
        </w:rPr>
        <w:t>Cuando el solicitante del trámite sea una persona con discapacidad total y no pueda expresar su voluntad de forma indubitable, clara y precisa, el Instituto Nacional Electoral (INE) debe efectuar un ajuste razonable y tener por expresada la voluntad del solicitante, por conducto de su enlace o representante legal, acorde a la Convención sobre los Derechos de las Personas con Discapacidad y al principio de mejor interpretación posible de la voluntad y las preferencias.</w:t>
      </w:r>
    </w:p>
    <w:p w14:paraId="0AE4ABB4" w14:textId="77777777" w:rsidR="00671C3F" w:rsidRPr="00A41623" w:rsidRDefault="00671C3F" w:rsidP="00671C3F">
      <w:pPr>
        <w:tabs>
          <w:tab w:val="left" w:pos="0"/>
        </w:tabs>
        <w:autoSpaceDE w:val="0"/>
        <w:autoSpaceDN w:val="0"/>
        <w:adjustRightInd w:val="0"/>
        <w:spacing w:line="276" w:lineRule="auto"/>
        <w:ind w:left="426" w:right="567"/>
        <w:jc w:val="both"/>
        <w:rPr>
          <w:rFonts w:ascii="Univers" w:hAnsi="Univers" w:cs="Arial"/>
          <w:sz w:val="20"/>
          <w:szCs w:val="20"/>
        </w:rPr>
      </w:pPr>
    </w:p>
    <w:p w14:paraId="019BC26E" w14:textId="77777777" w:rsidR="00DC4739" w:rsidRDefault="00671C3F" w:rsidP="00671C3F">
      <w:pPr>
        <w:spacing w:line="276" w:lineRule="auto"/>
        <w:ind w:left="426" w:right="616"/>
        <w:jc w:val="both"/>
        <w:rPr>
          <w:rFonts w:ascii="Univers" w:hAnsi="Univers" w:cs="Arial"/>
          <w:sz w:val="20"/>
          <w:szCs w:val="20"/>
        </w:rPr>
      </w:pPr>
      <w:r w:rsidRPr="00A41623">
        <w:rPr>
          <w:rFonts w:ascii="Univers" w:hAnsi="Univers" w:cs="Arial"/>
          <w:sz w:val="20"/>
          <w:szCs w:val="20"/>
        </w:rPr>
        <w:t xml:space="preserve">En el mismo sentido, el enlace o representante legal del ciudadano, está legitimado para promover el juicio ciudadano cuando se esté en el supuesto del artículo 141 de la Ley General de Instituciones y Procedimientos Electorales (LGIPE) y no sea posible determinar la voluntad o preferencias del solicitante del trámite. </w:t>
      </w:r>
    </w:p>
    <w:p w14:paraId="4F7EA59D" w14:textId="77777777" w:rsidR="00DC4739" w:rsidRDefault="00DC4739" w:rsidP="00671C3F">
      <w:pPr>
        <w:spacing w:line="276" w:lineRule="auto"/>
        <w:ind w:left="426" w:right="616"/>
        <w:jc w:val="both"/>
        <w:rPr>
          <w:rFonts w:ascii="Univers" w:hAnsi="Univers" w:cs="Arial"/>
          <w:sz w:val="20"/>
          <w:szCs w:val="20"/>
        </w:rPr>
      </w:pPr>
    </w:p>
    <w:p w14:paraId="48A465F5" w14:textId="7EEBA9C2" w:rsidR="00671C3F" w:rsidRPr="00A41623" w:rsidRDefault="00DC4739" w:rsidP="00671C3F">
      <w:pPr>
        <w:spacing w:line="276" w:lineRule="auto"/>
        <w:ind w:left="426" w:right="616"/>
        <w:jc w:val="both"/>
        <w:rPr>
          <w:rFonts w:ascii="Univers" w:hAnsi="Univers" w:cs="Arial"/>
          <w:sz w:val="20"/>
          <w:szCs w:val="20"/>
        </w:rPr>
      </w:pPr>
      <w:r>
        <w:rPr>
          <w:rFonts w:ascii="Univers" w:hAnsi="Univers" w:cs="Arial"/>
          <w:sz w:val="20"/>
          <w:szCs w:val="20"/>
        </w:rPr>
        <w:t>Expediente:</w:t>
      </w:r>
      <w:r w:rsidRPr="00A41623">
        <w:rPr>
          <w:rFonts w:ascii="Univers" w:hAnsi="Univers" w:cs="Arial"/>
          <w:sz w:val="20"/>
          <w:szCs w:val="20"/>
        </w:rPr>
        <w:t xml:space="preserve"> </w:t>
      </w:r>
      <w:hyperlink r:id="rId10" w:history="1">
        <w:r w:rsidR="00671C3F" w:rsidRPr="00292569">
          <w:rPr>
            <w:rStyle w:val="Hipervnculo"/>
            <w:rFonts w:ascii="Univers" w:hAnsi="Univers" w:cs="Arial"/>
            <w:sz w:val="20"/>
            <w:szCs w:val="20"/>
          </w:rPr>
          <w:t>SG-JDC-2</w:t>
        </w:r>
        <w:r w:rsidR="00671C3F" w:rsidRPr="00292569">
          <w:rPr>
            <w:rStyle w:val="Hipervnculo"/>
            <w:rFonts w:ascii="Univers" w:hAnsi="Univers" w:cs="Arial"/>
            <w:sz w:val="20"/>
            <w:szCs w:val="20"/>
          </w:rPr>
          <w:t>7</w:t>
        </w:r>
        <w:r w:rsidR="00671C3F" w:rsidRPr="00292569">
          <w:rPr>
            <w:rStyle w:val="Hipervnculo"/>
            <w:rFonts w:ascii="Univers" w:hAnsi="Univers" w:cs="Arial"/>
            <w:sz w:val="20"/>
            <w:szCs w:val="20"/>
          </w:rPr>
          <w:t>9/2019</w:t>
        </w:r>
      </w:hyperlink>
    </w:p>
    <w:p w14:paraId="65E838D9" w14:textId="77777777" w:rsidR="00671C3F" w:rsidRDefault="00671C3F" w:rsidP="00671C3F">
      <w:pPr>
        <w:spacing w:line="276" w:lineRule="auto"/>
        <w:ind w:left="426" w:right="616"/>
        <w:jc w:val="both"/>
        <w:rPr>
          <w:rFonts w:ascii="Univers" w:hAnsi="Univers" w:cs="Arial"/>
          <w:sz w:val="20"/>
          <w:szCs w:val="20"/>
        </w:rPr>
      </w:pPr>
    </w:p>
    <w:p w14:paraId="18D9DCAA" w14:textId="77777777" w:rsidR="00DC4739" w:rsidRPr="00A41623" w:rsidRDefault="00DC4739" w:rsidP="00671C3F">
      <w:pPr>
        <w:spacing w:line="276" w:lineRule="auto"/>
        <w:ind w:left="426" w:right="616"/>
        <w:jc w:val="both"/>
        <w:rPr>
          <w:rFonts w:ascii="Univers" w:hAnsi="Univers" w:cs="Arial"/>
          <w:sz w:val="20"/>
          <w:szCs w:val="20"/>
        </w:rPr>
      </w:pPr>
    </w:p>
    <w:p w14:paraId="78F31496"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bCs/>
          <w:sz w:val="20"/>
          <w:szCs w:val="20"/>
        </w:rPr>
        <w:t>EN LA MEDIDA DE LO POSIBLE LA CREDENCIAL PARA VOTAR CON FOTOGRAFÍA DEBE INCLUIR EL NOMBRE COMPLETO DEL SOLICITANTE</w:t>
      </w:r>
    </w:p>
    <w:p w14:paraId="2069AC7D" w14:textId="77777777" w:rsidR="00671C3F" w:rsidRPr="00A41623" w:rsidRDefault="00671C3F" w:rsidP="00671C3F">
      <w:pPr>
        <w:spacing w:line="276" w:lineRule="auto"/>
        <w:ind w:left="426" w:right="567"/>
        <w:jc w:val="both"/>
        <w:rPr>
          <w:rFonts w:ascii="Univers" w:hAnsi="Univers" w:cs="Arial"/>
          <w:b/>
          <w:sz w:val="20"/>
          <w:szCs w:val="20"/>
        </w:rPr>
      </w:pPr>
    </w:p>
    <w:p w14:paraId="110B03C4" w14:textId="77777777" w:rsidR="00DC4739" w:rsidRDefault="00671C3F" w:rsidP="00671C3F">
      <w:pPr>
        <w:spacing w:line="276" w:lineRule="auto"/>
        <w:ind w:left="426" w:right="616"/>
        <w:jc w:val="both"/>
        <w:rPr>
          <w:rFonts w:ascii="Univers" w:hAnsi="Univers" w:cs="Arial"/>
          <w:bCs/>
          <w:sz w:val="20"/>
          <w:szCs w:val="20"/>
        </w:rPr>
      </w:pPr>
      <w:r w:rsidRPr="00A41623">
        <w:rPr>
          <w:rFonts w:ascii="Univers" w:hAnsi="Univers" w:cs="Arial"/>
          <w:b/>
          <w:sz w:val="20"/>
          <w:szCs w:val="20"/>
        </w:rPr>
        <w:t xml:space="preserve">Criterio: </w:t>
      </w:r>
      <w:r w:rsidRPr="00A41623">
        <w:rPr>
          <w:rFonts w:ascii="Univers" w:hAnsi="Univers" w:cs="Arial"/>
          <w:bCs/>
          <w:sz w:val="20"/>
          <w:szCs w:val="20"/>
        </w:rPr>
        <w:t>A la luz del derecho humano al nombre, en su vertiente político-electoral, el Estado</w:t>
      </w:r>
      <w:r w:rsidRPr="00A41623">
        <w:rPr>
          <w:rFonts w:ascii="Univers" w:eastAsia="Calibri" w:hAnsi="Univers"/>
          <w:sz w:val="20"/>
          <w:szCs w:val="20"/>
        </w:rPr>
        <w:t xml:space="preserve"> </w:t>
      </w:r>
      <w:r w:rsidRPr="00A41623">
        <w:rPr>
          <w:rFonts w:ascii="Univers" w:hAnsi="Univers" w:cs="Arial"/>
          <w:bCs/>
          <w:sz w:val="20"/>
          <w:szCs w:val="20"/>
        </w:rPr>
        <w:t xml:space="preserve">debe garantizar que todos los ciudadanos que se inscriban al padrón electoral obtengan, en la medida de lo posible, su credencial para votar con fotografía que incluya su nombre completo (nombre y apellidos) a fin de tener un </w:t>
      </w:r>
      <w:r w:rsidRPr="00A41623">
        <w:rPr>
          <w:rFonts w:ascii="Univers" w:hAnsi="Univers" w:cs="Arial"/>
          <w:bCs/>
          <w:sz w:val="20"/>
          <w:szCs w:val="20"/>
        </w:rPr>
        <w:lastRenderedPageBreak/>
        <w:t>documento que no solo les permita ejercer su derecho al voto, sino que también les sea posible identificarlos ante la sociedad al momento de efectuar los diversos trámites donde dicho documento sea admisible como medio de identificación.</w:t>
      </w:r>
    </w:p>
    <w:p w14:paraId="6E9C2D33" w14:textId="77777777" w:rsidR="00DC4739" w:rsidRDefault="00DC4739" w:rsidP="00671C3F">
      <w:pPr>
        <w:spacing w:line="276" w:lineRule="auto"/>
        <w:ind w:left="426" w:right="616"/>
        <w:jc w:val="both"/>
        <w:rPr>
          <w:rFonts w:ascii="Univers" w:hAnsi="Univers" w:cs="Arial"/>
          <w:bCs/>
          <w:sz w:val="20"/>
          <w:szCs w:val="20"/>
        </w:rPr>
      </w:pPr>
    </w:p>
    <w:p w14:paraId="787EE3CD" w14:textId="04AD6637" w:rsidR="00671C3F" w:rsidRPr="00A41623" w:rsidRDefault="00DC4739" w:rsidP="00671C3F">
      <w:pPr>
        <w:spacing w:line="276" w:lineRule="auto"/>
        <w:ind w:left="426" w:right="616"/>
        <w:jc w:val="both"/>
        <w:rPr>
          <w:rFonts w:ascii="Univers" w:hAnsi="Univers" w:cs="Arial"/>
          <w:sz w:val="20"/>
          <w:szCs w:val="20"/>
        </w:rPr>
      </w:pPr>
      <w:r>
        <w:rPr>
          <w:rFonts w:ascii="Univers" w:hAnsi="Univers" w:cs="Arial"/>
          <w:sz w:val="20"/>
          <w:szCs w:val="20"/>
        </w:rPr>
        <w:t>Expediente:</w:t>
      </w:r>
      <w:r w:rsidRPr="00A41623">
        <w:rPr>
          <w:rFonts w:ascii="Univers" w:hAnsi="Univers" w:cs="Arial"/>
          <w:bCs/>
          <w:sz w:val="20"/>
          <w:szCs w:val="20"/>
        </w:rPr>
        <w:t xml:space="preserve"> </w:t>
      </w:r>
      <w:hyperlink r:id="rId11" w:history="1">
        <w:r w:rsidR="00671C3F" w:rsidRPr="00311801">
          <w:rPr>
            <w:rStyle w:val="Hipervnculo"/>
            <w:rFonts w:ascii="Univers" w:hAnsi="Univers" w:cs="Arial"/>
            <w:sz w:val="20"/>
            <w:szCs w:val="20"/>
          </w:rPr>
          <w:t>SG-JDC-</w:t>
        </w:r>
        <w:r w:rsidR="00671C3F" w:rsidRPr="00311801">
          <w:rPr>
            <w:rStyle w:val="Hipervnculo"/>
            <w:rFonts w:ascii="Univers" w:hAnsi="Univers" w:cs="Arial"/>
            <w:sz w:val="20"/>
            <w:szCs w:val="20"/>
          </w:rPr>
          <w:t>2</w:t>
        </w:r>
        <w:r w:rsidR="00671C3F" w:rsidRPr="00311801">
          <w:rPr>
            <w:rStyle w:val="Hipervnculo"/>
            <w:rFonts w:ascii="Univers" w:hAnsi="Univers" w:cs="Arial"/>
            <w:sz w:val="20"/>
            <w:szCs w:val="20"/>
          </w:rPr>
          <w:t>9/2019</w:t>
        </w:r>
      </w:hyperlink>
    </w:p>
    <w:p w14:paraId="36F62D6E" w14:textId="77777777" w:rsidR="00671C3F" w:rsidRDefault="00671C3F" w:rsidP="00671C3F">
      <w:pPr>
        <w:spacing w:line="276" w:lineRule="auto"/>
        <w:ind w:left="426" w:right="616"/>
        <w:jc w:val="both"/>
        <w:rPr>
          <w:rFonts w:ascii="Univers" w:hAnsi="Univers" w:cs="Arial"/>
          <w:sz w:val="20"/>
          <w:szCs w:val="20"/>
        </w:rPr>
      </w:pPr>
    </w:p>
    <w:p w14:paraId="1D39957A" w14:textId="77777777" w:rsidR="00671C3F" w:rsidRPr="00A41623" w:rsidRDefault="00671C3F" w:rsidP="00671C3F">
      <w:pPr>
        <w:spacing w:line="276" w:lineRule="auto"/>
        <w:ind w:left="426" w:right="616"/>
        <w:jc w:val="both"/>
        <w:rPr>
          <w:rFonts w:ascii="Univers" w:hAnsi="Univers" w:cs="Arial"/>
          <w:sz w:val="20"/>
          <w:szCs w:val="20"/>
        </w:rPr>
      </w:pPr>
    </w:p>
    <w:p w14:paraId="45282BDB"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PROPAGANDA GUBERNAMENTAL PERSONALIZADA</w:t>
      </w:r>
    </w:p>
    <w:p w14:paraId="312755CA" w14:textId="77777777" w:rsidR="00671C3F" w:rsidRPr="00A41623" w:rsidRDefault="00671C3F" w:rsidP="00671C3F">
      <w:pPr>
        <w:spacing w:line="276" w:lineRule="auto"/>
        <w:ind w:left="426" w:right="616"/>
        <w:jc w:val="both"/>
        <w:rPr>
          <w:rFonts w:ascii="Univers" w:hAnsi="Univers"/>
          <w:sz w:val="20"/>
          <w:szCs w:val="20"/>
        </w:rPr>
      </w:pPr>
    </w:p>
    <w:p w14:paraId="4D12E912"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sz w:val="20"/>
          <w:szCs w:val="20"/>
        </w:rPr>
        <w:t>LAS MODALIDADES DE COMUNICACIÓN SOCIAL, NO SE AGOTAN CON LOS TIPOS DE COMUNICACIÓN SOCIAL ESTABLECIDOS EN EL ARTÍCULO 4, PÁRRAFO VI, DE LA LEY GENERAL DE COMUNICACIÓN SOCIAL.</w:t>
      </w:r>
    </w:p>
    <w:p w14:paraId="69842457" w14:textId="77777777" w:rsidR="00671C3F" w:rsidRPr="00A41623" w:rsidRDefault="00671C3F" w:rsidP="00671C3F">
      <w:pPr>
        <w:spacing w:line="276" w:lineRule="auto"/>
        <w:ind w:left="426" w:right="567"/>
        <w:jc w:val="both"/>
        <w:rPr>
          <w:rFonts w:ascii="Univers" w:hAnsi="Univers" w:cs="Arial"/>
          <w:b/>
          <w:sz w:val="20"/>
          <w:szCs w:val="20"/>
        </w:rPr>
      </w:pPr>
    </w:p>
    <w:p w14:paraId="0D72FE6B" w14:textId="77777777" w:rsidR="00671C3F" w:rsidRPr="00A41623" w:rsidRDefault="00671C3F" w:rsidP="00671C3F">
      <w:pPr>
        <w:spacing w:line="276" w:lineRule="auto"/>
        <w:ind w:left="426" w:right="567"/>
        <w:jc w:val="both"/>
        <w:rPr>
          <w:rFonts w:ascii="Univers" w:hAnsi="Univers" w:cs="Arial"/>
          <w:sz w:val="20"/>
          <w:szCs w:val="20"/>
        </w:rPr>
      </w:pPr>
      <w:r w:rsidRPr="00A41623">
        <w:rPr>
          <w:rFonts w:ascii="Univers" w:hAnsi="Univers" w:cs="Arial"/>
          <w:b/>
          <w:sz w:val="20"/>
          <w:szCs w:val="20"/>
        </w:rPr>
        <w:t xml:space="preserve">Criterio: </w:t>
      </w:r>
      <w:r w:rsidRPr="00A41623">
        <w:rPr>
          <w:rFonts w:ascii="Univers" w:hAnsi="Univers" w:cs="Arial"/>
          <w:sz w:val="20"/>
          <w:szCs w:val="20"/>
        </w:rPr>
        <w:t>Las “modalidades</w:t>
      </w:r>
      <w:r w:rsidRPr="00A41623">
        <w:rPr>
          <w:rFonts w:ascii="Univers" w:hAnsi="Univers" w:cs="Arial"/>
          <w:b/>
          <w:sz w:val="20"/>
          <w:szCs w:val="20"/>
        </w:rPr>
        <w:t xml:space="preserve"> </w:t>
      </w:r>
      <w:r w:rsidRPr="00A41623">
        <w:rPr>
          <w:rFonts w:ascii="Univers" w:hAnsi="Univers" w:cs="Arial"/>
          <w:sz w:val="20"/>
          <w:szCs w:val="20"/>
        </w:rPr>
        <w:t>de comunicación social” a que se refiere el párrafo octavo del artículo 134 de la Constitución federal —</w:t>
      </w:r>
      <w:r w:rsidRPr="00A41623">
        <w:rPr>
          <w:rFonts w:ascii="Univers" w:hAnsi="Univers" w:cs="Arial"/>
          <w:i/>
          <w:sz w:val="20"/>
          <w:szCs w:val="20"/>
        </w:rPr>
        <w:t>que tipifica como infracción la promoción personalizada de los servidores públicos a través de la propaganda gubernamental</w:t>
      </w:r>
      <w:r w:rsidRPr="00A41623">
        <w:rPr>
          <w:rFonts w:ascii="Univers" w:hAnsi="Univers" w:cs="Arial"/>
          <w:sz w:val="20"/>
          <w:szCs w:val="20"/>
        </w:rPr>
        <w:t xml:space="preserve">— no se agotan con los tipos de comunicación social establecidos en el artículo 4, párrafo VI, de la Ley General de Comunicación Social, pues si bien dicha Ley es reglamentaria del referido precepto constitucional, del análisis de lo establecido en sus artículos 2 y 7, ésta ley resulta aplicable a la regulación de las campañas de comunicación social de los entes de gobierno; es decir, únicamente a esa modalidad de comunicación social. </w:t>
      </w:r>
    </w:p>
    <w:p w14:paraId="0F96F610" w14:textId="77777777" w:rsidR="00671C3F" w:rsidRPr="00A41623" w:rsidRDefault="00671C3F" w:rsidP="00671C3F">
      <w:pPr>
        <w:spacing w:line="276" w:lineRule="auto"/>
        <w:ind w:left="426" w:right="567"/>
        <w:jc w:val="both"/>
        <w:rPr>
          <w:rFonts w:ascii="Univers" w:hAnsi="Univers" w:cs="Arial"/>
          <w:sz w:val="20"/>
          <w:szCs w:val="20"/>
        </w:rPr>
      </w:pPr>
    </w:p>
    <w:p w14:paraId="2D6A7737" w14:textId="77777777" w:rsidR="00DC4739" w:rsidRDefault="00671C3F" w:rsidP="00671C3F">
      <w:pPr>
        <w:spacing w:line="276" w:lineRule="auto"/>
        <w:ind w:left="426" w:right="616"/>
        <w:jc w:val="both"/>
        <w:rPr>
          <w:rFonts w:ascii="Univers" w:hAnsi="Univers" w:cs="Arial"/>
          <w:sz w:val="20"/>
          <w:szCs w:val="20"/>
        </w:rPr>
      </w:pPr>
      <w:r w:rsidRPr="00A41623">
        <w:rPr>
          <w:rFonts w:ascii="Univers" w:hAnsi="Univers" w:cs="Arial"/>
          <w:sz w:val="20"/>
          <w:szCs w:val="20"/>
        </w:rPr>
        <w:t>Consecuentemente, del examen realizado a las disposiciones que integran la Ley General, no resulta posible desprender que se dirija a regular de manera directa el tipo administrativo que configura la infracción consistente en la difusión de propaganda gubernamental personalizada a través de cualquier modalidad de comunicación social, sino que se enfoca a establecer cuestiones relacionadas con las campañas de comunicación social.</w:t>
      </w:r>
    </w:p>
    <w:p w14:paraId="686C43AF" w14:textId="77777777" w:rsidR="00DC4739" w:rsidRDefault="00DC4739" w:rsidP="00671C3F">
      <w:pPr>
        <w:spacing w:line="276" w:lineRule="auto"/>
        <w:ind w:left="426" w:right="616"/>
        <w:jc w:val="both"/>
        <w:rPr>
          <w:rFonts w:ascii="Univers" w:hAnsi="Univers" w:cs="Arial"/>
          <w:sz w:val="20"/>
          <w:szCs w:val="20"/>
        </w:rPr>
      </w:pPr>
    </w:p>
    <w:p w14:paraId="1C6D6E16" w14:textId="72B723E4" w:rsidR="00671C3F" w:rsidRPr="00A41623" w:rsidRDefault="00DC4739" w:rsidP="00671C3F">
      <w:pPr>
        <w:spacing w:line="276" w:lineRule="auto"/>
        <w:ind w:left="426" w:right="616"/>
        <w:jc w:val="both"/>
        <w:rPr>
          <w:rFonts w:ascii="Univers" w:hAnsi="Univers" w:cs="Arial"/>
          <w:sz w:val="20"/>
          <w:szCs w:val="20"/>
        </w:rPr>
      </w:pPr>
      <w:r>
        <w:rPr>
          <w:rFonts w:ascii="Univers" w:hAnsi="Univers" w:cs="Arial"/>
          <w:sz w:val="20"/>
          <w:szCs w:val="20"/>
        </w:rPr>
        <w:t>Expediente:</w:t>
      </w:r>
      <w:r w:rsidRPr="00A41623">
        <w:rPr>
          <w:rFonts w:ascii="Univers" w:hAnsi="Univers" w:cs="Arial"/>
          <w:sz w:val="20"/>
          <w:szCs w:val="20"/>
        </w:rPr>
        <w:t xml:space="preserve"> </w:t>
      </w:r>
      <w:hyperlink r:id="rId12" w:history="1">
        <w:r w:rsidR="00671C3F" w:rsidRPr="00140D36">
          <w:rPr>
            <w:rStyle w:val="Hipervnculo"/>
            <w:rFonts w:ascii="Univers" w:hAnsi="Univers" w:cs="Arial"/>
            <w:sz w:val="20"/>
            <w:szCs w:val="20"/>
          </w:rPr>
          <w:t>SG-JE-</w:t>
        </w:r>
        <w:r w:rsidR="00671C3F" w:rsidRPr="00140D36">
          <w:rPr>
            <w:rStyle w:val="Hipervnculo"/>
            <w:rFonts w:ascii="Univers" w:hAnsi="Univers" w:cs="Arial"/>
            <w:sz w:val="20"/>
            <w:szCs w:val="20"/>
          </w:rPr>
          <w:t>2</w:t>
        </w:r>
        <w:r w:rsidR="00671C3F" w:rsidRPr="00140D36">
          <w:rPr>
            <w:rStyle w:val="Hipervnculo"/>
            <w:rFonts w:ascii="Univers" w:hAnsi="Univers" w:cs="Arial"/>
            <w:sz w:val="20"/>
            <w:szCs w:val="20"/>
          </w:rPr>
          <w:t>9/2019</w:t>
        </w:r>
      </w:hyperlink>
    </w:p>
    <w:p w14:paraId="2D250FD8" w14:textId="77777777" w:rsidR="00671C3F" w:rsidRDefault="00671C3F" w:rsidP="00671C3F">
      <w:pPr>
        <w:spacing w:line="276" w:lineRule="auto"/>
        <w:ind w:left="426" w:right="616"/>
        <w:jc w:val="both"/>
        <w:rPr>
          <w:rFonts w:ascii="Univers" w:hAnsi="Univers" w:cs="Arial"/>
          <w:sz w:val="20"/>
          <w:szCs w:val="20"/>
        </w:rPr>
      </w:pPr>
    </w:p>
    <w:p w14:paraId="01DDA0BF" w14:textId="77777777" w:rsidR="00671C3F" w:rsidRPr="00A41623" w:rsidRDefault="00671C3F" w:rsidP="00671C3F">
      <w:pPr>
        <w:spacing w:line="276" w:lineRule="auto"/>
        <w:ind w:left="426" w:right="616"/>
        <w:jc w:val="both"/>
        <w:rPr>
          <w:rFonts w:ascii="Univers" w:hAnsi="Univers" w:cs="Arial"/>
          <w:sz w:val="20"/>
          <w:szCs w:val="20"/>
        </w:rPr>
      </w:pPr>
    </w:p>
    <w:p w14:paraId="2E6C799B"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FINANCIAMIENTO PÚBLICO</w:t>
      </w:r>
    </w:p>
    <w:p w14:paraId="12820E53" w14:textId="77777777" w:rsidR="00671C3F" w:rsidRPr="00A41623" w:rsidRDefault="00671C3F" w:rsidP="00671C3F">
      <w:pPr>
        <w:spacing w:line="276" w:lineRule="auto"/>
        <w:ind w:left="426" w:right="616"/>
        <w:jc w:val="both"/>
        <w:rPr>
          <w:rFonts w:ascii="Univers" w:hAnsi="Univers"/>
          <w:sz w:val="20"/>
          <w:szCs w:val="20"/>
        </w:rPr>
      </w:pPr>
    </w:p>
    <w:p w14:paraId="226C368F"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bCs/>
          <w:sz w:val="20"/>
          <w:szCs w:val="20"/>
        </w:rPr>
        <w:t>PARA ACCEDER AL FINANCIAMIENTO PÚBLICO ESTATAL</w:t>
      </w:r>
      <w:r w:rsidRPr="00A41623">
        <w:rPr>
          <w:rFonts w:ascii="Univers" w:hAnsi="Univers" w:cs="Arial"/>
          <w:b/>
          <w:sz w:val="20"/>
          <w:szCs w:val="20"/>
        </w:rPr>
        <w:t xml:space="preserve"> LOS PARTIDOS POLÍTICOS DEBEN TENER AL MENOS </w:t>
      </w:r>
      <w:r w:rsidRPr="00A41623">
        <w:rPr>
          <w:rFonts w:ascii="Univers" w:hAnsi="Univers" w:cs="Arial"/>
          <w:b/>
          <w:bCs/>
          <w:sz w:val="20"/>
          <w:szCs w:val="20"/>
        </w:rPr>
        <w:t>REPRESENTATIVIDAD EN EL CONGRESO LOCAL, NO OBSTANTE HABER CONSERVADO EL REGISTRO (BAJA CALIFORNIA SUR).</w:t>
      </w:r>
    </w:p>
    <w:p w14:paraId="2C75CC77" w14:textId="77777777" w:rsidR="00671C3F" w:rsidRPr="00A41623" w:rsidRDefault="00671C3F" w:rsidP="00671C3F">
      <w:pPr>
        <w:spacing w:line="276" w:lineRule="auto"/>
        <w:ind w:left="426" w:right="567"/>
        <w:jc w:val="both"/>
        <w:rPr>
          <w:rFonts w:ascii="Univers" w:hAnsi="Univers" w:cs="Arial"/>
          <w:sz w:val="20"/>
          <w:szCs w:val="20"/>
        </w:rPr>
      </w:pPr>
    </w:p>
    <w:p w14:paraId="3E31B3C4" w14:textId="77777777" w:rsidR="00DC4739" w:rsidRDefault="00671C3F" w:rsidP="00671C3F">
      <w:pPr>
        <w:spacing w:line="276" w:lineRule="auto"/>
        <w:ind w:left="426" w:right="616"/>
        <w:jc w:val="both"/>
        <w:rPr>
          <w:rFonts w:ascii="Univers" w:hAnsi="Univers" w:cs="Arial"/>
          <w:sz w:val="20"/>
          <w:szCs w:val="20"/>
        </w:rPr>
      </w:pPr>
      <w:r w:rsidRPr="00A41623">
        <w:rPr>
          <w:rFonts w:ascii="Univers" w:hAnsi="Univers" w:cs="Arial"/>
          <w:b/>
          <w:sz w:val="20"/>
          <w:szCs w:val="20"/>
        </w:rPr>
        <w:t xml:space="preserve">Criterio: </w:t>
      </w:r>
      <w:r w:rsidRPr="00A41623">
        <w:rPr>
          <w:rFonts w:ascii="Univers" w:hAnsi="Univers" w:cs="Arial"/>
          <w:sz w:val="20"/>
          <w:szCs w:val="20"/>
        </w:rPr>
        <w:t>La Sala Regional sostuvo que resulta aplicable la disposición prevista en la ley electoral local de Baja California Sur consistente en exigir que los partidos políticos tengan</w:t>
      </w:r>
      <w:r w:rsidRPr="00A41623">
        <w:rPr>
          <w:rFonts w:ascii="Univers" w:hAnsi="Univers" w:cs="Arial"/>
          <w:bCs/>
          <w:sz w:val="20"/>
          <w:szCs w:val="20"/>
        </w:rPr>
        <w:t xml:space="preserve"> al menos representatividad en el Congreso local a fin de acceder al financiamiento público estatal, no obstante haber conservado el registro. Ello, en virtud de que </w:t>
      </w:r>
      <w:r w:rsidRPr="00A41623">
        <w:rPr>
          <w:rFonts w:ascii="Univers" w:hAnsi="Univers" w:cs="Arial"/>
          <w:sz w:val="20"/>
          <w:szCs w:val="20"/>
        </w:rPr>
        <w:t xml:space="preserve">en la acción de inconstitucionalidad 76/2016 y sus acumuladas, el </w:t>
      </w:r>
      <w:r w:rsidRPr="00A41623">
        <w:rPr>
          <w:rFonts w:ascii="Univers" w:hAnsi="Univers" w:cs="Arial"/>
          <w:sz w:val="20"/>
          <w:szCs w:val="20"/>
        </w:rPr>
        <w:lastRenderedPageBreak/>
        <w:t>Pleno de la Suprema Corte de Justicia de la Nación</w:t>
      </w:r>
      <w:r w:rsidRPr="00A41623">
        <w:rPr>
          <w:rFonts w:ascii="Univers" w:hAnsi="Univers" w:cs="Arial"/>
          <w:bCs/>
          <w:iCs/>
          <w:sz w:val="20"/>
          <w:szCs w:val="20"/>
        </w:rPr>
        <w:t xml:space="preserve"> dilucidó sobre la constitucionalidad de dicha condicionante, concluyendo, por mayoría de nueve votos, que la misma resultaba válida. De ahí que la Sala Regional estimó que el referido </w:t>
      </w:r>
      <w:r w:rsidRPr="00A41623">
        <w:rPr>
          <w:rFonts w:ascii="Univers" w:hAnsi="Univers" w:cs="Arial"/>
          <w:sz w:val="20"/>
          <w:szCs w:val="20"/>
        </w:rPr>
        <w:t>criterio constituye jurisprudencia obligatoria, por lo que no resultaba procedente inaplicar la exigencia en comento, no obstante que se adujera un presunto caso de excepción en la entidad federativa.</w:t>
      </w:r>
    </w:p>
    <w:p w14:paraId="13CA4B6F" w14:textId="77777777" w:rsidR="00DC4739" w:rsidRDefault="00DC4739" w:rsidP="00671C3F">
      <w:pPr>
        <w:spacing w:line="276" w:lineRule="auto"/>
        <w:ind w:left="426" w:right="616"/>
        <w:jc w:val="both"/>
        <w:rPr>
          <w:rFonts w:ascii="Univers" w:hAnsi="Univers" w:cs="Arial"/>
          <w:sz w:val="20"/>
          <w:szCs w:val="20"/>
        </w:rPr>
      </w:pPr>
    </w:p>
    <w:p w14:paraId="52BCA402" w14:textId="56BC8152" w:rsidR="00671C3F" w:rsidRPr="00A41623" w:rsidRDefault="00DC4739" w:rsidP="00671C3F">
      <w:pPr>
        <w:spacing w:line="276" w:lineRule="auto"/>
        <w:ind w:left="426" w:right="616"/>
        <w:jc w:val="both"/>
        <w:rPr>
          <w:rFonts w:ascii="Univers" w:hAnsi="Univers" w:cs="Arial"/>
          <w:sz w:val="20"/>
          <w:szCs w:val="20"/>
        </w:rPr>
      </w:pPr>
      <w:r>
        <w:rPr>
          <w:rFonts w:ascii="Univers" w:hAnsi="Univers" w:cs="Arial"/>
          <w:sz w:val="20"/>
          <w:szCs w:val="20"/>
        </w:rPr>
        <w:t>Expediente:</w:t>
      </w:r>
      <w:r w:rsidRPr="00A41623">
        <w:rPr>
          <w:rFonts w:ascii="Univers" w:hAnsi="Univers" w:cs="Arial"/>
          <w:sz w:val="20"/>
          <w:szCs w:val="20"/>
        </w:rPr>
        <w:t xml:space="preserve"> </w:t>
      </w:r>
      <w:hyperlink r:id="rId13" w:history="1">
        <w:r w:rsidR="00671C3F" w:rsidRPr="00DF10B5">
          <w:rPr>
            <w:rStyle w:val="Hipervnculo"/>
            <w:rFonts w:ascii="Univers" w:hAnsi="Univers" w:cs="Arial"/>
            <w:sz w:val="20"/>
            <w:szCs w:val="20"/>
          </w:rPr>
          <w:t>SG-JRC-1</w:t>
        </w:r>
        <w:r w:rsidR="00671C3F" w:rsidRPr="00DF10B5">
          <w:rPr>
            <w:rStyle w:val="Hipervnculo"/>
            <w:rFonts w:ascii="Univers" w:hAnsi="Univers" w:cs="Arial"/>
            <w:sz w:val="20"/>
            <w:szCs w:val="20"/>
          </w:rPr>
          <w:t>0</w:t>
        </w:r>
        <w:r w:rsidR="00671C3F" w:rsidRPr="00DF10B5">
          <w:rPr>
            <w:rStyle w:val="Hipervnculo"/>
            <w:rFonts w:ascii="Univers" w:hAnsi="Univers" w:cs="Arial"/>
            <w:sz w:val="20"/>
            <w:szCs w:val="20"/>
          </w:rPr>
          <w:t>/2019</w:t>
        </w:r>
      </w:hyperlink>
    </w:p>
    <w:p w14:paraId="29ECD3E5" w14:textId="77777777" w:rsidR="00671C3F" w:rsidRDefault="00671C3F" w:rsidP="00671C3F">
      <w:pPr>
        <w:spacing w:line="276" w:lineRule="auto"/>
        <w:ind w:left="426" w:right="616"/>
        <w:jc w:val="both"/>
        <w:rPr>
          <w:rFonts w:ascii="Univers" w:hAnsi="Univers"/>
          <w:sz w:val="20"/>
          <w:szCs w:val="20"/>
        </w:rPr>
      </w:pPr>
    </w:p>
    <w:p w14:paraId="7D89B2A2" w14:textId="77777777" w:rsidR="00671C3F" w:rsidRDefault="00671C3F" w:rsidP="00671C3F">
      <w:pPr>
        <w:spacing w:line="276" w:lineRule="auto"/>
        <w:ind w:left="426" w:right="616"/>
        <w:jc w:val="both"/>
        <w:rPr>
          <w:rFonts w:ascii="Univers" w:hAnsi="Univers"/>
          <w:sz w:val="20"/>
          <w:szCs w:val="20"/>
        </w:rPr>
      </w:pPr>
    </w:p>
    <w:p w14:paraId="2696E4C4"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MECANISMOS DE PARTICIPACIÓN CIUDADANA</w:t>
      </w:r>
    </w:p>
    <w:p w14:paraId="05D30D0C" w14:textId="77777777" w:rsidR="00671C3F" w:rsidRDefault="00671C3F" w:rsidP="00671C3F">
      <w:pPr>
        <w:spacing w:line="276" w:lineRule="auto"/>
        <w:ind w:left="426" w:right="616"/>
        <w:jc w:val="both"/>
        <w:rPr>
          <w:rFonts w:ascii="Univers" w:hAnsi="Univers"/>
          <w:sz w:val="20"/>
          <w:szCs w:val="20"/>
        </w:rPr>
      </w:pPr>
    </w:p>
    <w:p w14:paraId="0CA830AC" w14:textId="77777777" w:rsidR="00671C3F" w:rsidRPr="00A41623" w:rsidRDefault="00671C3F" w:rsidP="00671C3F">
      <w:pPr>
        <w:spacing w:line="276" w:lineRule="auto"/>
        <w:ind w:left="426" w:right="616"/>
        <w:jc w:val="both"/>
        <w:rPr>
          <w:rFonts w:ascii="Univers" w:hAnsi="Univers"/>
          <w:sz w:val="20"/>
          <w:szCs w:val="20"/>
        </w:rPr>
      </w:pPr>
    </w:p>
    <w:p w14:paraId="2B5FE983"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sz w:val="20"/>
          <w:szCs w:val="20"/>
        </w:rPr>
        <w:t>NO ES SUSCEPTIBLE DE REALIZARSE UNA SOLICITUD DE PLEBISCITO EN EL ESTADO DE BAJA CALIFORNIA SOBRE UNA RESOLUCIÓN ADMINISTRATIVA DE AUTORIZACIÓN DE IMPACTO AMBIENTAL.</w:t>
      </w:r>
    </w:p>
    <w:p w14:paraId="198E14D1" w14:textId="77777777" w:rsidR="00671C3F" w:rsidRPr="00A41623" w:rsidRDefault="00671C3F" w:rsidP="00671C3F">
      <w:pPr>
        <w:spacing w:line="276" w:lineRule="auto"/>
        <w:ind w:left="426" w:right="567"/>
        <w:jc w:val="both"/>
        <w:rPr>
          <w:rFonts w:ascii="Univers" w:hAnsi="Univers" w:cs="Arial"/>
          <w:b/>
          <w:sz w:val="20"/>
          <w:szCs w:val="20"/>
        </w:rPr>
      </w:pPr>
    </w:p>
    <w:p w14:paraId="7AC161AD" w14:textId="57AF944C" w:rsidR="00671C3F" w:rsidRPr="00A41623" w:rsidRDefault="00671C3F" w:rsidP="00671C3F">
      <w:pPr>
        <w:spacing w:line="276" w:lineRule="auto"/>
        <w:ind w:left="426" w:right="616"/>
        <w:jc w:val="both"/>
        <w:rPr>
          <w:rFonts w:ascii="Univers" w:hAnsi="Univers" w:cs="Arial"/>
          <w:sz w:val="20"/>
          <w:szCs w:val="20"/>
        </w:rPr>
      </w:pPr>
      <w:r w:rsidRPr="00A41623">
        <w:rPr>
          <w:rFonts w:ascii="Univers" w:hAnsi="Univers" w:cs="Arial"/>
          <w:b/>
          <w:sz w:val="20"/>
          <w:szCs w:val="20"/>
        </w:rPr>
        <w:t xml:space="preserve">Criterio: </w:t>
      </w:r>
      <w:r w:rsidRPr="00A41623">
        <w:rPr>
          <w:rFonts w:ascii="Univers" w:hAnsi="Univers" w:cs="Arial"/>
          <w:sz w:val="20"/>
          <w:szCs w:val="20"/>
        </w:rPr>
        <w:t>No es susceptible de realizarse una solicitud de plebiscito en el Estado de Baja California sobre una resolución administrativa de autorización de impacto ambiental. Conforme a los artículos 18, fracciones IV y V, y 47 de la Ley de Participación Ciudadana local, una autorización que plantea esencialmente la plausibilidad técnica de la manifestación de impacto ambiental, de la Secretaría de Protección al Ambiente del Estado de Baja California, para la para la realización de actividades relativas a la construcción y operación de una planta cervecera en la ciudad de Mexicali, Baja California, por BC Tenedora Inmobiliaria, no es apta de someterse a plebiscito, toda vez que se trata de un acto administrativo cuya realización es obligatoria para la autoridad competente e incide en una limitación a la propiedad particular, por lo que deviene evidente su improcedencia. (</w:t>
      </w:r>
      <w:hyperlink r:id="rId14" w:history="1">
        <w:r w:rsidRPr="00C46E31">
          <w:rPr>
            <w:rStyle w:val="Hipervnculo"/>
            <w:rFonts w:ascii="Univers" w:hAnsi="Univers" w:cs="Arial"/>
            <w:sz w:val="20"/>
            <w:szCs w:val="20"/>
          </w:rPr>
          <w:t>SG</w:t>
        </w:r>
        <w:r w:rsidRPr="00C46E31">
          <w:rPr>
            <w:rStyle w:val="Hipervnculo"/>
            <w:rFonts w:ascii="Univers" w:hAnsi="Univers" w:cs="Arial"/>
            <w:sz w:val="20"/>
            <w:szCs w:val="20"/>
          </w:rPr>
          <w:t>-</w:t>
        </w:r>
        <w:r w:rsidRPr="00C46E31">
          <w:rPr>
            <w:rStyle w:val="Hipervnculo"/>
            <w:rFonts w:ascii="Univers" w:hAnsi="Univers" w:cs="Arial"/>
            <w:sz w:val="20"/>
            <w:szCs w:val="20"/>
          </w:rPr>
          <w:t>JE-8/2019</w:t>
        </w:r>
      </w:hyperlink>
      <w:r w:rsidRPr="00A41623">
        <w:rPr>
          <w:rFonts w:ascii="Univers" w:hAnsi="Univers" w:cs="Arial"/>
          <w:sz w:val="20"/>
          <w:szCs w:val="20"/>
        </w:rPr>
        <w:t>)</w:t>
      </w:r>
    </w:p>
    <w:p w14:paraId="67CD1C30" w14:textId="77777777" w:rsidR="00671C3F" w:rsidRDefault="00671C3F" w:rsidP="00671C3F">
      <w:pPr>
        <w:spacing w:line="276" w:lineRule="auto"/>
        <w:ind w:left="426" w:right="616"/>
        <w:jc w:val="both"/>
        <w:rPr>
          <w:rFonts w:ascii="Univers" w:hAnsi="Univers"/>
          <w:sz w:val="20"/>
          <w:szCs w:val="20"/>
        </w:rPr>
      </w:pPr>
    </w:p>
    <w:p w14:paraId="42BF3E78" w14:textId="77777777" w:rsidR="00671C3F" w:rsidRPr="00A41623" w:rsidRDefault="00671C3F" w:rsidP="00671C3F">
      <w:pPr>
        <w:spacing w:line="276" w:lineRule="auto"/>
        <w:ind w:left="426" w:right="616"/>
        <w:jc w:val="both"/>
        <w:rPr>
          <w:rFonts w:ascii="Univers" w:hAnsi="Univers"/>
          <w:sz w:val="20"/>
          <w:szCs w:val="20"/>
        </w:rPr>
      </w:pPr>
    </w:p>
    <w:p w14:paraId="3DCC640D"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SISTEMAS NORMATIVOS INDÍGENAS</w:t>
      </w:r>
    </w:p>
    <w:p w14:paraId="6527141F"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(USOS Y COSTUMBRES)</w:t>
      </w:r>
    </w:p>
    <w:p w14:paraId="273BDB74" w14:textId="77777777" w:rsidR="00671C3F" w:rsidRPr="00A41623" w:rsidRDefault="00671C3F" w:rsidP="00671C3F">
      <w:pPr>
        <w:spacing w:line="276" w:lineRule="auto"/>
        <w:ind w:left="426" w:right="616"/>
        <w:jc w:val="both"/>
        <w:rPr>
          <w:rFonts w:ascii="Univers" w:hAnsi="Univers"/>
          <w:sz w:val="20"/>
          <w:szCs w:val="20"/>
        </w:rPr>
      </w:pPr>
    </w:p>
    <w:p w14:paraId="3E5EC416" w14:textId="77777777" w:rsidR="00671C3F" w:rsidRPr="00A41623" w:rsidRDefault="00671C3F" w:rsidP="00671C3F">
      <w:pPr>
        <w:spacing w:line="276" w:lineRule="auto"/>
        <w:ind w:left="426" w:right="567"/>
        <w:jc w:val="both"/>
        <w:rPr>
          <w:rFonts w:ascii="Univers" w:hAnsi="Univers" w:cs="Arial"/>
          <w:b/>
          <w:bCs/>
          <w:color w:val="000000"/>
          <w:sz w:val="20"/>
          <w:szCs w:val="20"/>
        </w:rPr>
      </w:pPr>
      <w:r w:rsidRPr="00A41623">
        <w:rPr>
          <w:rFonts w:ascii="Univers" w:hAnsi="Univers" w:cs="Arial"/>
          <w:b/>
          <w:color w:val="000000"/>
          <w:sz w:val="20"/>
          <w:szCs w:val="20"/>
        </w:rPr>
        <w:t>EL O LA IMPARTIDORA DE JUSTICIA, AL CONOCER UNA CONTROVERSIA QUE INVOLUCRE COMUNIDADES INDÍGENAS, ESTÁ OBLIGADO A OBTENER INFORMACIÓN DE FUENTES ADECUADAS</w:t>
      </w:r>
    </w:p>
    <w:p w14:paraId="54955CC1" w14:textId="77777777" w:rsidR="00671C3F" w:rsidRPr="00A41623" w:rsidRDefault="00671C3F" w:rsidP="00671C3F">
      <w:pPr>
        <w:spacing w:line="276" w:lineRule="auto"/>
        <w:ind w:left="426" w:right="567"/>
        <w:jc w:val="both"/>
        <w:rPr>
          <w:rFonts w:ascii="Univers" w:hAnsi="Univers" w:cs="Arial"/>
          <w:b/>
          <w:bCs/>
          <w:color w:val="000000"/>
          <w:sz w:val="20"/>
          <w:szCs w:val="20"/>
        </w:rPr>
      </w:pPr>
    </w:p>
    <w:p w14:paraId="01142D03" w14:textId="77777777" w:rsidR="00671C3F" w:rsidRPr="00A41623" w:rsidRDefault="00671C3F" w:rsidP="00671C3F">
      <w:pPr>
        <w:pStyle w:val="NormalWeb"/>
        <w:shd w:val="clear" w:color="auto" w:fill="FFFFFF"/>
        <w:spacing w:line="276" w:lineRule="auto"/>
        <w:ind w:left="426" w:right="567"/>
        <w:jc w:val="both"/>
        <w:rPr>
          <w:rFonts w:ascii="Univers" w:hAnsi="Univers" w:cs="Arial"/>
          <w:color w:val="000000"/>
          <w:sz w:val="20"/>
          <w:szCs w:val="20"/>
        </w:rPr>
      </w:pPr>
      <w:r w:rsidRPr="00A41623">
        <w:rPr>
          <w:rFonts w:ascii="Univers" w:hAnsi="Univers" w:cs="Arial"/>
          <w:b/>
          <w:color w:val="000000"/>
          <w:sz w:val="20"/>
          <w:szCs w:val="20"/>
        </w:rPr>
        <w:t xml:space="preserve">Criterio: </w:t>
      </w:r>
      <w:r w:rsidRPr="00A41623">
        <w:rPr>
          <w:rFonts w:ascii="Univers" w:hAnsi="Univers" w:cs="Arial"/>
          <w:color w:val="000000"/>
          <w:sz w:val="20"/>
          <w:szCs w:val="20"/>
        </w:rPr>
        <w:t>Al conocer una controversia en que estén involucradas personas, pueblos o comunidades indígenas, el impartidor de justicia está obligado a obtener información de fuentes adecuadas que permita conocer las instituciones y reglas vigentes del sistema normativo indígena en particular, así como valorar su contexto socio-cultural específico, con el objetivo de juzgar desde una perspectiva que atienda a las normas, principios y valores propios, en concordancia con lo establecido en la Constitución y los tratados internacionales aplicables.</w:t>
      </w:r>
      <w:r w:rsidRPr="00A41623">
        <w:rPr>
          <w:rFonts w:ascii="Univers" w:hAnsi="Univers" w:cs="Arial"/>
          <w:b/>
          <w:color w:val="000000"/>
          <w:sz w:val="20"/>
          <w:szCs w:val="20"/>
        </w:rPr>
        <w:t xml:space="preserve"> </w:t>
      </w:r>
    </w:p>
    <w:p w14:paraId="7E0F77D8" w14:textId="77777777" w:rsidR="00671C3F" w:rsidRPr="00A41623" w:rsidRDefault="00671C3F" w:rsidP="00671C3F">
      <w:pPr>
        <w:pStyle w:val="NormalWeb"/>
        <w:shd w:val="clear" w:color="auto" w:fill="FFFFFF"/>
        <w:spacing w:line="276" w:lineRule="auto"/>
        <w:ind w:left="426" w:right="567"/>
        <w:jc w:val="both"/>
        <w:rPr>
          <w:rFonts w:ascii="Univers" w:hAnsi="Univers" w:cs="Arial"/>
          <w:sz w:val="20"/>
          <w:szCs w:val="20"/>
        </w:rPr>
      </w:pPr>
    </w:p>
    <w:p w14:paraId="32759CAC" w14:textId="77777777" w:rsidR="00DC4739" w:rsidRDefault="00671C3F" w:rsidP="00671C3F">
      <w:pPr>
        <w:spacing w:line="276" w:lineRule="auto"/>
        <w:ind w:left="426" w:right="616"/>
        <w:jc w:val="both"/>
        <w:rPr>
          <w:rFonts w:ascii="Univers" w:hAnsi="Univers" w:cs="Arial"/>
          <w:sz w:val="20"/>
          <w:szCs w:val="20"/>
        </w:rPr>
      </w:pPr>
      <w:r w:rsidRPr="00A41623">
        <w:rPr>
          <w:rFonts w:ascii="Univers" w:hAnsi="Univers" w:cs="Arial"/>
          <w:sz w:val="20"/>
          <w:szCs w:val="20"/>
        </w:rPr>
        <w:t>Para garantizar un efectivo acceso a la justicia a las personas, pueblos y comunidades indígenas desde una perspectiva intercultural, resulta pertinente documentar por los medios adecuados el derecho indígena vigente en el caso en particular.</w:t>
      </w:r>
    </w:p>
    <w:p w14:paraId="65083398" w14:textId="77777777" w:rsidR="00DC4739" w:rsidRDefault="00DC4739" w:rsidP="00671C3F">
      <w:pPr>
        <w:spacing w:line="276" w:lineRule="auto"/>
        <w:ind w:left="426" w:right="616"/>
        <w:jc w:val="both"/>
        <w:rPr>
          <w:rFonts w:ascii="Univers" w:hAnsi="Univers" w:cs="Arial"/>
          <w:sz w:val="20"/>
          <w:szCs w:val="20"/>
        </w:rPr>
      </w:pPr>
    </w:p>
    <w:p w14:paraId="06B04881" w14:textId="3CC38B42" w:rsidR="00671C3F" w:rsidRPr="00A41623" w:rsidRDefault="00DC4739" w:rsidP="00671C3F">
      <w:pPr>
        <w:spacing w:line="276" w:lineRule="auto"/>
        <w:ind w:left="426" w:right="616"/>
        <w:jc w:val="both"/>
        <w:rPr>
          <w:rFonts w:ascii="Univers" w:hAnsi="Univers" w:cs="Arial"/>
          <w:bCs/>
          <w:color w:val="000000"/>
          <w:sz w:val="20"/>
          <w:szCs w:val="20"/>
        </w:rPr>
      </w:pPr>
      <w:r>
        <w:rPr>
          <w:rFonts w:ascii="Univers" w:hAnsi="Univers" w:cs="Arial"/>
          <w:sz w:val="20"/>
          <w:szCs w:val="20"/>
        </w:rPr>
        <w:t>Expediente:</w:t>
      </w:r>
      <w:r w:rsidRPr="00A41623">
        <w:rPr>
          <w:rFonts w:ascii="Univers" w:hAnsi="Univers" w:cs="Arial"/>
          <w:sz w:val="20"/>
          <w:szCs w:val="20"/>
        </w:rPr>
        <w:t xml:space="preserve"> </w:t>
      </w:r>
      <w:hyperlink r:id="rId15" w:history="1">
        <w:r w:rsidR="00671C3F" w:rsidRPr="00396331">
          <w:rPr>
            <w:rStyle w:val="Hipervnculo"/>
            <w:rFonts w:ascii="Univers" w:hAnsi="Univers" w:cs="Arial"/>
            <w:bCs/>
            <w:sz w:val="20"/>
            <w:szCs w:val="20"/>
          </w:rPr>
          <w:t>SG-JDC-216/2019</w:t>
        </w:r>
      </w:hyperlink>
    </w:p>
    <w:p w14:paraId="33DA4120" w14:textId="77777777" w:rsidR="00671C3F" w:rsidRPr="00A41623" w:rsidRDefault="00671C3F" w:rsidP="00671C3F">
      <w:pPr>
        <w:spacing w:line="276" w:lineRule="auto"/>
        <w:ind w:left="426" w:right="616"/>
        <w:jc w:val="both"/>
        <w:rPr>
          <w:rFonts w:ascii="Univers" w:hAnsi="Univers" w:cs="Arial"/>
          <w:bCs/>
          <w:color w:val="000000"/>
          <w:sz w:val="20"/>
          <w:szCs w:val="20"/>
        </w:rPr>
      </w:pPr>
    </w:p>
    <w:p w14:paraId="57012E4F" w14:textId="77777777" w:rsidR="00671C3F" w:rsidRDefault="00671C3F" w:rsidP="00671C3F">
      <w:pPr>
        <w:spacing w:line="276" w:lineRule="auto"/>
        <w:ind w:left="426" w:right="616"/>
        <w:jc w:val="both"/>
        <w:rPr>
          <w:rFonts w:ascii="Univers" w:hAnsi="Univers" w:cs="Arial"/>
          <w:bCs/>
          <w:color w:val="000000"/>
          <w:sz w:val="20"/>
          <w:szCs w:val="20"/>
        </w:rPr>
      </w:pPr>
    </w:p>
    <w:p w14:paraId="635A63B0" w14:textId="77777777" w:rsidR="00671C3F" w:rsidRPr="00A41623" w:rsidRDefault="00671C3F" w:rsidP="00671C3F">
      <w:pPr>
        <w:spacing w:line="276" w:lineRule="auto"/>
        <w:ind w:left="426" w:right="616"/>
        <w:jc w:val="both"/>
        <w:rPr>
          <w:rFonts w:ascii="Univers" w:hAnsi="Univers" w:cs="Arial"/>
          <w:bCs/>
          <w:color w:val="000000"/>
          <w:sz w:val="20"/>
          <w:szCs w:val="20"/>
        </w:rPr>
      </w:pPr>
    </w:p>
    <w:p w14:paraId="1DAF52B9"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PROCEDIMIENTO ESPECIAL SANCIONADOR</w:t>
      </w:r>
    </w:p>
    <w:p w14:paraId="6A053961" w14:textId="77777777" w:rsidR="00671C3F" w:rsidRPr="00A41623" w:rsidRDefault="00671C3F" w:rsidP="00671C3F">
      <w:pPr>
        <w:spacing w:line="276" w:lineRule="auto"/>
        <w:ind w:left="426" w:right="616"/>
        <w:jc w:val="both"/>
        <w:rPr>
          <w:rFonts w:ascii="Univers" w:hAnsi="Univers"/>
          <w:sz w:val="20"/>
          <w:szCs w:val="20"/>
          <w:highlight w:val="yellow"/>
        </w:rPr>
      </w:pPr>
    </w:p>
    <w:p w14:paraId="65772497" w14:textId="77777777" w:rsidR="00671C3F" w:rsidRPr="00A41623" w:rsidRDefault="00671C3F" w:rsidP="00671C3F">
      <w:pPr>
        <w:spacing w:line="276" w:lineRule="auto"/>
        <w:ind w:left="426" w:right="567"/>
        <w:jc w:val="both"/>
        <w:rPr>
          <w:rFonts w:ascii="Univers" w:hAnsi="Univers" w:cs="Arial"/>
          <w:b/>
          <w:bCs/>
          <w:sz w:val="20"/>
          <w:szCs w:val="20"/>
        </w:rPr>
      </w:pPr>
      <w:r w:rsidRPr="00A41623">
        <w:rPr>
          <w:rFonts w:ascii="Univers" w:hAnsi="Univers" w:cs="Arial"/>
          <w:b/>
          <w:bCs/>
          <w:sz w:val="20"/>
          <w:szCs w:val="20"/>
        </w:rPr>
        <w:t>APARICIÓN DE MENORES EN PROPAGANDA</w:t>
      </w:r>
    </w:p>
    <w:p w14:paraId="26C39358" w14:textId="77777777" w:rsidR="00671C3F" w:rsidRPr="00A41623" w:rsidRDefault="00671C3F" w:rsidP="00671C3F">
      <w:pPr>
        <w:spacing w:line="276" w:lineRule="auto"/>
        <w:ind w:left="426" w:right="567"/>
        <w:jc w:val="both"/>
        <w:rPr>
          <w:rFonts w:ascii="Univers" w:hAnsi="Univers" w:cs="Arial"/>
          <w:sz w:val="20"/>
          <w:szCs w:val="20"/>
        </w:rPr>
      </w:pPr>
    </w:p>
    <w:p w14:paraId="37F84C52" w14:textId="77777777" w:rsidR="00671C3F" w:rsidRPr="00A41623" w:rsidRDefault="00671C3F" w:rsidP="00671C3F">
      <w:pPr>
        <w:spacing w:line="276" w:lineRule="auto"/>
        <w:ind w:left="426" w:right="567"/>
        <w:jc w:val="both"/>
        <w:rPr>
          <w:rFonts w:ascii="Univers" w:hAnsi="Univers" w:cs="Arial"/>
          <w:bCs/>
          <w:sz w:val="20"/>
          <w:szCs w:val="20"/>
        </w:rPr>
      </w:pPr>
      <w:bookmarkStart w:id="0" w:name="_Hlk30701886"/>
      <w:r w:rsidRPr="00A41623">
        <w:rPr>
          <w:rFonts w:ascii="Univers" w:hAnsi="Univers" w:cs="Arial"/>
          <w:b/>
          <w:sz w:val="20"/>
          <w:szCs w:val="20"/>
        </w:rPr>
        <w:t xml:space="preserve">Criterio: </w:t>
      </w:r>
      <w:r w:rsidRPr="00A41623">
        <w:rPr>
          <w:rFonts w:ascii="Univers" w:hAnsi="Univers" w:cs="Arial"/>
          <w:sz w:val="20"/>
          <w:szCs w:val="20"/>
        </w:rPr>
        <w:t xml:space="preserve">En la sentencia emitida en el SG-JE-31/2019, el Pleno de la Sala Regional confirmó </w:t>
      </w:r>
      <w:r w:rsidRPr="00A41623">
        <w:rPr>
          <w:rFonts w:ascii="Univers" w:hAnsi="Univers" w:cs="Arial"/>
          <w:bCs/>
          <w:sz w:val="20"/>
          <w:szCs w:val="20"/>
        </w:rPr>
        <w:t>la resolución emitida en el procedimiento especial sancionador PS-39/2019, mediante la cual declaró existente la infracción atribuida, entre otros, a un candidato, por el uso indebido de la imagen y voz de una menor de edad en propaganda electoral.</w:t>
      </w:r>
    </w:p>
    <w:p w14:paraId="4B94A5DA" w14:textId="77777777" w:rsidR="00671C3F" w:rsidRPr="00A41623" w:rsidRDefault="00671C3F" w:rsidP="00671C3F">
      <w:pPr>
        <w:pStyle w:val="NormalWeb"/>
        <w:shd w:val="clear" w:color="auto" w:fill="FFFFFF"/>
        <w:spacing w:line="276" w:lineRule="auto"/>
        <w:ind w:left="426" w:right="567"/>
        <w:jc w:val="both"/>
        <w:rPr>
          <w:rFonts w:ascii="Univers" w:eastAsia="Calibri" w:hAnsi="Univers" w:cs="Arial"/>
          <w:sz w:val="20"/>
          <w:szCs w:val="20"/>
          <w:lang w:eastAsia="en-US"/>
        </w:rPr>
      </w:pPr>
    </w:p>
    <w:p w14:paraId="20AB81A7" w14:textId="77777777" w:rsidR="00DC4739" w:rsidRDefault="00671C3F" w:rsidP="00671C3F">
      <w:pPr>
        <w:spacing w:line="276" w:lineRule="auto"/>
        <w:ind w:left="426" w:right="567"/>
        <w:jc w:val="both"/>
        <w:rPr>
          <w:rFonts w:ascii="Univers" w:hAnsi="Univers" w:cs="Arial"/>
          <w:sz w:val="20"/>
          <w:szCs w:val="20"/>
        </w:rPr>
      </w:pPr>
      <w:r w:rsidRPr="00A41623">
        <w:rPr>
          <w:rFonts w:ascii="Univers" w:hAnsi="Univers" w:cs="Arial"/>
          <w:sz w:val="20"/>
          <w:szCs w:val="20"/>
        </w:rPr>
        <w:t>La Sala Regional sostuvo que el denunciado no acreditó que la menor hubiese tenido conocimiento claro de lo que podía implicar aparecer en el video que fue motivo de denuncia.</w:t>
      </w:r>
    </w:p>
    <w:p w14:paraId="6E9994E5" w14:textId="77777777" w:rsidR="00DC4739" w:rsidRDefault="00DC4739" w:rsidP="00671C3F">
      <w:pPr>
        <w:spacing w:line="276" w:lineRule="auto"/>
        <w:ind w:left="426" w:right="567"/>
        <w:jc w:val="both"/>
        <w:rPr>
          <w:rFonts w:ascii="Univers" w:hAnsi="Univers" w:cs="Arial"/>
          <w:sz w:val="20"/>
          <w:szCs w:val="20"/>
        </w:rPr>
      </w:pPr>
    </w:p>
    <w:p w14:paraId="14F1FBFF" w14:textId="2F60DC8D" w:rsidR="00671C3F" w:rsidRPr="00A41623" w:rsidRDefault="00DC4739" w:rsidP="00671C3F">
      <w:pPr>
        <w:spacing w:line="276" w:lineRule="auto"/>
        <w:ind w:left="426" w:right="567"/>
        <w:jc w:val="both"/>
        <w:rPr>
          <w:rFonts w:ascii="Univers" w:hAnsi="Univers" w:cs="Arial"/>
          <w:bCs/>
          <w:sz w:val="20"/>
          <w:szCs w:val="20"/>
        </w:rPr>
      </w:pPr>
      <w:r>
        <w:rPr>
          <w:rFonts w:ascii="Univers" w:hAnsi="Univers" w:cs="Arial"/>
          <w:sz w:val="20"/>
          <w:szCs w:val="20"/>
        </w:rPr>
        <w:t>Expediente:</w:t>
      </w:r>
      <w:r w:rsidRPr="00A41623">
        <w:rPr>
          <w:rFonts w:ascii="Univers" w:hAnsi="Univers" w:cs="Arial"/>
          <w:sz w:val="20"/>
          <w:szCs w:val="20"/>
        </w:rPr>
        <w:t xml:space="preserve"> </w:t>
      </w:r>
      <w:hyperlink r:id="rId16" w:history="1">
        <w:r w:rsidR="00671C3F" w:rsidRPr="002F1E53">
          <w:rPr>
            <w:rStyle w:val="Hipervnculo"/>
            <w:rFonts w:ascii="Univers" w:hAnsi="Univers" w:cs="Arial"/>
            <w:bCs/>
            <w:sz w:val="20"/>
            <w:szCs w:val="20"/>
          </w:rPr>
          <w:t>SG-JE-31/2019</w:t>
        </w:r>
        <w:bookmarkEnd w:id="0"/>
      </w:hyperlink>
    </w:p>
    <w:p w14:paraId="225D2135" w14:textId="77777777" w:rsidR="00671C3F" w:rsidRPr="00A41623" w:rsidRDefault="00671C3F" w:rsidP="00671C3F">
      <w:pPr>
        <w:pStyle w:val="NormalWeb"/>
        <w:shd w:val="clear" w:color="auto" w:fill="FFFFFF"/>
        <w:spacing w:line="276" w:lineRule="auto"/>
        <w:ind w:left="426" w:right="567"/>
        <w:jc w:val="both"/>
        <w:rPr>
          <w:rFonts w:ascii="Univers" w:eastAsia="Calibri" w:hAnsi="Univers" w:cs="Arial"/>
          <w:sz w:val="20"/>
          <w:szCs w:val="20"/>
          <w:lang w:eastAsia="en-US"/>
        </w:rPr>
      </w:pPr>
    </w:p>
    <w:p w14:paraId="69CFB13D" w14:textId="77777777" w:rsidR="00671C3F" w:rsidRDefault="00671C3F" w:rsidP="00671C3F">
      <w:pPr>
        <w:spacing w:line="276" w:lineRule="auto"/>
        <w:ind w:left="426" w:right="616"/>
        <w:jc w:val="both"/>
        <w:rPr>
          <w:rFonts w:ascii="Univers" w:hAnsi="Univers" w:cs="Arial"/>
          <w:bCs/>
          <w:color w:val="000000"/>
          <w:sz w:val="20"/>
          <w:szCs w:val="20"/>
        </w:rPr>
      </w:pPr>
    </w:p>
    <w:p w14:paraId="5FCF59D5" w14:textId="77777777" w:rsidR="00671C3F" w:rsidRPr="00A41623" w:rsidRDefault="00671C3F" w:rsidP="00671C3F">
      <w:pPr>
        <w:spacing w:line="276" w:lineRule="auto"/>
        <w:ind w:left="426" w:right="616"/>
        <w:jc w:val="both"/>
        <w:rPr>
          <w:rFonts w:ascii="Univers" w:hAnsi="Univers" w:cs="Arial"/>
          <w:bCs/>
          <w:color w:val="000000"/>
          <w:sz w:val="20"/>
          <w:szCs w:val="20"/>
        </w:rPr>
      </w:pPr>
    </w:p>
    <w:p w14:paraId="30B63711"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CANDIDATURAS INDEPENDIENTES</w:t>
      </w:r>
    </w:p>
    <w:p w14:paraId="596B5639" w14:textId="77777777" w:rsidR="00671C3F" w:rsidRPr="00A41623" w:rsidRDefault="00671C3F" w:rsidP="00671C3F">
      <w:pPr>
        <w:spacing w:line="276" w:lineRule="auto"/>
        <w:ind w:left="426" w:right="616"/>
        <w:jc w:val="both"/>
        <w:rPr>
          <w:rFonts w:ascii="Univers" w:hAnsi="Univers" w:cs="Arial"/>
          <w:bCs/>
          <w:color w:val="000000"/>
          <w:sz w:val="20"/>
          <w:szCs w:val="20"/>
        </w:rPr>
      </w:pPr>
    </w:p>
    <w:p w14:paraId="05D7BAC0" w14:textId="77777777" w:rsidR="00671C3F" w:rsidRPr="00A41623" w:rsidRDefault="00671C3F" w:rsidP="00671C3F">
      <w:pPr>
        <w:spacing w:line="276" w:lineRule="auto"/>
        <w:ind w:left="426" w:right="567"/>
        <w:jc w:val="both"/>
        <w:rPr>
          <w:rFonts w:ascii="Univers" w:hAnsi="Univers" w:cs="Arial"/>
          <w:b/>
          <w:bCs/>
          <w:sz w:val="20"/>
          <w:szCs w:val="20"/>
          <w:lang w:eastAsia="es-MX"/>
        </w:rPr>
      </w:pPr>
      <w:r w:rsidRPr="00A41623">
        <w:rPr>
          <w:rFonts w:ascii="Univers" w:hAnsi="Univers" w:cs="Arial"/>
          <w:b/>
          <w:sz w:val="20"/>
          <w:szCs w:val="20"/>
          <w:lang w:eastAsia="es-MX"/>
        </w:rPr>
        <w:t>AMPLIACIÓN DEL PLAZO PARA LA CAPTACIÓN DE APOYO CIUDADANO PARA UN CANDIDATO INDEPENDIENTE POR CAUSAS DE ALERTA DE UN FENÓMENO METE REOLÓGICO</w:t>
      </w:r>
    </w:p>
    <w:p w14:paraId="40241CC2" w14:textId="77777777" w:rsidR="00671C3F" w:rsidRPr="00A41623" w:rsidRDefault="00671C3F" w:rsidP="00671C3F">
      <w:pPr>
        <w:spacing w:line="276" w:lineRule="auto"/>
        <w:ind w:left="426" w:right="567"/>
        <w:jc w:val="both"/>
        <w:rPr>
          <w:rFonts w:ascii="Univers" w:hAnsi="Univers" w:cs="Arial"/>
          <w:b/>
          <w:bCs/>
          <w:sz w:val="20"/>
          <w:szCs w:val="20"/>
          <w:lang w:eastAsia="es-MX"/>
        </w:rPr>
      </w:pPr>
    </w:p>
    <w:p w14:paraId="4470237B" w14:textId="77777777" w:rsidR="00DC4739" w:rsidRDefault="00671C3F" w:rsidP="00671C3F">
      <w:pPr>
        <w:spacing w:line="276" w:lineRule="auto"/>
        <w:ind w:left="426" w:right="616"/>
        <w:jc w:val="both"/>
        <w:rPr>
          <w:rFonts w:ascii="Univers" w:hAnsi="Univers" w:cs="Arial"/>
          <w:sz w:val="20"/>
          <w:szCs w:val="20"/>
          <w:lang w:eastAsia="es-MX"/>
        </w:rPr>
      </w:pPr>
      <w:r w:rsidRPr="00A41623">
        <w:rPr>
          <w:rFonts w:ascii="Univers" w:hAnsi="Univers" w:cs="Arial"/>
          <w:b/>
          <w:sz w:val="20"/>
          <w:szCs w:val="20"/>
        </w:rPr>
        <w:t xml:space="preserve">Criterio: </w:t>
      </w:r>
      <w:r w:rsidRPr="00A41623">
        <w:rPr>
          <w:rFonts w:ascii="Univers" w:hAnsi="Univers" w:cs="Arial"/>
          <w:sz w:val="20"/>
          <w:szCs w:val="20"/>
          <w:lang w:eastAsia="es-MX"/>
        </w:rPr>
        <w:t xml:space="preserve">La Sala Regional sostuvo que </w:t>
      </w:r>
      <w:bookmarkStart w:id="1" w:name="_Hlk24561741"/>
      <w:r w:rsidRPr="00A41623">
        <w:rPr>
          <w:rFonts w:ascii="Univers" w:hAnsi="Univers" w:cs="Arial"/>
          <w:sz w:val="20"/>
          <w:szCs w:val="20"/>
          <w:lang w:eastAsia="es-MX"/>
        </w:rPr>
        <w:t>la disminución en la captación de apoyo ciudadano de un aspirante a candidato independiente a Presidente Municipal, durante un periodo en el que en el municipio se emitió una fase de alerta por un fenómeno meteorológico, constituye una causa ajena al aspirante, por lo que procede ordenar la ampliación del plazo para recabar firmas.</w:t>
      </w:r>
      <w:bookmarkEnd w:id="1"/>
    </w:p>
    <w:p w14:paraId="1D0DF9D5" w14:textId="77777777" w:rsidR="00DC4739" w:rsidRDefault="00DC4739" w:rsidP="00671C3F">
      <w:pPr>
        <w:spacing w:line="276" w:lineRule="auto"/>
        <w:ind w:left="426" w:right="616"/>
        <w:jc w:val="both"/>
        <w:rPr>
          <w:rFonts w:ascii="Univers" w:hAnsi="Univers" w:cs="Arial"/>
          <w:sz w:val="20"/>
          <w:szCs w:val="20"/>
          <w:lang w:eastAsia="es-MX"/>
        </w:rPr>
      </w:pPr>
    </w:p>
    <w:p w14:paraId="3C36132E" w14:textId="424D2196" w:rsidR="00671C3F" w:rsidRPr="00A41623" w:rsidRDefault="00DC4739" w:rsidP="00671C3F">
      <w:pPr>
        <w:spacing w:line="276" w:lineRule="auto"/>
        <w:ind w:left="426" w:right="616"/>
        <w:jc w:val="both"/>
        <w:rPr>
          <w:rFonts w:ascii="Univers" w:hAnsi="Univers" w:cs="Arial"/>
          <w:bCs/>
          <w:sz w:val="20"/>
          <w:szCs w:val="20"/>
          <w:lang w:eastAsia="es-MX"/>
        </w:rPr>
      </w:pPr>
      <w:r>
        <w:rPr>
          <w:rFonts w:ascii="Univers" w:hAnsi="Univers" w:cs="Arial"/>
          <w:sz w:val="20"/>
          <w:szCs w:val="20"/>
        </w:rPr>
        <w:t>Expediente:</w:t>
      </w:r>
      <w:r w:rsidRPr="00A41623">
        <w:rPr>
          <w:rFonts w:ascii="Univers" w:hAnsi="Univers" w:cs="Arial"/>
          <w:sz w:val="20"/>
          <w:szCs w:val="20"/>
          <w:lang w:eastAsia="es-MX"/>
        </w:rPr>
        <w:t xml:space="preserve"> </w:t>
      </w:r>
      <w:hyperlink r:id="rId17" w:history="1">
        <w:r w:rsidR="00671C3F" w:rsidRPr="00353EED">
          <w:rPr>
            <w:rStyle w:val="Hipervnculo"/>
            <w:rFonts w:ascii="Univers" w:hAnsi="Univers" w:cs="Arial"/>
            <w:bCs/>
            <w:sz w:val="20"/>
            <w:szCs w:val="20"/>
            <w:lang w:eastAsia="es-MX"/>
          </w:rPr>
          <w:t>SG-JDC-37/2019</w:t>
        </w:r>
      </w:hyperlink>
    </w:p>
    <w:p w14:paraId="018AAB66" w14:textId="77777777" w:rsidR="00671C3F" w:rsidRDefault="00671C3F" w:rsidP="00671C3F">
      <w:pPr>
        <w:spacing w:line="276" w:lineRule="auto"/>
        <w:ind w:left="426" w:right="616"/>
        <w:jc w:val="both"/>
        <w:rPr>
          <w:rFonts w:ascii="Univers" w:hAnsi="Univers"/>
          <w:sz w:val="20"/>
          <w:szCs w:val="20"/>
        </w:rPr>
      </w:pPr>
    </w:p>
    <w:p w14:paraId="3FDE19CF" w14:textId="77777777" w:rsidR="00671C3F" w:rsidRPr="00A41623" w:rsidRDefault="00671C3F" w:rsidP="00671C3F">
      <w:pPr>
        <w:spacing w:line="276" w:lineRule="auto"/>
        <w:ind w:left="426" w:right="616"/>
        <w:jc w:val="both"/>
        <w:rPr>
          <w:rFonts w:ascii="Univers" w:hAnsi="Univers"/>
          <w:sz w:val="20"/>
          <w:szCs w:val="20"/>
        </w:rPr>
      </w:pPr>
    </w:p>
    <w:p w14:paraId="4690E50E"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ACCESO Y EJERCICIO AL CARGO</w:t>
      </w:r>
    </w:p>
    <w:p w14:paraId="3FB01AA2" w14:textId="77777777" w:rsidR="00671C3F" w:rsidRPr="00A41623" w:rsidRDefault="00671C3F" w:rsidP="00671C3F">
      <w:pPr>
        <w:spacing w:line="276" w:lineRule="auto"/>
        <w:ind w:left="426" w:right="616"/>
        <w:jc w:val="both"/>
        <w:rPr>
          <w:rFonts w:ascii="Univers" w:hAnsi="Univers"/>
          <w:sz w:val="20"/>
          <w:szCs w:val="20"/>
        </w:rPr>
      </w:pPr>
    </w:p>
    <w:p w14:paraId="61FA9CCE" w14:textId="77777777" w:rsidR="00671C3F" w:rsidRPr="00A41623" w:rsidRDefault="00671C3F" w:rsidP="00671C3F">
      <w:pPr>
        <w:spacing w:line="276" w:lineRule="auto"/>
        <w:ind w:left="426" w:right="567"/>
        <w:jc w:val="both"/>
        <w:rPr>
          <w:rFonts w:ascii="Univers" w:hAnsi="Univers" w:cs="Arial"/>
          <w:b/>
          <w:bCs/>
          <w:sz w:val="20"/>
          <w:szCs w:val="20"/>
        </w:rPr>
      </w:pPr>
      <w:r w:rsidRPr="00A41623">
        <w:rPr>
          <w:rFonts w:ascii="Univers" w:hAnsi="Univers" w:cs="Arial"/>
          <w:b/>
          <w:sz w:val="20"/>
          <w:szCs w:val="20"/>
        </w:rPr>
        <w:lastRenderedPageBreak/>
        <w:t>LA TARDANZA DEL TRIBUNAL DE CONCILIACIÓN Y ARBITRAJE DE NAYARIT PARA DECLARARSE INCOMPETENTE NO ES IMPUTABLE A LA ACTORA PARA EXIGIR EL PAGO DE LAS PRESTACIONES INHERENTES AL CARGO</w:t>
      </w:r>
    </w:p>
    <w:p w14:paraId="665E7083" w14:textId="77777777" w:rsidR="00671C3F" w:rsidRPr="00A41623" w:rsidRDefault="00671C3F" w:rsidP="00671C3F">
      <w:pPr>
        <w:tabs>
          <w:tab w:val="left" w:pos="6521"/>
        </w:tabs>
        <w:spacing w:line="276" w:lineRule="auto"/>
        <w:ind w:left="426" w:right="567"/>
        <w:jc w:val="both"/>
        <w:rPr>
          <w:rFonts w:ascii="Univers" w:hAnsi="Univers" w:cs="Arial"/>
          <w:b/>
          <w:sz w:val="20"/>
          <w:szCs w:val="20"/>
        </w:rPr>
      </w:pPr>
    </w:p>
    <w:p w14:paraId="500F3E16" w14:textId="77777777" w:rsidR="00671C3F" w:rsidRPr="00A41623" w:rsidRDefault="00671C3F" w:rsidP="00671C3F">
      <w:pPr>
        <w:spacing w:line="276" w:lineRule="auto"/>
        <w:ind w:left="426" w:right="616"/>
        <w:jc w:val="both"/>
        <w:rPr>
          <w:rFonts w:ascii="Univers" w:hAnsi="Univers" w:cs="Arial"/>
          <w:sz w:val="20"/>
          <w:szCs w:val="20"/>
        </w:rPr>
      </w:pPr>
      <w:r w:rsidRPr="00A41623">
        <w:rPr>
          <w:rFonts w:ascii="Univers" w:hAnsi="Univers" w:cs="Arial"/>
          <w:b/>
          <w:sz w:val="20"/>
          <w:szCs w:val="20"/>
        </w:rPr>
        <w:t xml:space="preserve">Criterio: </w:t>
      </w:r>
      <w:r w:rsidRPr="00A41623">
        <w:rPr>
          <w:rFonts w:ascii="Univers" w:hAnsi="Univers" w:cs="Arial"/>
          <w:sz w:val="20"/>
          <w:szCs w:val="20"/>
        </w:rPr>
        <w:t>La Sala Regional sostuvo que la tardanza de casi siete años del Tribunal de Conciliación y Arbitraje de Nayarit para declararse incompetente no es imputable a la actora para exigir el pago de las prestaciones inherentes al cargo de Regidora en el Ayuntamiento de Acaponeta, Nayarit.</w:t>
      </w:r>
    </w:p>
    <w:p w14:paraId="73CDAC6E" w14:textId="77777777" w:rsidR="00671C3F" w:rsidRPr="00A41623" w:rsidRDefault="00671C3F" w:rsidP="00671C3F">
      <w:pPr>
        <w:spacing w:line="276" w:lineRule="auto"/>
        <w:ind w:left="426" w:right="616"/>
        <w:jc w:val="both"/>
        <w:rPr>
          <w:rFonts w:ascii="Univers" w:hAnsi="Univers" w:cs="Arial"/>
          <w:sz w:val="20"/>
          <w:szCs w:val="20"/>
        </w:rPr>
      </w:pPr>
    </w:p>
    <w:p w14:paraId="345CDB04" w14:textId="77777777" w:rsidR="00DC4739" w:rsidRDefault="00671C3F" w:rsidP="00671C3F">
      <w:pPr>
        <w:spacing w:line="276" w:lineRule="auto"/>
        <w:ind w:left="426" w:right="616"/>
        <w:jc w:val="both"/>
        <w:rPr>
          <w:rFonts w:ascii="Univers" w:hAnsi="Univers" w:cs="Arial"/>
          <w:sz w:val="20"/>
          <w:szCs w:val="20"/>
        </w:rPr>
      </w:pPr>
      <w:r w:rsidRPr="00A41623">
        <w:rPr>
          <w:rFonts w:ascii="Univers" w:hAnsi="Univers" w:cs="Arial"/>
          <w:sz w:val="20"/>
          <w:szCs w:val="20"/>
        </w:rPr>
        <w:t>Ello, pues cuando presentó su primera demanda en el dos mil once, contaba con un año para reclamar sus prerrogativas en términos de la jurisprudencia 22/2014 de rubro “</w:t>
      </w:r>
      <w:r w:rsidRPr="00A41623">
        <w:rPr>
          <w:rFonts w:ascii="Univers" w:hAnsi="Univers" w:cs="Arial"/>
          <w:b/>
          <w:sz w:val="20"/>
          <w:szCs w:val="20"/>
        </w:rPr>
        <w:t>DIETAS Y RETRIBUCIONES. EL PLAZO DE UN AÑO CONTADO A PARTIR DE LA CONCLUSIÓN DEL CARGO DE ELECCIÓN POPULAR, ES RAZONABLE PARA EXTINGUIR EL DERECHO DE ACCIÓN PARA RECLAMARLAS (LEGISLACIÓN DEL ESTADO DE MÉXICO Y SIMILARES)</w:t>
      </w:r>
      <w:r w:rsidRPr="00A41623">
        <w:rPr>
          <w:rFonts w:ascii="Univers" w:hAnsi="Univers" w:cs="Arial"/>
          <w:sz w:val="20"/>
          <w:szCs w:val="20"/>
        </w:rPr>
        <w:t>”.</w:t>
      </w:r>
    </w:p>
    <w:p w14:paraId="694B0763" w14:textId="77777777" w:rsidR="00DC4739" w:rsidRDefault="00DC4739" w:rsidP="00671C3F">
      <w:pPr>
        <w:spacing w:line="276" w:lineRule="auto"/>
        <w:ind w:left="426" w:right="616"/>
        <w:jc w:val="both"/>
        <w:rPr>
          <w:rFonts w:ascii="Univers" w:hAnsi="Univers" w:cs="Arial"/>
          <w:sz w:val="20"/>
          <w:szCs w:val="20"/>
        </w:rPr>
      </w:pPr>
    </w:p>
    <w:p w14:paraId="7E67401F" w14:textId="43E268BF" w:rsidR="00671C3F" w:rsidRPr="00A41623" w:rsidRDefault="00DC4739" w:rsidP="00671C3F">
      <w:pPr>
        <w:spacing w:line="276" w:lineRule="auto"/>
        <w:ind w:left="426" w:right="616"/>
        <w:jc w:val="both"/>
        <w:rPr>
          <w:rFonts w:ascii="Univers" w:hAnsi="Univers" w:cs="Arial"/>
          <w:bCs/>
          <w:sz w:val="20"/>
          <w:szCs w:val="20"/>
        </w:rPr>
      </w:pPr>
      <w:r>
        <w:rPr>
          <w:rFonts w:ascii="Univers" w:hAnsi="Univers" w:cs="Arial"/>
          <w:sz w:val="20"/>
          <w:szCs w:val="20"/>
        </w:rPr>
        <w:t>Expediente:</w:t>
      </w:r>
      <w:r w:rsidRPr="00A41623">
        <w:rPr>
          <w:rFonts w:ascii="Univers" w:hAnsi="Univers" w:cs="Arial"/>
          <w:sz w:val="20"/>
          <w:szCs w:val="20"/>
        </w:rPr>
        <w:t xml:space="preserve"> </w:t>
      </w:r>
      <w:hyperlink r:id="rId18" w:history="1">
        <w:r w:rsidR="00671C3F" w:rsidRPr="008D5B7B">
          <w:rPr>
            <w:rStyle w:val="Hipervnculo"/>
            <w:rFonts w:ascii="Univers" w:hAnsi="Univers" w:cs="Arial"/>
            <w:bCs/>
            <w:sz w:val="20"/>
            <w:szCs w:val="20"/>
          </w:rPr>
          <w:t>SG-JE-7</w:t>
        </w:r>
        <w:r w:rsidR="00671C3F" w:rsidRPr="008D5B7B">
          <w:rPr>
            <w:rStyle w:val="Hipervnculo"/>
            <w:rFonts w:ascii="Univers" w:hAnsi="Univers" w:cs="Arial"/>
            <w:bCs/>
            <w:sz w:val="20"/>
            <w:szCs w:val="20"/>
          </w:rPr>
          <w:t>/</w:t>
        </w:r>
        <w:r w:rsidR="00671C3F" w:rsidRPr="008D5B7B">
          <w:rPr>
            <w:rStyle w:val="Hipervnculo"/>
            <w:rFonts w:ascii="Univers" w:hAnsi="Univers" w:cs="Arial"/>
            <w:bCs/>
            <w:sz w:val="20"/>
            <w:szCs w:val="20"/>
          </w:rPr>
          <w:t>2019</w:t>
        </w:r>
      </w:hyperlink>
    </w:p>
    <w:p w14:paraId="5A13D953" w14:textId="77777777" w:rsidR="00671C3F" w:rsidRPr="00A41623" w:rsidRDefault="00671C3F" w:rsidP="00671C3F">
      <w:pPr>
        <w:spacing w:line="276" w:lineRule="auto"/>
        <w:ind w:left="426" w:right="616"/>
        <w:jc w:val="both"/>
        <w:rPr>
          <w:rFonts w:ascii="Univers" w:hAnsi="Univers" w:cs="Arial"/>
          <w:bCs/>
          <w:sz w:val="20"/>
          <w:szCs w:val="20"/>
        </w:rPr>
      </w:pPr>
    </w:p>
    <w:p w14:paraId="46852CEE"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sz w:val="20"/>
          <w:szCs w:val="20"/>
        </w:rPr>
        <w:t>MOMENTO EN QUE SE ESTÁ LEGITIMADO PARA CONTROVERTIR CUESTIONES RELACIONADAS CON LA TOMA DE PROTESTA</w:t>
      </w:r>
    </w:p>
    <w:p w14:paraId="7E196FE3" w14:textId="77777777" w:rsidR="00671C3F" w:rsidRPr="00A41623" w:rsidRDefault="00671C3F" w:rsidP="00671C3F">
      <w:pPr>
        <w:spacing w:line="276" w:lineRule="auto"/>
        <w:ind w:left="426" w:right="567"/>
        <w:jc w:val="both"/>
        <w:rPr>
          <w:rFonts w:ascii="Univers" w:hAnsi="Univers" w:cs="Arial"/>
          <w:b/>
          <w:sz w:val="20"/>
          <w:szCs w:val="20"/>
        </w:rPr>
      </w:pPr>
    </w:p>
    <w:p w14:paraId="30E657F8" w14:textId="77777777" w:rsidR="00DC4739" w:rsidRDefault="00671C3F" w:rsidP="00671C3F">
      <w:pPr>
        <w:spacing w:line="276" w:lineRule="auto"/>
        <w:ind w:left="426" w:right="616"/>
        <w:jc w:val="both"/>
        <w:rPr>
          <w:rFonts w:ascii="Univers" w:hAnsi="Univers" w:cs="Arial"/>
          <w:sz w:val="20"/>
          <w:szCs w:val="20"/>
        </w:rPr>
      </w:pPr>
      <w:r w:rsidRPr="00A41623">
        <w:rPr>
          <w:rFonts w:ascii="Univers" w:hAnsi="Univers" w:cs="Arial"/>
          <w:b/>
          <w:sz w:val="20"/>
          <w:szCs w:val="20"/>
        </w:rPr>
        <w:t>Criterio:</w:t>
      </w:r>
      <w:r w:rsidRPr="00A41623">
        <w:rPr>
          <w:rFonts w:ascii="Univers" w:hAnsi="Univers" w:cs="Arial"/>
          <w:sz w:val="20"/>
          <w:szCs w:val="20"/>
        </w:rPr>
        <w:t xml:space="preserve"> La toma de protesta de un cargo de elección popular, constituye el momento en el que se materializa el derecho para su ejercicio (vertiente del derecho de voto pasivo) y es a partir de entonces cuando su titular está legitimado para controvertir cuestiones relacionadas con ese derecho, sin que ello autorice que pueda controvertir acuerdos o resoluciones emitidos con anterioridad a la referida toma de protesta.</w:t>
      </w:r>
    </w:p>
    <w:p w14:paraId="0FC98C5B" w14:textId="77777777" w:rsidR="00DC4739" w:rsidRDefault="00DC4739" w:rsidP="00671C3F">
      <w:pPr>
        <w:spacing w:line="276" w:lineRule="auto"/>
        <w:ind w:left="426" w:right="616"/>
        <w:jc w:val="both"/>
        <w:rPr>
          <w:rFonts w:ascii="Univers" w:hAnsi="Univers" w:cs="Arial"/>
          <w:sz w:val="20"/>
          <w:szCs w:val="20"/>
        </w:rPr>
      </w:pPr>
    </w:p>
    <w:p w14:paraId="421A2892" w14:textId="57A1E9F3" w:rsidR="00671C3F" w:rsidRPr="00A41623" w:rsidRDefault="00DC4739" w:rsidP="00671C3F">
      <w:pPr>
        <w:spacing w:line="276" w:lineRule="auto"/>
        <w:ind w:left="426" w:right="616"/>
        <w:jc w:val="both"/>
        <w:rPr>
          <w:rFonts w:ascii="Univers" w:hAnsi="Univers" w:cs="Arial"/>
          <w:bCs/>
          <w:sz w:val="20"/>
          <w:szCs w:val="20"/>
        </w:rPr>
      </w:pPr>
      <w:r>
        <w:rPr>
          <w:rFonts w:ascii="Univers" w:hAnsi="Univers" w:cs="Arial"/>
          <w:sz w:val="20"/>
          <w:szCs w:val="20"/>
        </w:rPr>
        <w:t>Expediente:</w:t>
      </w:r>
      <w:r w:rsidRPr="00A41623">
        <w:rPr>
          <w:rFonts w:ascii="Univers" w:hAnsi="Univers" w:cs="Arial"/>
          <w:sz w:val="20"/>
          <w:szCs w:val="20"/>
        </w:rPr>
        <w:t xml:space="preserve"> </w:t>
      </w:r>
      <w:hyperlink r:id="rId19" w:history="1">
        <w:r w:rsidR="00671C3F" w:rsidRPr="008D5B7B">
          <w:rPr>
            <w:rStyle w:val="Hipervnculo"/>
            <w:rFonts w:ascii="Univers" w:hAnsi="Univers" w:cs="Arial"/>
            <w:sz w:val="20"/>
            <w:szCs w:val="20"/>
          </w:rPr>
          <w:t>SG-JDC-107/2019</w:t>
        </w:r>
      </w:hyperlink>
    </w:p>
    <w:p w14:paraId="009334A5" w14:textId="77777777" w:rsidR="00671C3F" w:rsidRDefault="00671C3F" w:rsidP="00671C3F">
      <w:pPr>
        <w:spacing w:line="276" w:lineRule="auto"/>
        <w:ind w:left="426" w:right="616"/>
        <w:jc w:val="both"/>
        <w:rPr>
          <w:rFonts w:ascii="Univers" w:hAnsi="Univers" w:cs="Arial"/>
          <w:bCs/>
          <w:sz w:val="20"/>
          <w:szCs w:val="20"/>
        </w:rPr>
      </w:pPr>
    </w:p>
    <w:p w14:paraId="2A575BFC" w14:textId="77777777" w:rsidR="00671C3F" w:rsidRPr="00A41623" w:rsidRDefault="00671C3F" w:rsidP="00671C3F">
      <w:pPr>
        <w:spacing w:line="276" w:lineRule="auto"/>
        <w:ind w:left="426" w:right="616"/>
        <w:jc w:val="both"/>
        <w:rPr>
          <w:rFonts w:ascii="Univers" w:hAnsi="Univers" w:cs="Arial"/>
          <w:bCs/>
          <w:sz w:val="20"/>
          <w:szCs w:val="20"/>
        </w:rPr>
      </w:pPr>
    </w:p>
    <w:p w14:paraId="7470954E"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COALICIÓN, ALIANZA O CANDIDATURA COMÚN</w:t>
      </w:r>
    </w:p>
    <w:p w14:paraId="1E1CD6F9" w14:textId="77777777" w:rsidR="00671C3F" w:rsidRPr="00A41623" w:rsidRDefault="00671C3F" w:rsidP="00671C3F">
      <w:pPr>
        <w:spacing w:line="276" w:lineRule="auto"/>
        <w:ind w:left="426" w:right="616"/>
        <w:jc w:val="both"/>
        <w:rPr>
          <w:rFonts w:ascii="Univers" w:hAnsi="Univers"/>
          <w:sz w:val="20"/>
          <w:szCs w:val="20"/>
        </w:rPr>
      </w:pPr>
    </w:p>
    <w:p w14:paraId="536FD377"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sz w:val="20"/>
          <w:szCs w:val="20"/>
        </w:rPr>
        <w:t>VALOR PROBATORIO DE DOCUMENTOS PARTIDISTAS SOBRE AUTORIZACIÓN DE ALIANZAS ELECTORALES</w:t>
      </w:r>
    </w:p>
    <w:p w14:paraId="0410613D" w14:textId="77777777" w:rsidR="00671C3F" w:rsidRPr="00A41623" w:rsidRDefault="00671C3F" w:rsidP="00671C3F">
      <w:pPr>
        <w:spacing w:line="276" w:lineRule="auto"/>
        <w:ind w:left="426" w:right="567"/>
        <w:jc w:val="both"/>
        <w:rPr>
          <w:rFonts w:ascii="Univers" w:hAnsi="Univers" w:cs="Arial"/>
          <w:b/>
          <w:sz w:val="20"/>
          <w:szCs w:val="20"/>
        </w:rPr>
      </w:pPr>
    </w:p>
    <w:p w14:paraId="036F0EF2" w14:textId="77777777" w:rsidR="00671C3F" w:rsidRPr="00A41623" w:rsidRDefault="00671C3F" w:rsidP="00671C3F">
      <w:pPr>
        <w:spacing w:line="276" w:lineRule="auto"/>
        <w:ind w:left="426" w:right="567"/>
        <w:jc w:val="both"/>
        <w:rPr>
          <w:rFonts w:ascii="Univers" w:hAnsi="Univers" w:cs="Arial"/>
          <w:sz w:val="20"/>
          <w:szCs w:val="20"/>
        </w:rPr>
      </w:pPr>
      <w:r w:rsidRPr="00A41623">
        <w:rPr>
          <w:rFonts w:ascii="Univers" w:hAnsi="Univers" w:cs="Arial"/>
          <w:b/>
          <w:sz w:val="20"/>
          <w:szCs w:val="20"/>
        </w:rPr>
        <w:t xml:space="preserve">Criterio: </w:t>
      </w:r>
      <w:r w:rsidRPr="00A41623">
        <w:rPr>
          <w:rFonts w:ascii="Univers" w:hAnsi="Univers" w:cs="Arial"/>
          <w:sz w:val="20"/>
          <w:szCs w:val="20"/>
        </w:rPr>
        <w:t xml:space="preserve">La Sala Regional sostuvo que la documentación allegada por las partes era insuficiente para demostrar que el órgano partidista competente para establecer las políticas de alianza y participación con otros partidos en el proceso electoral local de Durango autorizó celebrar convenio de </w:t>
      </w:r>
      <w:bookmarkStart w:id="2" w:name="_Hlk30702058"/>
      <w:r w:rsidRPr="00A41623">
        <w:rPr>
          <w:rFonts w:ascii="Univers" w:hAnsi="Univers" w:cs="Arial"/>
          <w:sz w:val="20"/>
          <w:szCs w:val="20"/>
        </w:rPr>
        <w:t>coalición, alianza o candidatura común</w:t>
      </w:r>
      <w:bookmarkEnd w:id="2"/>
      <w:r w:rsidRPr="00A41623">
        <w:rPr>
          <w:rFonts w:ascii="Univers" w:hAnsi="Univers" w:cs="Arial"/>
          <w:sz w:val="20"/>
          <w:szCs w:val="20"/>
        </w:rPr>
        <w:t xml:space="preserve"> con alguna otra fuerza política.</w:t>
      </w:r>
    </w:p>
    <w:p w14:paraId="569D0CB7" w14:textId="77777777" w:rsidR="00671C3F" w:rsidRPr="00A41623" w:rsidRDefault="00671C3F" w:rsidP="00671C3F">
      <w:pPr>
        <w:pStyle w:val="NormalWeb"/>
        <w:shd w:val="clear" w:color="auto" w:fill="FFFFFF"/>
        <w:spacing w:line="276" w:lineRule="auto"/>
        <w:ind w:left="426" w:right="567"/>
        <w:jc w:val="both"/>
        <w:rPr>
          <w:rFonts w:ascii="Univers" w:eastAsia="Calibri" w:hAnsi="Univers" w:cs="Arial"/>
          <w:sz w:val="20"/>
          <w:szCs w:val="20"/>
          <w:lang w:eastAsia="en-US"/>
        </w:rPr>
      </w:pPr>
    </w:p>
    <w:p w14:paraId="61FDA82A" w14:textId="77777777" w:rsidR="00DC4739" w:rsidRDefault="00671C3F" w:rsidP="00671C3F">
      <w:pPr>
        <w:spacing w:line="276" w:lineRule="auto"/>
        <w:ind w:left="426" w:right="616"/>
        <w:jc w:val="both"/>
        <w:rPr>
          <w:rFonts w:ascii="Univers" w:hAnsi="Univers" w:cs="Arial"/>
          <w:sz w:val="20"/>
          <w:szCs w:val="20"/>
        </w:rPr>
      </w:pPr>
      <w:r w:rsidRPr="00A41623">
        <w:rPr>
          <w:rFonts w:ascii="Univers" w:hAnsi="Univers" w:cs="Arial"/>
          <w:sz w:val="20"/>
          <w:szCs w:val="20"/>
        </w:rPr>
        <w:t>Para tal efecto, el tema toral consistió en una valoración de pruebas, las que tuvieron que demeritarse una contra otra para arribar a una conclusión de mayor eficacia probatoria.</w:t>
      </w:r>
    </w:p>
    <w:p w14:paraId="5B292B5F" w14:textId="77777777" w:rsidR="00DC4739" w:rsidRDefault="00DC4739" w:rsidP="00671C3F">
      <w:pPr>
        <w:spacing w:line="276" w:lineRule="auto"/>
        <w:ind w:left="426" w:right="616"/>
        <w:jc w:val="both"/>
        <w:rPr>
          <w:rFonts w:ascii="Univers" w:hAnsi="Univers" w:cs="Arial"/>
          <w:sz w:val="20"/>
          <w:szCs w:val="20"/>
        </w:rPr>
      </w:pPr>
    </w:p>
    <w:p w14:paraId="5571CCBA" w14:textId="57D3A5DC" w:rsidR="00671C3F" w:rsidRPr="00A41623" w:rsidRDefault="00DC4739" w:rsidP="00671C3F">
      <w:pPr>
        <w:spacing w:line="276" w:lineRule="auto"/>
        <w:ind w:left="426" w:right="616"/>
        <w:jc w:val="both"/>
        <w:rPr>
          <w:rFonts w:ascii="Univers" w:hAnsi="Univers" w:cs="Arial"/>
          <w:sz w:val="20"/>
          <w:szCs w:val="20"/>
        </w:rPr>
      </w:pPr>
      <w:r>
        <w:rPr>
          <w:rFonts w:ascii="Univers" w:hAnsi="Univers" w:cs="Arial"/>
          <w:sz w:val="20"/>
          <w:szCs w:val="20"/>
        </w:rPr>
        <w:t xml:space="preserve">Expediente: </w:t>
      </w:r>
      <w:hyperlink r:id="rId20" w:history="1">
        <w:r w:rsidR="00671C3F" w:rsidRPr="00FD1EBB">
          <w:rPr>
            <w:rStyle w:val="Hipervnculo"/>
            <w:rFonts w:ascii="Univers" w:hAnsi="Univers" w:cs="Arial"/>
            <w:sz w:val="20"/>
            <w:szCs w:val="20"/>
          </w:rPr>
          <w:t>SG-JRC-19/</w:t>
        </w:r>
        <w:r w:rsidR="00671C3F" w:rsidRPr="00FD1EBB">
          <w:rPr>
            <w:rStyle w:val="Hipervnculo"/>
            <w:rFonts w:ascii="Univers" w:hAnsi="Univers" w:cs="Arial"/>
            <w:sz w:val="20"/>
            <w:szCs w:val="20"/>
          </w:rPr>
          <w:t>2</w:t>
        </w:r>
        <w:r w:rsidR="00671C3F" w:rsidRPr="00FD1EBB">
          <w:rPr>
            <w:rStyle w:val="Hipervnculo"/>
            <w:rFonts w:ascii="Univers" w:hAnsi="Univers" w:cs="Arial"/>
            <w:sz w:val="20"/>
            <w:szCs w:val="20"/>
          </w:rPr>
          <w:t>019</w:t>
        </w:r>
      </w:hyperlink>
      <w:r w:rsidR="00671C3F" w:rsidRPr="00A41623">
        <w:rPr>
          <w:rFonts w:ascii="Univers" w:hAnsi="Univers" w:cs="Arial"/>
          <w:sz w:val="20"/>
          <w:szCs w:val="20"/>
        </w:rPr>
        <w:t xml:space="preserve"> y acumulado</w:t>
      </w:r>
    </w:p>
    <w:p w14:paraId="09C7E705" w14:textId="77777777" w:rsidR="00671C3F" w:rsidRDefault="00671C3F" w:rsidP="00671C3F">
      <w:pPr>
        <w:spacing w:line="276" w:lineRule="auto"/>
        <w:ind w:left="426" w:right="616"/>
        <w:jc w:val="both"/>
        <w:rPr>
          <w:rFonts w:ascii="Univers" w:hAnsi="Univers" w:cs="Arial"/>
          <w:sz w:val="20"/>
          <w:szCs w:val="20"/>
        </w:rPr>
      </w:pPr>
    </w:p>
    <w:p w14:paraId="54F6706D" w14:textId="77777777" w:rsidR="00671C3F" w:rsidRPr="00A41623" w:rsidRDefault="00671C3F" w:rsidP="00671C3F">
      <w:pPr>
        <w:spacing w:line="276" w:lineRule="auto"/>
        <w:ind w:left="426" w:right="616"/>
        <w:jc w:val="both"/>
        <w:rPr>
          <w:rFonts w:ascii="Univers" w:hAnsi="Univers" w:cs="Arial"/>
          <w:sz w:val="20"/>
          <w:szCs w:val="20"/>
        </w:rPr>
      </w:pPr>
    </w:p>
    <w:p w14:paraId="0D43D5A0" w14:textId="77777777" w:rsidR="00671C3F" w:rsidRPr="00A41623" w:rsidRDefault="00671C3F" w:rsidP="00671C3F">
      <w:pPr>
        <w:spacing w:line="276" w:lineRule="auto"/>
        <w:ind w:left="426" w:right="616"/>
        <w:jc w:val="center"/>
        <w:rPr>
          <w:rFonts w:ascii="Univers" w:hAnsi="Univers"/>
          <w:b/>
          <w:sz w:val="22"/>
          <w:szCs w:val="22"/>
          <w:u w:val="single"/>
        </w:rPr>
      </w:pPr>
      <w:r w:rsidRPr="00A41623">
        <w:rPr>
          <w:rFonts w:ascii="Univers" w:hAnsi="Univers"/>
          <w:b/>
          <w:sz w:val="22"/>
          <w:szCs w:val="22"/>
          <w:u w:val="single"/>
        </w:rPr>
        <w:t>REPRESENTACIÓN PROPORCIONAL</w:t>
      </w:r>
    </w:p>
    <w:p w14:paraId="7E670E4C" w14:textId="77777777" w:rsidR="00671C3F" w:rsidRPr="00A41623" w:rsidRDefault="00671C3F" w:rsidP="00671C3F">
      <w:pPr>
        <w:spacing w:line="276" w:lineRule="auto"/>
        <w:ind w:left="426" w:right="616"/>
        <w:jc w:val="both"/>
        <w:rPr>
          <w:rFonts w:ascii="Univers" w:hAnsi="Univers"/>
          <w:sz w:val="20"/>
          <w:szCs w:val="20"/>
        </w:rPr>
      </w:pPr>
    </w:p>
    <w:p w14:paraId="529C7C22" w14:textId="77777777" w:rsidR="00671C3F" w:rsidRPr="00A41623" w:rsidRDefault="00671C3F" w:rsidP="00671C3F">
      <w:pPr>
        <w:spacing w:line="276" w:lineRule="auto"/>
        <w:ind w:left="426" w:right="567"/>
        <w:jc w:val="both"/>
        <w:rPr>
          <w:rFonts w:ascii="Univers" w:hAnsi="Univers" w:cs="Arial"/>
          <w:b/>
          <w:sz w:val="20"/>
          <w:szCs w:val="20"/>
        </w:rPr>
      </w:pPr>
      <w:r w:rsidRPr="00A41623">
        <w:rPr>
          <w:rFonts w:ascii="Univers" w:hAnsi="Univers" w:cs="Arial"/>
          <w:b/>
          <w:sz w:val="20"/>
          <w:szCs w:val="20"/>
        </w:rPr>
        <w:t>ASIGNACIÓN DE REGIDURÍAS DE REPRESENTACIÓN PROPORCIONAL CUANDO LOS PARTIDOS PARTICIPAN EN COALICIÓN.</w:t>
      </w:r>
    </w:p>
    <w:p w14:paraId="58530E60" w14:textId="77777777" w:rsidR="00671C3F" w:rsidRPr="00A41623" w:rsidRDefault="00671C3F" w:rsidP="00671C3F">
      <w:pPr>
        <w:spacing w:line="276" w:lineRule="auto"/>
        <w:ind w:left="426" w:right="567"/>
        <w:jc w:val="both"/>
        <w:rPr>
          <w:rFonts w:ascii="Univers" w:hAnsi="Univers" w:cs="Arial"/>
          <w:b/>
          <w:sz w:val="20"/>
          <w:szCs w:val="20"/>
        </w:rPr>
      </w:pPr>
    </w:p>
    <w:p w14:paraId="055B538B" w14:textId="77777777" w:rsidR="00DC4739" w:rsidRDefault="00671C3F" w:rsidP="00DC4739">
      <w:pPr>
        <w:ind w:left="426" w:right="616"/>
        <w:jc w:val="both"/>
        <w:rPr>
          <w:rFonts w:ascii="Univers" w:hAnsi="Univers" w:cs="Arial"/>
          <w:sz w:val="20"/>
          <w:szCs w:val="20"/>
        </w:rPr>
      </w:pPr>
      <w:r w:rsidRPr="00A41623">
        <w:rPr>
          <w:rFonts w:ascii="Univers" w:hAnsi="Univers" w:cs="Arial"/>
          <w:b/>
          <w:sz w:val="20"/>
          <w:szCs w:val="20"/>
        </w:rPr>
        <w:t xml:space="preserve">Criterio: </w:t>
      </w:r>
      <w:r w:rsidRPr="00A41623">
        <w:rPr>
          <w:rFonts w:ascii="Univers" w:hAnsi="Univers" w:cs="Arial"/>
          <w:sz w:val="20"/>
          <w:szCs w:val="20"/>
        </w:rPr>
        <w:t xml:space="preserve">La Sala Regional sostuvo </w:t>
      </w:r>
      <w:proofErr w:type="gramStart"/>
      <w:r w:rsidRPr="00A41623">
        <w:rPr>
          <w:rFonts w:ascii="Univers" w:hAnsi="Univers" w:cs="Arial"/>
          <w:sz w:val="20"/>
          <w:szCs w:val="20"/>
        </w:rPr>
        <w:t>que</w:t>
      </w:r>
      <w:proofErr w:type="gramEnd"/>
      <w:r w:rsidRPr="00A41623">
        <w:rPr>
          <w:rFonts w:ascii="Univers" w:hAnsi="Univers" w:cs="Arial"/>
          <w:sz w:val="20"/>
          <w:szCs w:val="20"/>
        </w:rPr>
        <w:t xml:space="preserve"> al momento de realizar la asignación de regidurías a una coalición, es constitucional y legalmente válido realizarla individualmente, esto es, tomando en cuenta la votación individual de los partidos que la integraban. De esa manera, desde una interpretación gramatical y funcional de la legislación de Durango, se debe considerar de manera individual a los partidos políticos que participen en coalición, en aras de garantizar que el apoyo ciudadano que recibieron dichos partidos el día de la elección se materializara en una debida integración del Ayuntamiento en consonancia con la fuerza política de cada partido y la voluntad expresada en las urnas.</w:t>
      </w:r>
    </w:p>
    <w:p w14:paraId="1BA0A6BB" w14:textId="77777777" w:rsidR="00DC4739" w:rsidRDefault="00DC4739" w:rsidP="00DC4739">
      <w:pPr>
        <w:ind w:left="426" w:right="616"/>
        <w:jc w:val="both"/>
        <w:rPr>
          <w:rFonts w:ascii="Univers" w:hAnsi="Univers" w:cs="Arial"/>
          <w:sz w:val="20"/>
          <w:szCs w:val="20"/>
        </w:rPr>
      </w:pPr>
    </w:p>
    <w:p w14:paraId="7D29265A" w14:textId="693D890A" w:rsidR="006267B6" w:rsidRDefault="00DC4739" w:rsidP="00DC4739">
      <w:pPr>
        <w:ind w:left="426" w:right="616"/>
        <w:jc w:val="both"/>
      </w:pPr>
      <w:r>
        <w:rPr>
          <w:rFonts w:ascii="Univers" w:hAnsi="Univers" w:cs="Arial"/>
          <w:sz w:val="20"/>
          <w:szCs w:val="20"/>
        </w:rPr>
        <w:t>Expediente:</w:t>
      </w:r>
      <w:r w:rsidRPr="00A41623">
        <w:rPr>
          <w:rFonts w:ascii="Univers" w:hAnsi="Univers" w:cs="Arial"/>
          <w:sz w:val="20"/>
          <w:szCs w:val="20"/>
        </w:rPr>
        <w:t xml:space="preserve"> </w:t>
      </w:r>
      <w:hyperlink r:id="rId21" w:history="1">
        <w:r w:rsidR="00671C3F" w:rsidRPr="00FD1EBB">
          <w:rPr>
            <w:rStyle w:val="Hipervnculo"/>
            <w:rFonts w:ascii="Univers" w:hAnsi="Univers" w:cs="Arial"/>
            <w:sz w:val="20"/>
            <w:szCs w:val="20"/>
          </w:rPr>
          <w:t>SG-JR</w:t>
        </w:r>
        <w:r w:rsidR="00671C3F" w:rsidRPr="00FD1EBB">
          <w:rPr>
            <w:rStyle w:val="Hipervnculo"/>
            <w:rFonts w:ascii="Univers" w:hAnsi="Univers" w:cs="Arial"/>
            <w:sz w:val="20"/>
            <w:szCs w:val="20"/>
          </w:rPr>
          <w:t>C</w:t>
        </w:r>
        <w:r w:rsidR="00671C3F" w:rsidRPr="00FD1EBB">
          <w:rPr>
            <w:rStyle w:val="Hipervnculo"/>
            <w:rFonts w:ascii="Univers" w:hAnsi="Univers" w:cs="Arial"/>
            <w:sz w:val="20"/>
            <w:szCs w:val="20"/>
          </w:rPr>
          <w:t>-55/2019</w:t>
        </w:r>
      </w:hyperlink>
      <w:r w:rsidR="00671C3F" w:rsidRPr="00A41623">
        <w:rPr>
          <w:rFonts w:ascii="Univers" w:hAnsi="Univers" w:cs="Arial"/>
          <w:sz w:val="20"/>
          <w:szCs w:val="20"/>
        </w:rPr>
        <w:t xml:space="preserve"> </w:t>
      </w:r>
      <w:r w:rsidR="00671C3F">
        <w:rPr>
          <w:rFonts w:ascii="Univers" w:hAnsi="Univers" w:cs="Arial"/>
          <w:sz w:val="20"/>
          <w:szCs w:val="20"/>
        </w:rPr>
        <w:t>y acumulado</w:t>
      </w:r>
      <w:r w:rsidR="00671C3F" w:rsidRPr="00A41623">
        <w:rPr>
          <w:rFonts w:ascii="Univers" w:hAnsi="Univers" w:cs="Arial"/>
          <w:sz w:val="20"/>
          <w:szCs w:val="20"/>
        </w:rPr>
        <w:t xml:space="preserve"> </w:t>
      </w:r>
      <w:hyperlink r:id="rId22" w:history="1">
        <w:r w:rsidR="00671C3F" w:rsidRPr="0024201B">
          <w:rPr>
            <w:rStyle w:val="Hipervnculo"/>
            <w:rFonts w:ascii="Univers" w:hAnsi="Univers" w:cs="Arial"/>
            <w:sz w:val="20"/>
            <w:szCs w:val="20"/>
          </w:rPr>
          <w:t>SG-JDC</w:t>
        </w:r>
        <w:bookmarkStart w:id="3" w:name="_GoBack"/>
        <w:bookmarkEnd w:id="3"/>
        <w:r w:rsidR="00671C3F" w:rsidRPr="0024201B">
          <w:rPr>
            <w:rStyle w:val="Hipervnculo"/>
            <w:rFonts w:ascii="Univers" w:hAnsi="Univers" w:cs="Arial"/>
            <w:sz w:val="20"/>
            <w:szCs w:val="20"/>
          </w:rPr>
          <w:t>-</w:t>
        </w:r>
        <w:r w:rsidR="00671C3F" w:rsidRPr="0024201B">
          <w:rPr>
            <w:rStyle w:val="Hipervnculo"/>
            <w:rFonts w:ascii="Univers" w:hAnsi="Univers" w:cs="Arial"/>
            <w:sz w:val="20"/>
            <w:szCs w:val="20"/>
          </w:rPr>
          <w:t>248/2019</w:t>
        </w:r>
      </w:hyperlink>
    </w:p>
    <w:sectPr w:rsidR="006267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rench Script MT">
    <w:panose1 w:val="03020402040607040605"/>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3F"/>
    <w:rsid w:val="00027A48"/>
    <w:rsid w:val="00140D36"/>
    <w:rsid w:val="0024201B"/>
    <w:rsid w:val="00292569"/>
    <w:rsid w:val="002F1E53"/>
    <w:rsid w:val="00311801"/>
    <w:rsid w:val="003152C6"/>
    <w:rsid w:val="00353EED"/>
    <w:rsid w:val="00391835"/>
    <w:rsid w:val="00396331"/>
    <w:rsid w:val="006267B6"/>
    <w:rsid w:val="00671C3F"/>
    <w:rsid w:val="007A7E16"/>
    <w:rsid w:val="00805B6D"/>
    <w:rsid w:val="008D5B7B"/>
    <w:rsid w:val="00AE0006"/>
    <w:rsid w:val="00B00AA6"/>
    <w:rsid w:val="00B06172"/>
    <w:rsid w:val="00C46E31"/>
    <w:rsid w:val="00DC4739"/>
    <w:rsid w:val="00DF10B5"/>
    <w:rsid w:val="00F7497A"/>
    <w:rsid w:val="00F77859"/>
    <w:rsid w:val="00FD1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D945"/>
  <w15:chartTrackingRefBased/>
  <w15:docId w15:val="{379CAB9A-15EB-436A-955B-DEBB5916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C3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MITENTE">
    <w:name w:val="REMITENTE"/>
    <w:basedOn w:val="Normal"/>
    <w:qFormat/>
    <w:rsid w:val="00AE0006"/>
    <w:pPr>
      <w:jc w:val="right"/>
    </w:pPr>
    <w:rPr>
      <w:rFonts w:ascii="Univers" w:eastAsiaTheme="minorHAnsi" w:hAnsi="Univers" w:cstheme="minorBidi"/>
      <w:szCs w:val="22"/>
      <w:lang w:val="es-MX" w:eastAsia="en-US"/>
    </w:rPr>
  </w:style>
  <w:style w:type="paragraph" w:customStyle="1" w:styleId="Ejemplo1">
    <w:name w:val="Ejemplo 1"/>
    <w:basedOn w:val="Normal"/>
    <w:qFormat/>
    <w:rsid w:val="00AE0006"/>
    <w:pPr>
      <w:spacing w:before="120" w:after="280" w:line="480" w:lineRule="auto"/>
      <w:jc w:val="both"/>
    </w:pPr>
    <w:rPr>
      <w:rFonts w:asciiTheme="minorHAnsi" w:eastAsiaTheme="minorHAnsi" w:hAnsiTheme="minorHAnsi" w:cstheme="minorBidi"/>
      <w:i/>
      <w:sz w:val="26"/>
      <w:szCs w:val="22"/>
      <w:lang w:val="es-MX" w:eastAsia="en-US"/>
    </w:rPr>
  </w:style>
  <w:style w:type="paragraph" w:customStyle="1" w:styleId="ejemplo2">
    <w:name w:val="ejemplo 2"/>
    <w:basedOn w:val="Normal"/>
    <w:qFormat/>
    <w:rsid w:val="00AE0006"/>
    <w:pPr>
      <w:spacing w:before="480" w:after="480" w:line="480" w:lineRule="auto"/>
      <w:jc w:val="center"/>
    </w:pPr>
    <w:rPr>
      <w:rFonts w:ascii="French Script MT" w:eastAsiaTheme="minorHAnsi" w:hAnsi="French Script MT" w:cstheme="minorBidi"/>
      <w:sz w:val="30"/>
      <w:szCs w:val="22"/>
      <w:lang w:val="es-MX" w:eastAsia="en-US"/>
    </w:rPr>
  </w:style>
  <w:style w:type="paragraph" w:customStyle="1" w:styleId="ejemplo3">
    <w:name w:val="ejemplo 3"/>
    <w:basedOn w:val="Normal"/>
    <w:qFormat/>
    <w:rsid w:val="00AE0006"/>
    <w:pPr>
      <w:spacing w:after="160" w:line="259" w:lineRule="auto"/>
    </w:pPr>
    <w:rPr>
      <w:rFonts w:ascii="Vivaldi" w:eastAsiaTheme="minorHAnsi" w:hAnsi="Vivaldi" w:cstheme="minorBidi"/>
      <w:sz w:val="22"/>
      <w:szCs w:val="22"/>
      <w:lang w:val="es-MX" w:eastAsia="en-US"/>
    </w:rPr>
  </w:style>
  <w:style w:type="paragraph" w:styleId="NormalWeb">
    <w:name w:val="Normal (Web)"/>
    <w:aliases w:val="Normal (Web) Car1,Normal (Web) Car Car,Normal (Web) Car1 Car Car,Normal (Web) Car Car Car Car,Normal (Web) Car Car Car Car Car Car Car Car Car Car, Car Car Car Car, Car Car Car,Car,Normal (Web) Car Car Car Car Car Car Car,Car Car Car Car, C"/>
    <w:basedOn w:val="Normal"/>
    <w:link w:val="NormalWebCar"/>
    <w:uiPriority w:val="99"/>
    <w:qFormat/>
    <w:rsid w:val="00671C3F"/>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1,Car Car,Car Car Car Car Car"/>
    <w:link w:val="NormalWeb"/>
    <w:uiPriority w:val="99"/>
    <w:locked/>
    <w:rsid w:val="00671C3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06172"/>
    <w:rPr>
      <w:color w:val="0563C1" w:themeColor="hyperlink"/>
      <w:u w:val="single"/>
    </w:rPr>
  </w:style>
  <w:style w:type="character" w:styleId="Mencinsinresolver">
    <w:name w:val="Unresolved Mention"/>
    <w:basedOn w:val="Fuentedeprrafopredeter"/>
    <w:uiPriority w:val="99"/>
    <w:semiHidden/>
    <w:unhideWhenUsed/>
    <w:rsid w:val="00B06172"/>
    <w:rPr>
      <w:color w:val="605E5C"/>
      <w:shd w:val="clear" w:color="auto" w:fill="E1DFDD"/>
    </w:rPr>
  </w:style>
  <w:style w:type="character" w:styleId="Hipervnculovisitado">
    <w:name w:val="FollowedHyperlink"/>
    <w:basedOn w:val="Fuentedeprrafopredeter"/>
    <w:uiPriority w:val="99"/>
    <w:semiHidden/>
    <w:unhideWhenUsed/>
    <w:rsid w:val="00B06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sentenciasHTML/convertir/expediente/SG-JRC-0052-2019" TargetMode="External"/><Relationship Id="rId13" Type="http://schemas.openxmlformats.org/officeDocument/2006/relationships/hyperlink" Target="https://www.te.gob.mx/sentenciasHTML/convertir/expediente/SG-JRC-0010-2019" TargetMode="External"/><Relationship Id="rId18" Type="http://schemas.openxmlformats.org/officeDocument/2006/relationships/hyperlink" Target="https://www.te.gob.mx/sentenciasHTML/convertir/expediente/SG-JE-0007-2019" TargetMode="External"/><Relationship Id="rId3" Type="http://schemas.openxmlformats.org/officeDocument/2006/relationships/webSettings" Target="webSettings.xml"/><Relationship Id="rId21" Type="http://schemas.openxmlformats.org/officeDocument/2006/relationships/hyperlink" Target="https://www.te.gob.mx/sentenciasHTML/convertir/expediente/SG-JRC-0055-2019" TargetMode="External"/><Relationship Id="rId7" Type="http://schemas.openxmlformats.org/officeDocument/2006/relationships/hyperlink" Target="https://www.te.gob.mx/sentenciasHTML/convertir/expediente/SG-JE-0037-2019" TargetMode="External"/><Relationship Id="rId12" Type="http://schemas.openxmlformats.org/officeDocument/2006/relationships/hyperlink" Target="https://www.te.gob.mx/sentenciasHTML/convertir/expediente/SG-JE-0029-2019" TargetMode="External"/><Relationship Id="rId17" Type="http://schemas.openxmlformats.org/officeDocument/2006/relationships/hyperlink" Target="https://www.te.gob.mx/sentenciasHTML/convertir/expediente/SG-JDC-0037-2019" TargetMode="External"/><Relationship Id="rId2" Type="http://schemas.openxmlformats.org/officeDocument/2006/relationships/settings" Target="settings.xml"/><Relationship Id="rId16" Type="http://schemas.openxmlformats.org/officeDocument/2006/relationships/hyperlink" Target="https://www.te.gob.mx/sentenciasHTML/convertir/expediente/SG-JE-0031-2019" TargetMode="External"/><Relationship Id="rId20" Type="http://schemas.openxmlformats.org/officeDocument/2006/relationships/hyperlink" Target="https://www.te.gob.mx/sentenciasHTML/convertir/expediente/SG-JRC-0019-2019" TargetMode="External"/><Relationship Id="rId1" Type="http://schemas.openxmlformats.org/officeDocument/2006/relationships/styles" Target="styles.xml"/><Relationship Id="rId6" Type="http://schemas.openxmlformats.org/officeDocument/2006/relationships/hyperlink" Target="https://www.te.gob.mx/sentenciasHTML/convertir/expediente/SG-JRC-0008-2019" TargetMode="External"/><Relationship Id="rId11" Type="http://schemas.openxmlformats.org/officeDocument/2006/relationships/hyperlink" Target="https://www.te.gob.mx/sentenciasHTML/convertir/expediente/SG-JDC-0029-2019" TargetMode="External"/><Relationship Id="rId24" Type="http://schemas.openxmlformats.org/officeDocument/2006/relationships/theme" Target="theme/theme1.xml"/><Relationship Id="rId5" Type="http://schemas.openxmlformats.org/officeDocument/2006/relationships/hyperlink" Target="https://www.te.gob.mx/sentenciasHTML/convertir/expediente/SG-JRC-0008-2019" TargetMode="External"/><Relationship Id="rId15" Type="http://schemas.openxmlformats.org/officeDocument/2006/relationships/hyperlink" Target="https://www.te.gob.mx/sentenciasHTML/convertir/expediente/SG-JDC-0216-2019" TargetMode="External"/><Relationship Id="rId23" Type="http://schemas.openxmlformats.org/officeDocument/2006/relationships/fontTable" Target="fontTable.xml"/><Relationship Id="rId10" Type="http://schemas.openxmlformats.org/officeDocument/2006/relationships/hyperlink" Target="https://www.te.gob.mx/sentenciasHTML/convertir/expediente/SG-JDC-0279-2019" TargetMode="External"/><Relationship Id="rId19" Type="http://schemas.openxmlformats.org/officeDocument/2006/relationships/hyperlink" Target="https://www.te.gob.mx/sentenciasHTML/convertir/expediente/SG-JDC-0107-2019" TargetMode="External"/><Relationship Id="rId4" Type="http://schemas.openxmlformats.org/officeDocument/2006/relationships/hyperlink" Target="https://www.te.gob.mx/sentenciasHTML/convertir/expediente/SG-JRC-0024-2019" TargetMode="External"/><Relationship Id="rId9" Type="http://schemas.openxmlformats.org/officeDocument/2006/relationships/hyperlink" Target="https://www.te.gob.mx/sentenciasHTML/convertir/expediente/SG-JDC-0140-2019" TargetMode="External"/><Relationship Id="rId14" Type="http://schemas.openxmlformats.org/officeDocument/2006/relationships/hyperlink" Target="https://www.te.gob.mx/sentenciasHTML/convertir/expediente/SG-JE-0008-2019" TargetMode="External"/><Relationship Id="rId22" Type="http://schemas.openxmlformats.org/officeDocument/2006/relationships/hyperlink" Target="https://www.te.gob.mx/sentenciasHTML/convertir/expediente/SG-JDC-0248-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2672</Words>
  <Characters>14698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Ulises Santana Bracamontes</dc:creator>
  <cp:keywords/>
  <dc:description/>
  <cp:lastModifiedBy>Jorge Alberto Ruiz Villeda</cp:lastModifiedBy>
  <cp:revision>18</cp:revision>
  <dcterms:created xsi:type="dcterms:W3CDTF">2020-12-01T20:33:00Z</dcterms:created>
  <dcterms:modified xsi:type="dcterms:W3CDTF">2020-12-30T18:06:00Z</dcterms:modified>
</cp:coreProperties>
</file>