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5262"/>
      </w:tblGrid>
      <w:tr w:rsidR="007E78F4" w:rsidRPr="00886811" w:rsidTr="00B24D73">
        <w:trPr>
          <w:jc w:val="right"/>
        </w:trPr>
        <w:tc>
          <w:tcPr>
            <w:tcW w:w="5262" w:type="dxa"/>
          </w:tcPr>
          <w:p w:rsidR="007E78F4" w:rsidRPr="00886811" w:rsidRDefault="003E79D0" w:rsidP="0039228B">
            <w:pPr>
              <w:ind w:left="-90"/>
              <w:jc w:val="center"/>
              <w:rPr>
                <w:rFonts w:ascii="Arial" w:hAnsi="Arial" w:cs="Arial"/>
                <w:b/>
              </w:rPr>
            </w:pPr>
            <w:bookmarkStart w:id="0" w:name="_GoBack"/>
            <w:bookmarkEnd w:id="0"/>
            <w:r w:rsidRPr="00886811">
              <w:rPr>
                <w:rFonts w:ascii="Arial" w:hAnsi="Arial" w:cs="Arial"/>
                <w:b/>
              </w:rPr>
              <w:t>AUTO</w:t>
            </w:r>
            <w:r w:rsidR="007C4E87" w:rsidRPr="00886811">
              <w:rPr>
                <w:rFonts w:ascii="Arial" w:hAnsi="Arial" w:cs="Arial"/>
                <w:b/>
              </w:rPr>
              <w:t xml:space="preserve"> DE </w:t>
            </w:r>
            <w:r w:rsidR="00A14747" w:rsidRPr="00886811">
              <w:rPr>
                <w:rFonts w:ascii="Arial" w:hAnsi="Arial" w:cs="Arial"/>
                <w:b/>
              </w:rPr>
              <w:t>ADMISIÓN</w:t>
            </w:r>
            <w:r w:rsidR="00E20387" w:rsidRPr="00886811">
              <w:rPr>
                <w:rFonts w:ascii="Arial" w:hAnsi="Arial" w:cs="Arial"/>
                <w:b/>
              </w:rPr>
              <w:t xml:space="preserve"> </w:t>
            </w:r>
          </w:p>
          <w:p w:rsidR="007E78F4" w:rsidRPr="00886811" w:rsidRDefault="008C5C0A" w:rsidP="0039228B">
            <w:pPr>
              <w:spacing w:before="240"/>
              <w:ind w:left="-90"/>
              <w:jc w:val="both"/>
              <w:rPr>
                <w:rFonts w:ascii="Arial" w:hAnsi="Arial" w:cs="Arial"/>
                <w:b/>
              </w:rPr>
            </w:pPr>
            <w:r>
              <w:rPr>
                <w:rFonts w:ascii="Arial" w:hAnsi="Arial" w:cs="Arial"/>
                <w:b/>
              </w:rPr>
              <w:t>RECURSO DE APELACIÓN</w:t>
            </w:r>
          </w:p>
          <w:p w:rsidR="00CA21AF" w:rsidRPr="00886811" w:rsidRDefault="00CA21AF" w:rsidP="00B24D73">
            <w:pPr>
              <w:pStyle w:val="NormalWeb"/>
              <w:ind w:left="-105"/>
              <w:rPr>
                <w:rFonts w:ascii="Arial" w:hAnsi="Arial" w:cs="Arial"/>
                <w:bCs/>
                <w:caps/>
              </w:rPr>
            </w:pPr>
            <w:r w:rsidRPr="00886811">
              <w:rPr>
                <w:rFonts w:ascii="Arial" w:hAnsi="Arial" w:cs="Arial"/>
                <w:b/>
                <w:bCs/>
              </w:rPr>
              <w:t xml:space="preserve">EXPEDIENTE: </w:t>
            </w:r>
            <w:r w:rsidRPr="00886811">
              <w:rPr>
                <w:rFonts w:ascii="Arial" w:hAnsi="Arial" w:cs="Arial"/>
                <w:bCs/>
              </w:rPr>
              <w:t>SM-</w:t>
            </w:r>
            <w:r w:rsidR="00764B93" w:rsidRPr="00886811">
              <w:rPr>
                <w:rFonts w:ascii="Arial" w:hAnsi="Arial" w:cs="Arial"/>
                <w:bCs/>
              </w:rPr>
              <w:t>RAP</w:t>
            </w:r>
            <w:r w:rsidRPr="00886811">
              <w:rPr>
                <w:rFonts w:ascii="Arial" w:hAnsi="Arial" w:cs="Arial"/>
                <w:bCs/>
              </w:rPr>
              <w:t>-</w:t>
            </w:r>
            <w:r w:rsidR="00764B93" w:rsidRPr="00886811">
              <w:rPr>
                <w:rFonts w:ascii="Arial" w:hAnsi="Arial" w:cs="Arial"/>
                <w:bCs/>
              </w:rPr>
              <w:t>6</w:t>
            </w:r>
            <w:r w:rsidRPr="00886811">
              <w:rPr>
                <w:rFonts w:ascii="Arial" w:hAnsi="Arial" w:cs="Arial"/>
                <w:bCs/>
              </w:rPr>
              <w:t>/2017</w:t>
            </w:r>
          </w:p>
          <w:p w:rsidR="00CA21AF" w:rsidRPr="00886811" w:rsidRDefault="00CA21AF" w:rsidP="00CA21AF">
            <w:pPr>
              <w:spacing w:before="100" w:beforeAutospacing="1" w:after="100" w:afterAutospacing="1"/>
              <w:ind w:left="-105"/>
              <w:jc w:val="both"/>
              <w:rPr>
                <w:rFonts w:ascii="Arial" w:hAnsi="Arial" w:cs="Arial"/>
              </w:rPr>
            </w:pPr>
            <w:r w:rsidRPr="00886811">
              <w:rPr>
                <w:rFonts w:ascii="Arial" w:hAnsi="Arial" w:cs="Arial"/>
                <w:b/>
              </w:rPr>
              <w:t xml:space="preserve">ACTOR: </w:t>
            </w:r>
            <w:r w:rsidR="00764B93" w:rsidRPr="00886811">
              <w:rPr>
                <w:rFonts w:ascii="Arial" w:hAnsi="Arial" w:cs="Arial"/>
                <w:lang w:val="es-ES"/>
              </w:rPr>
              <w:t>PARTIDO DEL TRABAJO</w:t>
            </w:r>
          </w:p>
          <w:p w:rsidR="00CA21AF" w:rsidRPr="00886811" w:rsidRDefault="00CA21AF" w:rsidP="00CA21AF">
            <w:pPr>
              <w:spacing w:before="240" w:after="240"/>
              <w:ind w:left="-105"/>
              <w:jc w:val="both"/>
              <w:rPr>
                <w:rFonts w:ascii="Arial" w:hAnsi="Arial" w:cs="Arial"/>
                <w:b/>
              </w:rPr>
            </w:pPr>
            <w:r w:rsidRPr="00886811">
              <w:rPr>
                <w:rFonts w:ascii="Arial" w:hAnsi="Arial" w:cs="Arial"/>
                <w:b/>
              </w:rPr>
              <w:t xml:space="preserve">RESPONSABLE: </w:t>
            </w:r>
            <w:r w:rsidR="00764B93" w:rsidRPr="00886811">
              <w:rPr>
                <w:rFonts w:ascii="Arial" w:hAnsi="Arial" w:cs="Arial"/>
                <w:lang w:val="es-ES"/>
              </w:rPr>
              <w:t>CONSEJO GENERAL DEL INSTITUTO NACIONAL ELECTORAL</w:t>
            </w:r>
            <w:r w:rsidRPr="00886811">
              <w:rPr>
                <w:rFonts w:ascii="Arial" w:hAnsi="Arial" w:cs="Arial"/>
              </w:rPr>
              <w:t xml:space="preserve"> </w:t>
            </w:r>
          </w:p>
          <w:p w:rsidR="00311E3F" w:rsidRPr="00886811" w:rsidRDefault="00311E3F" w:rsidP="00B24D73">
            <w:pPr>
              <w:spacing w:before="240"/>
              <w:ind w:left="-105"/>
              <w:jc w:val="both"/>
              <w:rPr>
                <w:rFonts w:ascii="Arial" w:hAnsi="Arial" w:cs="Arial"/>
              </w:rPr>
            </w:pPr>
          </w:p>
        </w:tc>
      </w:tr>
    </w:tbl>
    <w:p w:rsidR="007E78F4" w:rsidRPr="00886811" w:rsidRDefault="007E78F4" w:rsidP="00D73154">
      <w:pPr>
        <w:spacing w:before="240" w:after="240" w:line="360" w:lineRule="auto"/>
        <w:jc w:val="both"/>
        <w:rPr>
          <w:rFonts w:ascii="Arial" w:hAnsi="Arial" w:cs="Arial"/>
        </w:rPr>
      </w:pPr>
      <w:r w:rsidRPr="00886811">
        <w:rPr>
          <w:rFonts w:ascii="Arial" w:hAnsi="Arial" w:cs="Arial"/>
        </w:rPr>
        <w:t xml:space="preserve">Monterrey, Nuevo León, a </w:t>
      </w:r>
      <w:r w:rsidR="00E3794D" w:rsidRPr="00886811">
        <w:rPr>
          <w:rFonts w:ascii="Arial" w:hAnsi="Arial" w:cs="Arial"/>
        </w:rPr>
        <w:t>once</w:t>
      </w:r>
      <w:r w:rsidRPr="00886811">
        <w:rPr>
          <w:rFonts w:ascii="Arial" w:hAnsi="Arial" w:cs="Arial"/>
        </w:rPr>
        <w:t xml:space="preserve"> de </w:t>
      </w:r>
      <w:r w:rsidR="00955CFD" w:rsidRPr="00886811">
        <w:rPr>
          <w:rFonts w:ascii="Arial" w:hAnsi="Arial" w:cs="Arial"/>
        </w:rPr>
        <w:t>abril</w:t>
      </w:r>
      <w:r w:rsidR="00D90655" w:rsidRPr="00886811">
        <w:rPr>
          <w:rFonts w:ascii="Arial" w:hAnsi="Arial" w:cs="Arial"/>
        </w:rPr>
        <w:t xml:space="preserve"> </w:t>
      </w:r>
      <w:r w:rsidRPr="00886811">
        <w:rPr>
          <w:rFonts w:ascii="Arial" w:hAnsi="Arial" w:cs="Arial"/>
        </w:rPr>
        <w:t xml:space="preserve">de dos mil </w:t>
      </w:r>
      <w:r w:rsidR="00CA21AF" w:rsidRPr="00886811">
        <w:rPr>
          <w:rFonts w:ascii="Arial" w:hAnsi="Arial" w:cs="Arial"/>
        </w:rPr>
        <w:t>diecisiete</w:t>
      </w:r>
      <w:r w:rsidRPr="00886811">
        <w:rPr>
          <w:rFonts w:ascii="Arial" w:hAnsi="Arial" w:cs="Arial"/>
        </w:rPr>
        <w:t>.</w:t>
      </w:r>
    </w:p>
    <w:p w:rsidR="007E78F4" w:rsidRPr="00886811" w:rsidRDefault="005C4789" w:rsidP="00D73154">
      <w:pPr>
        <w:spacing w:before="240" w:after="240" w:line="360" w:lineRule="auto"/>
        <w:jc w:val="both"/>
        <w:rPr>
          <w:rFonts w:ascii="Arial" w:hAnsi="Arial" w:cs="Arial"/>
        </w:rPr>
      </w:pPr>
      <w:r w:rsidRPr="00886811">
        <w:rPr>
          <w:rFonts w:ascii="Arial" w:hAnsi="Arial" w:cs="Arial"/>
        </w:rPr>
        <w:t xml:space="preserve">El secretario Alfonso Roiz Elizondo da cuenta a la magistrada Claudia Valle Aguilasocho con </w:t>
      </w:r>
      <w:r w:rsidR="009F2357" w:rsidRPr="00886811">
        <w:rPr>
          <w:rFonts w:ascii="Arial" w:hAnsi="Arial" w:cs="Arial"/>
        </w:rPr>
        <w:t>el oficio</w:t>
      </w:r>
      <w:r w:rsidRPr="00886811">
        <w:rPr>
          <w:rFonts w:ascii="Arial" w:hAnsi="Arial" w:cs="Arial"/>
        </w:rPr>
        <w:t xml:space="preserve"> signado</w:t>
      </w:r>
      <w:r w:rsidR="009F2357" w:rsidRPr="00886811">
        <w:rPr>
          <w:rFonts w:ascii="Arial" w:hAnsi="Arial" w:cs="Arial"/>
        </w:rPr>
        <w:t xml:space="preserve"> por el Secretario</w:t>
      </w:r>
      <w:r w:rsidRPr="00886811">
        <w:rPr>
          <w:rFonts w:ascii="Arial" w:hAnsi="Arial" w:cs="Arial"/>
        </w:rPr>
        <w:t xml:space="preserve"> </w:t>
      </w:r>
      <w:r w:rsidR="009F2357" w:rsidRPr="00886811">
        <w:rPr>
          <w:rFonts w:ascii="Arial" w:hAnsi="Arial" w:cs="Arial"/>
        </w:rPr>
        <w:t>del Consejo General del Instituto Nacional Electoral</w:t>
      </w:r>
      <w:r w:rsidRPr="00886811">
        <w:rPr>
          <w:rFonts w:ascii="Arial" w:hAnsi="Arial" w:cs="Arial"/>
        </w:rPr>
        <w:t xml:space="preserve">, mediante </w:t>
      </w:r>
      <w:r w:rsidR="009F2357" w:rsidRPr="00886811">
        <w:rPr>
          <w:rFonts w:ascii="Arial" w:hAnsi="Arial" w:cs="Arial"/>
        </w:rPr>
        <w:t>el cual, remite las constancias relativas a la notifica</w:t>
      </w:r>
      <w:r w:rsidR="00DA48CD" w:rsidRPr="00886811">
        <w:rPr>
          <w:rFonts w:ascii="Arial" w:hAnsi="Arial" w:cs="Arial"/>
        </w:rPr>
        <w:t>ción de la resolución impugnada, en cumplimiento a lo ordenado en el acuerdo de requerimiento de veintinueve de marzo del presente año.</w:t>
      </w:r>
    </w:p>
    <w:p w:rsidR="00E20387" w:rsidRPr="00886811" w:rsidRDefault="00764B93" w:rsidP="00E20387">
      <w:pPr>
        <w:spacing w:before="240" w:after="240" w:line="360" w:lineRule="auto"/>
        <w:jc w:val="both"/>
        <w:rPr>
          <w:rFonts w:ascii="Arial" w:hAnsi="Arial" w:cs="Arial"/>
          <w:b/>
          <w:lang w:val="es-ES"/>
        </w:rPr>
      </w:pPr>
      <w:r w:rsidRPr="00886811">
        <w:rPr>
          <w:rFonts w:ascii="Arial" w:hAnsi="Arial" w:cs="Arial"/>
        </w:rPr>
        <w:t>Por lo anterior, con fundamento en lo dispuesto</w:t>
      </w:r>
      <w:r w:rsidR="005C4789" w:rsidRPr="00886811">
        <w:rPr>
          <w:rFonts w:ascii="Arial" w:hAnsi="Arial" w:cs="Arial"/>
        </w:rPr>
        <w:t xml:space="preserve"> por los artículos 199, fracciones VII y</w:t>
      </w:r>
      <w:r w:rsidRPr="00886811">
        <w:rPr>
          <w:rFonts w:ascii="Arial" w:hAnsi="Arial" w:cs="Arial"/>
        </w:rPr>
        <w:t xml:space="preserve"> XV, de la Ley Orgánica del Poder Judicial de la Federación; 19, párrafo 1, incisos a) y e) de la Ley General del Sistema de Medios de Impugnación en Materia Electoral; 44, fracciones I, II, III y IX, 52, fracción I y 56 del Reglamento Interno del Tribunal Electoral del Poder Judicial de la Federación</w:t>
      </w:r>
      <w:r w:rsidR="00E20387" w:rsidRPr="00886811">
        <w:rPr>
          <w:rFonts w:ascii="Arial" w:hAnsi="Arial" w:cs="Arial"/>
          <w:lang w:val="es-ES"/>
        </w:rPr>
        <w:t xml:space="preserve">, </w:t>
      </w:r>
      <w:r w:rsidR="00E20387" w:rsidRPr="00886811">
        <w:rPr>
          <w:rFonts w:ascii="Arial" w:hAnsi="Arial" w:cs="Arial"/>
          <w:b/>
          <w:lang w:val="es-ES"/>
        </w:rPr>
        <w:t>SE ACUERDA:</w:t>
      </w:r>
    </w:p>
    <w:p w:rsidR="00B72D57" w:rsidRPr="00886811" w:rsidRDefault="00B72D57" w:rsidP="00B72D57">
      <w:pPr>
        <w:pStyle w:val="Prrafodelista"/>
        <w:spacing w:before="240" w:beforeAutospacing="0" w:after="240" w:afterAutospacing="0"/>
        <w:ind w:left="0"/>
        <w:contextualSpacing w:val="0"/>
        <w:rPr>
          <w:rFonts w:cs="Arial"/>
          <w:szCs w:val="24"/>
        </w:rPr>
      </w:pPr>
      <w:r w:rsidRPr="00886811">
        <w:rPr>
          <w:rFonts w:cs="Arial"/>
          <w:b/>
          <w:szCs w:val="24"/>
        </w:rPr>
        <w:t>I. Recepción.</w:t>
      </w:r>
      <w:r w:rsidRPr="00886811">
        <w:rPr>
          <w:rFonts w:cs="Arial"/>
          <w:szCs w:val="24"/>
        </w:rPr>
        <w:t xml:space="preserve"> Se tiene por recibido el oficio de cuenta</w:t>
      </w:r>
      <w:r w:rsidR="00DA48CD" w:rsidRPr="00886811">
        <w:rPr>
          <w:rFonts w:cs="Arial"/>
          <w:szCs w:val="24"/>
        </w:rPr>
        <w:t xml:space="preserve"> y los documentos que adjunta, los cuales</w:t>
      </w:r>
      <w:r w:rsidRPr="00886811">
        <w:rPr>
          <w:rFonts w:cs="Arial"/>
          <w:szCs w:val="24"/>
        </w:rPr>
        <w:t xml:space="preserve"> se ordena agregar a los autos, para que obre</w:t>
      </w:r>
      <w:r w:rsidR="003E79D0" w:rsidRPr="00886811">
        <w:rPr>
          <w:rFonts w:cs="Arial"/>
          <w:szCs w:val="24"/>
        </w:rPr>
        <w:t>n</w:t>
      </w:r>
      <w:r w:rsidRPr="00886811">
        <w:rPr>
          <w:rFonts w:cs="Arial"/>
          <w:szCs w:val="24"/>
        </w:rPr>
        <w:t xml:space="preserve"> como corresponda.</w:t>
      </w:r>
    </w:p>
    <w:p w:rsidR="00214240" w:rsidRPr="00886811" w:rsidRDefault="009A2774" w:rsidP="005A03ED">
      <w:pPr>
        <w:pStyle w:val="Prrafodelista"/>
        <w:spacing w:before="240" w:beforeAutospacing="0" w:after="240" w:afterAutospacing="0"/>
        <w:ind w:left="0"/>
        <w:contextualSpacing w:val="0"/>
        <w:rPr>
          <w:rFonts w:cs="Arial"/>
          <w:b/>
          <w:szCs w:val="24"/>
        </w:rPr>
      </w:pPr>
      <w:r w:rsidRPr="00886811">
        <w:rPr>
          <w:rFonts w:cs="Arial"/>
          <w:b/>
          <w:szCs w:val="24"/>
        </w:rPr>
        <w:lastRenderedPageBreak/>
        <w:t>I</w:t>
      </w:r>
      <w:r w:rsidR="00B72D57" w:rsidRPr="00886811">
        <w:rPr>
          <w:rFonts w:cs="Arial"/>
          <w:b/>
          <w:szCs w:val="24"/>
        </w:rPr>
        <w:t>I</w:t>
      </w:r>
      <w:r w:rsidR="00214240" w:rsidRPr="00886811">
        <w:rPr>
          <w:rFonts w:cs="Arial"/>
          <w:b/>
          <w:szCs w:val="24"/>
        </w:rPr>
        <w:t>. Admisión.</w:t>
      </w:r>
      <w:r w:rsidR="00214240" w:rsidRPr="00886811">
        <w:rPr>
          <w:rFonts w:cs="Arial"/>
          <w:szCs w:val="24"/>
        </w:rPr>
        <w:t xml:space="preserve"> Toda vez que a partir del tres de abril de este año se recibieron en esta Sala Regional las constancias relativas a la notificación de la resolución impugnada, las cuales fueron requeridas</w:t>
      </w:r>
      <w:r w:rsidR="005A03ED" w:rsidRPr="00886811">
        <w:rPr>
          <w:rFonts w:cs="Arial"/>
          <w:szCs w:val="24"/>
        </w:rPr>
        <w:t xml:space="preserve"> en el presente juicio</w:t>
      </w:r>
      <w:r w:rsidR="00214240" w:rsidRPr="00886811">
        <w:rPr>
          <w:rFonts w:cs="Arial"/>
          <w:szCs w:val="24"/>
        </w:rPr>
        <w:t xml:space="preserve"> </w:t>
      </w:r>
      <w:r w:rsidR="005A03ED" w:rsidRPr="00886811">
        <w:rPr>
          <w:rFonts w:cs="Arial"/>
          <w:szCs w:val="24"/>
        </w:rPr>
        <w:t>y</w:t>
      </w:r>
      <w:r w:rsidR="00214240" w:rsidRPr="00886811">
        <w:rPr>
          <w:rFonts w:cs="Arial"/>
          <w:szCs w:val="24"/>
        </w:rPr>
        <w:t xml:space="preserve"> son necesarias para la integración del expediente, </w:t>
      </w:r>
      <w:r w:rsidR="003E79D0" w:rsidRPr="00886811">
        <w:rPr>
          <w:rFonts w:cs="Arial"/>
          <w:b/>
          <w:szCs w:val="24"/>
        </w:rPr>
        <w:t>se admite</w:t>
      </w:r>
      <w:r w:rsidR="003E79D0" w:rsidRPr="00886811">
        <w:rPr>
          <w:rFonts w:cs="Arial"/>
          <w:szCs w:val="24"/>
        </w:rPr>
        <w:t xml:space="preserve"> </w:t>
      </w:r>
      <w:r w:rsidR="00214240" w:rsidRPr="00886811">
        <w:rPr>
          <w:rFonts w:cs="Arial"/>
          <w:szCs w:val="24"/>
        </w:rPr>
        <w:t xml:space="preserve">el recurso de apelación </w:t>
      </w:r>
      <w:r w:rsidR="005A03ED" w:rsidRPr="00886811">
        <w:rPr>
          <w:rFonts w:cs="Arial"/>
          <w:szCs w:val="24"/>
        </w:rPr>
        <w:t xml:space="preserve">en que se actúa, </w:t>
      </w:r>
      <w:r w:rsidR="00214240" w:rsidRPr="00886811">
        <w:rPr>
          <w:rFonts w:cs="Arial"/>
          <w:szCs w:val="24"/>
        </w:rPr>
        <w:t>dado que</w:t>
      </w:r>
      <w:r w:rsidR="00214240" w:rsidRPr="00886811">
        <w:rPr>
          <w:rFonts w:cs="Arial"/>
          <w:szCs w:val="24"/>
          <w:lang w:val="es-ES"/>
        </w:rPr>
        <w:t xml:space="preserve"> </w:t>
      </w:r>
      <w:r w:rsidR="00214240" w:rsidRPr="00886811">
        <w:rPr>
          <w:rFonts w:cs="Arial"/>
          <w:szCs w:val="24"/>
        </w:rPr>
        <w:t>reúne los requisitos dispuestos en los artículos 8, 9, párrafo 1, 40, párrafo 1 y 45, de la ley procesal de referencia, conforme a lo siguiente:</w:t>
      </w:r>
      <w:r w:rsidR="00214240" w:rsidRPr="00886811">
        <w:rPr>
          <w:rFonts w:cs="Arial"/>
          <w:b/>
          <w:szCs w:val="24"/>
        </w:rPr>
        <w:t xml:space="preserve"> </w:t>
      </w:r>
    </w:p>
    <w:p w:rsidR="00214240" w:rsidRPr="00886811" w:rsidRDefault="009F7FFC" w:rsidP="00214240">
      <w:pPr>
        <w:spacing w:before="100" w:beforeAutospacing="1" w:after="100" w:afterAutospacing="1" w:line="360" w:lineRule="auto"/>
        <w:jc w:val="both"/>
        <w:rPr>
          <w:rFonts w:ascii="Arial" w:hAnsi="Arial" w:cs="Arial"/>
          <w:strike/>
          <w:lang w:val="es-MX"/>
        </w:rPr>
      </w:pPr>
      <w:r w:rsidRPr="00886811">
        <w:rPr>
          <w:rFonts w:ascii="Arial" w:hAnsi="Arial" w:cs="Arial"/>
          <w:b/>
          <w:lang w:val="es-MX"/>
        </w:rPr>
        <w:t>a) Forma.</w:t>
      </w:r>
      <w:r w:rsidRPr="00886811">
        <w:rPr>
          <w:rFonts w:ascii="Arial" w:hAnsi="Arial" w:cs="Arial"/>
          <w:lang w:val="es-MX"/>
        </w:rPr>
        <w:t xml:space="preserve"> </w:t>
      </w:r>
      <w:r w:rsidR="00214240" w:rsidRPr="00886811">
        <w:rPr>
          <w:rFonts w:ascii="Arial" w:eastAsia="Calibri" w:hAnsi="Arial" w:cs="Arial"/>
        </w:rPr>
        <w:t>El escrito de apelación se presentó ante la autoridad señalada como responsable, en él se precisa el partido recurrente, el nombre y la firma de quien promueve en su representación, la resolución que se controvierte, se mencionan hechos, agravios y las disposiciones presuntamente no atendidas.</w:t>
      </w:r>
    </w:p>
    <w:p w:rsidR="00B342F9" w:rsidRPr="00886811" w:rsidRDefault="009F7FFC" w:rsidP="00214240">
      <w:pPr>
        <w:pStyle w:val="Prrafodelista"/>
        <w:spacing w:before="240" w:beforeAutospacing="0" w:after="240" w:afterAutospacing="0"/>
        <w:ind w:left="0"/>
        <w:contextualSpacing w:val="0"/>
        <w:rPr>
          <w:rFonts w:cs="Arial"/>
          <w:szCs w:val="24"/>
        </w:rPr>
      </w:pPr>
      <w:r w:rsidRPr="00886811">
        <w:rPr>
          <w:rFonts w:cs="Arial"/>
          <w:b/>
          <w:szCs w:val="24"/>
        </w:rPr>
        <w:t>b</w:t>
      </w:r>
      <w:r w:rsidR="00B342F9" w:rsidRPr="00886811">
        <w:rPr>
          <w:rFonts w:cs="Arial"/>
          <w:b/>
          <w:szCs w:val="24"/>
        </w:rPr>
        <w:t>) Oportunidad.</w:t>
      </w:r>
      <w:r w:rsidR="00B342F9" w:rsidRPr="00886811">
        <w:rPr>
          <w:rFonts w:cs="Arial"/>
          <w:szCs w:val="24"/>
        </w:rPr>
        <w:t xml:space="preserve"> </w:t>
      </w:r>
      <w:r w:rsidR="00214240" w:rsidRPr="00886811">
        <w:rPr>
          <w:rFonts w:cs="Arial"/>
          <w:szCs w:val="24"/>
        </w:rPr>
        <w:t>Se interpuso dentro del plazo legal de cuatro días, pues la resolución impugnada se emitió el miércoles catorce de diciembre de dos mil dieciséis, se notificó al Partido del Trabajo el lunes diecinueve, y el recurso se presentó el martes veinte.</w:t>
      </w:r>
    </w:p>
    <w:p w:rsidR="00186786" w:rsidRPr="00886811" w:rsidRDefault="009F7FFC" w:rsidP="00186786">
      <w:pPr>
        <w:pStyle w:val="Prrafodelista"/>
        <w:spacing w:before="240" w:beforeAutospacing="0" w:after="240" w:afterAutospacing="0"/>
        <w:ind w:left="0"/>
        <w:contextualSpacing w:val="0"/>
        <w:rPr>
          <w:rFonts w:cs="Arial"/>
          <w:szCs w:val="24"/>
        </w:rPr>
      </w:pPr>
      <w:r w:rsidRPr="00886811">
        <w:rPr>
          <w:rFonts w:cs="Arial"/>
          <w:b/>
          <w:szCs w:val="24"/>
        </w:rPr>
        <w:t>c</w:t>
      </w:r>
      <w:r w:rsidR="00B342F9" w:rsidRPr="00886811">
        <w:rPr>
          <w:rFonts w:cs="Arial"/>
          <w:b/>
          <w:szCs w:val="24"/>
        </w:rPr>
        <w:t>) Legitimación</w:t>
      </w:r>
      <w:r w:rsidR="00764B93" w:rsidRPr="00886811">
        <w:rPr>
          <w:rFonts w:cs="Arial"/>
          <w:b/>
          <w:szCs w:val="24"/>
        </w:rPr>
        <w:t xml:space="preserve"> </w:t>
      </w:r>
      <w:r w:rsidR="00186786" w:rsidRPr="00886811">
        <w:rPr>
          <w:rFonts w:cs="Arial"/>
          <w:b/>
          <w:szCs w:val="24"/>
        </w:rPr>
        <w:t>y personería</w:t>
      </w:r>
      <w:r w:rsidR="00B342F9" w:rsidRPr="00886811">
        <w:rPr>
          <w:rFonts w:cs="Arial"/>
          <w:b/>
          <w:szCs w:val="24"/>
        </w:rPr>
        <w:t>.</w:t>
      </w:r>
      <w:r w:rsidR="00214240" w:rsidRPr="00886811">
        <w:rPr>
          <w:rFonts w:cs="Arial"/>
          <w:szCs w:val="24"/>
        </w:rPr>
        <w:t xml:space="preserve"> El recurrente está legitimado por tratarse de un partido político nacional con acreditación en el estado de Aguascalientes, que interpone </w:t>
      </w:r>
      <w:r w:rsidR="003E79D0" w:rsidRPr="00886811">
        <w:rPr>
          <w:rFonts w:cs="Arial"/>
          <w:szCs w:val="24"/>
        </w:rPr>
        <w:t xml:space="preserve">el recurso </w:t>
      </w:r>
      <w:r w:rsidR="00214240" w:rsidRPr="00886811">
        <w:rPr>
          <w:rFonts w:cs="Arial"/>
          <w:szCs w:val="24"/>
        </w:rPr>
        <w:t xml:space="preserve">por conducto de su representante ante el Consejo General del </w:t>
      </w:r>
      <w:r w:rsidR="00214240" w:rsidRPr="00886811">
        <w:rPr>
          <w:rFonts w:cs="Arial"/>
          <w:szCs w:val="24"/>
        </w:rPr>
        <w:lastRenderedPageBreak/>
        <w:t xml:space="preserve">Instituto Nacional Electoral, </w:t>
      </w:r>
      <w:r w:rsidR="00225460" w:rsidRPr="00886811">
        <w:rPr>
          <w:rFonts w:cs="Arial"/>
          <w:szCs w:val="24"/>
        </w:rPr>
        <w:t>calidad reconocida por la autoridad responsable en el informe circunstanciado</w:t>
      </w:r>
      <w:r w:rsidR="003E79D0" w:rsidRPr="00886811">
        <w:rPr>
          <w:rFonts w:cs="Arial"/>
          <w:szCs w:val="24"/>
        </w:rPr>
        <w:t>.</w:t>
      </w:r>
      <w:r w:rsidR="00225460" w:rsidRPr="00886811">
        <w:rPr>
          <w:rStyle w:val="Refdenotaalpie"/>
          <w:rFonts w:cs="Arial"/>
          <w:szCs w:val="24"/>
        </w:rPr>
        <w:footnoteReference w:id="1"/>
      </w:r>
    </w:p>
    <w:p w:rsidR="00186786" w:rsidRPr="00886811" w:rsidRDefault="00186786" w:rsidP="00186786">
      <w:pPr>
        <w:pStyle w:val="Prrafodelista"/>
        <w:spacing w:before="240" w:beforeAutospacing="0" w:after="240" w:afterAutospacing="0"/>
        <w:ind w:left="0"/>
        <w:contextualSpacing w:val="0"/>
        <w:rPr>
          <w:rFonts w:cs="Arial"/>
          <w:szCs w:val="24"/>
        </w:rPr>
      </w:pPr>
      <w:r w:rsidRPr="00886811">
        <w:rPr>
          <w:rFonts w:cs="Arial"/>
          <w:b/>
          <w:szCs w:val="24"/>
        </w:rPr>
        <w:t>d)</w:t>
      </w:r>
      <w:r w:rsidRPr="00886811">
        <w:rPr>
          <w:rFonts w:cs="Arial"/>
          <w:szCs w:val="24"/>
        </w:rPr>
        <w:t xml:space="preserve"> </w:t>
      </w:r>
      <w:r w:rsidRPr="00886811">
        <w:rPr>
          <w:rFonts w:cs="Arial"/>
          <w:b/>
          <w:szCs w:val="24"/>
        </w:rPr>
        <w:t>Interés jurídico</w:t>
      </w:r>
      <w:r w:rsidRPr="00886811">
        <w:rPr>
          <w:rFonts w:cs="Arial"/>
          <w:szCs w:val="24"/>
        </w:rPr>
        <w:t xml:space="preserve">. Se cumple esta exigencia porque el Partido </w:t>
      </w:r>
      <w:r w:rsidR="00732846" w:rsidRPr="00886811">
        <w:rPr>
          <w:rFonts w:cs="Arial"/>
          <w:szCs w:val="24"/>
        </w:rPr>
        <w:t>del T</w:t>
      </w:r>
      <w:r w:rsidR="00885FDD" w:rsidRPr="00886811">
        <w:rPr>
          <w:rFonts w:cs="Arial"/>
          <w:szCs w:val="24"/>
        </w:rPr>
        <w:t>rabajo</w:t>
      </w:r>
      <w:r w:rsidRPr="00886811">
        <w:rPr>
          <w:rFonts w:cs="Arial"/>
          <w:szCs w:val="24"/>
        </w:rPr>
        <w:t xml:space="preserve"> controvierte una resolución por la cual la autoridad señalada como responsable le impuso diversas sanciones, con motivo de las irregularidades encontradas en el dictamen consolidado de la revisión de los informes anuales de ingresos y gastos del partido recurrente</w:t>
      </w:r>
      <w:r w:rsidRPr="00886811">
        <w:rPr>
          <w:rFonts w:cs="Arial"/>
          <w:szCs w:val="24"/>
          <w:lang w:eastAsia="es-MX"/>
        </w:rPr>
        <w:t>, correspondientes al ejercicio dos mil quince</w:t>
      </w:r>
      <w:r w:rsidRPr="00886811">
        <w:rPr>
          <w:rFonts w:cs="Arial"/>
          <w:szCs w:val="24"/>
        </w:rPr>
        <w:t>.</w:t>
      </w:r>
    </w:p>
    <w:p w:rsidR="009F7FFC" w:rsidRPr="00886811" w:rsidRDefault="00186786" w:rsidP="00225460">
      <w:pPr>
        <w:pStyle w:val="Prrafodelista"/>
        <w:spacing w:before="240" w:beforeAutospacing="0" w:after="240" w:afterAutospacing="0"/>
        <w:ind w:left="0"/>
        <w:contextualSpacing w:val="0"/>
        <w:rPr>
          <w:rFonts w:cs="Arial"/>
          <w:szCs w:val="24"/>
        </w:rPr>
      </w:pPr>
      <w:r w:rsidRPr="00886811">
        <w:rPr>
          <w:rFonts w:cs="Arial"/>
          <w:b/>
          <w:szCs w:val="24"/>
        </w:rPr>
        <w:t>e</w:t>
      </w:r>
      <w:r w:rsidR="009F7FFC" w:rsidRPr="00886811">
        <w:rPr>
          <w:rFonts w:cs="Arial"/>
          <w:b/>
          <w:szCs w:val="24"/>
        </w:rPr>
        <w:t>) Definitividad</w:t>
      </w:r>
      <w:r w:rsidR="00885FDD" w:rsidRPr="00886811">
        <w:rPr>
          <w:rFonts w:cs="Arial"/>
          <w:b/>
          <w:szCs w:val="24"/>
        </w:rPr>
        <w:t>.</w:t>
      </w:r>
      <w:r w:rsidR="00885FDD" w:rsidRPr="00886811">
        <w:rPr>
          <w:rFonts w:cs="Arial"/>
          <w:szCs w:val="24"/>
        </w:rPr>
        <w:t xml:space="preserve"> La decisión cuestionada es definitiva y firme, porque no existe otro medio de impugnación para revocarla o modificarla.</w:t>
      </w:r>
    </w:p>
    <w:p w:rsidR="00886811" w:rsidRPr="00886811" w:rsidRDefault="009A2774" w:rsidP="00D862E3">
      <w:pPr>
        <w:spacing w:before="240" w:after="240" w:line="360" w:lineRule="auto"/>
        <w:jc w:val="both"/>
        <w:rPr>
          <w:rFonts w:ascii="Arial" w:hAnsi="Arial" w:cs="Arial"/>
          <w:bCs/>
        </w:rPr>
      </w:pPr>
      <w:r w:rsidRPr="00886811">
        <w:rPr>
          <w:rFonts w:ascii="Arial" w:hAnsi="Arial" w:cs="Arial"/>
          <w:b/>
        </w:rPr>
        <w:t>II</w:t>
      </w:r>
      <w:r w:rsidR="00B72D57" w:rsidRPr="00886811">
        <w:rPr>
          <w:rFonts w:ascii="Arial" w:hAnsi="Arial" w:cs="Arial"/>
          <w:b/>
        </w:rPr>
        <w:t>I</w:t>
      </w:r>
      <w:r w:rsidR="00C91F15" w:rsidRPr="00886811">
        <w:rPr>
          <w:rFonts w:ascii="Arial" w:hAnsi="Arial" w:cs="Arial"/>
          <w:b/>
        </w:rPr>
        <w:t>.</w:t>
      </w:r>
      <w:r w:rsidR="00C91F15" w:rsidRPr="00886811">
        <w:rPr>
          <w:rFonts w:ascii="Arial" w:hAnsi="Arial" w:cs="Arial"/>
          <w:b/>
          <w:bCs/>
        </w:rPr>
        <w:t xml:space="preserve"> Pruebas. </w:t>
      </w:r>
      <w:r w:rsidRPr="00886811">
        <w:rPr>
          <w:rFonts w:ascii="Arial" w:hAnsi="Arial" w:cs="Arial"/>
          <w:bCs/>
        </w:rPr>
        <w:t xml:space="preserve">Se admiten las pruebas </w:t>
      </w:r>
      <w:r w:rsidR="00D90712">
        <w:rPr>
          <w:rFonts w:ascii="Arial" w:hAnsi="Arial" w:cs="Arial"/>
          <w:bCs/>
        </w:rPr>
        <w:t>documentales</w:t>
      </w:r>
      <w:r w:rsidR="00D90712">
        <w:rPr>
          <w:rStyle w:val="Refdenotaalpie"/>
          <w:rFonts w:ascii="Arial" w:hAnsi="Arial" w:cs="Arial"/>
          <w:bCs/>
        </w:rPr>
        <w:footnoteReference w:id="2"/>
      </w:r>
      <w:r w:rsidR="00D90712">
        <w:rPr>
          <w:rFonts w:ascii="Arial" w:hAnsi="Arial" w:cs="Arial"/>
          <w:bCs/>
        </w:rPr>
        <w:t xml:space="preserve"> </w:t>
      </w:r>
      <w:r w:rsidRPr="00886811">
        <w:rPr>
          <w:rFonts w:ascii="Arial" w:hAnsi="Arial" w:cs="Arial"/>
          <w:bCs/>
        </w:rPr>
        <w:t>ofrecidas por el partido recurrente, las cuales se tienen por desahogadas atendiendo a su naturaleza.</w:t>
      </w:r>
    </w:p>
    <w:p w:rsidR="009A2774" w:rsidRPr="00886811" w:rsidRDefault="009A2774" w:rsidP="00D862E3">
      <w:pPr>
        <w:spacing w:before="240" w:after="240" w:line="360" w:lineRule="auto"/>
        <w:jc w:val="both"/>
        <w:rPr>
          <w:rFonts w:ascii="Arial" w:hAnsi="Arial" w:cs="Arial"/>
        </w:rPr>
      </w:pPr>
      <w:r w:rsidRPr="00886811">
        <w:rPr>
          <w:rFonts w:ascii="Arial" w:hAnsi="Arial" w:cs="Arial"/>
          <w:b/>
          <w:lang w:val="es-ES"/>
        </w:rPr>
        <w:t>I</w:t>
      </w:r>
      <w:r w:rsidR="00B72D57" w:rsidRPr="00886811">
        <w:rPr>
          <w:rFonts w:ascii="Arial" w:hAnsi="Arial" w:cs="Arial"/>
          <w:b/>
          <w:lang w:val="es-ES"/>
        </w:rPr>
        <w:t>V</w:t>
      </w:r>
      <w:r w:rsidRPr="00886811">
        <w:rPr>
          <w:rFonts w:ascii="Arial" w:hAnsi="Arial" w:cs="Arial"/>
          <w:b/>
          <w:lang w:val="es-ES"/>
        </w:rPr>
        <w:t>.</w:t>
      </w:r>
      <w:r w:rsidRPr="00886811">
        <w:rPr>
          <w:rFonts w:ascii="Arial" w:hAnsi="Arial" w:cs="Arial"/>
        </w:rPr>
        <w:t xml:space="preserve"> </w:t>
      </w:r>
      <w:r w:rsidRPr="00886811">
        <w:rPr>
          <w:rFonts w:ascii="Arial" w:hAnsi="Arial" w:cs="Arial"/>
          <w:b/>
        </w:rPr>
        <w:t>Trámite ante la responsable</w:t>
      </w:r>
      <w:r w:rsidRPr="00886811">
        <w:rPr>
          <w:rFonts w:ascii="Arial" w:hAnsi="Arial" w:cs="Arial"/>
        </w:rPr>
        <w:t>. Se tienen por cumplidas</w:t>
      </w:r>
      <w:r w:rsidRPr="00886811">
        <w:rPr>
          <w:rFonts w:ascii="Arial" w:hAnsi="Arial" w:cs="Arial"/>
          <w:b/>
        </w:rPr>
        <w:t xml:space="preserve"> </w:t>
      </w:r>
      <w:r w:rsidRPr="00886811">
        <w:rPr>
          <w:rFonts w:ascii="Arial" w:hAnsi="Arial" w:cs="Arial"/>
        </w:rPr>
        <w:t>las obligaciones previstas en los artículos 17, párrafo 1 y 18 de la legislación procesal de la materia.</w:t>
      </w:r>
    </w:p>
    <w:p w:rsidR="007E78F4" w:rsidRPr="00886811" w:rsidRDefault="007E78F4" w:rsidP="00D73154">
      <w:pPr>
        <w:spacing w:before="240" w:after="240" w:line="360" w:lineRule="auto"/>
        <w:jc w:val="both"/>
        <w:rPr>
          <w:rFonts w:ascii="Arial" w:hAnsi="Arial" w:cs="Arial"/>
          <w:b/>
          <w:lang w:val="es-ES"/>
        </w:rPr>
      </w:pPr>
      <w:r w:rsidRPr="00886811">
        <w:rPr>
          <w:rFonts w:ascii="Arial" w:hAnsi="Arial" w:cs="Arial"/>
          <w:b/>
          <w:bCs/>
        </w:rPr>
        <w:t>NOTIFÍQUESE</w:t>
      </w:r>
      <w:r w:rsidRPr="00886811">
        <w:rPr>
          <w:rFonts w:ascii="Arial" w:hAnsi="Arial" w:cs="Arial"/>
          <w:b/>
          <w:lang w:val="es-ES"/>
        </w:rPr>
        <w:t>.</w:t>
      </w:r>
    </w:p>
    <w:p w:rsidR="00F42199" w:rsidRPr="00886811" w:rsidRDefault="007E78F4" w:rsidP="00D73154">
      <w:pPr>
        <w:spacing w:before="240" w:after="240" w:line="360" w:lineRule="auto"/>
        <w:jc w:val="both"/>
        <w:rPr>
          <w:rFonts w:ascii="Arial" w:hAnsi="Arial" w:cs="Arial"/>
          <w:lang w:val="es-ES"/>
        </w:rPr>
      </w:pPr>
      <w:r w:rsidRPr="00886811">
        <w:rPr>
          <w:rFonts w:ascii="Arial" w:hAnsi="Arial" w:cs="Arial"/>
          <w:lang w:val="es-ES"/>
        </w:rPr>
        <w:lastRenderedPageBreak/>
        <w:t xml:space="preserve">Así lo acordó y firma </w:t>
      </w:r>
      <w:r w:rsidR="002D735C" w:rsidRPr="00886811">
        <w:rPr>
          <w:rFonts w:ascii="Arial" w:hAnsi="Arial" w:cs="Arial"/>
          <w:lang w:val="es-ES"/>
        </w:rPr>
        <w:t>la</w:t>
      </w:r>
      <w:r w:rsidRPr="00886811">
        <w:rPr>
          <w:rFonts w:ascii="Arial" w:hAnsi="Arial" w:cs="Arial"/>
          <w:lang w:val="es-ES"/>
        </w:rPr>
        <w:t xml:space="preserve"> Magistrad</w:t>
      </w:r>
      <w:r w:rsidR="002D735C" w:rsidRPr="00886811">
        <w:rPr>
          <w:rFonts w:ascii="Arial" w:hAnsi="Arial" w:cs="Arial"/>
          <w:lang w:val="es-ES"/>
        </w:rPr>
        <w:t>a</w:t>
      </w:r>
      <w:r w:rsidRPr="00886811">
        <w:rPr>
          <w:rFonts w:ascii="Arial" w:hAnsi="Arial" w:cs="Arial"/>
          <w:lang w:val="es-ES"/>
        </w:rPr>
        <w:t xml:space="preserve"> de la Sala Regional del Tribunal Electoral del Poder Judicial de la </w:t>
      </w:r>
      <w:r w:rsidRPr="00886811">
        <w:rPr>
          <w:rFonts w:ascii="Arial" w:hAnsi="Arial" w:cs="Arial"/>
          <w:bCs/>
        </w:rPr>
        <w:t>Federación</w:t>
      </w:r>
      <w:r w:rsidRPr="00886811">
        <w:rPr>
          <w:rFonts w:ascii="Arial" w:hAnsi="Arial" w:cs="Arial"/>
          <w:lang w:val="es-ES"/>
        </w:rPr>
        <w:t xml:space="preserve"> correspondiente a la Segunda Circunscripción </w:t>
      </w:r>
      <w:r w:rsidR="008C251D" w:rsidRPr="00886811">
        <w:rPr>
          <w:rFonts w:ascii="Arial" w:hAnsi="Arial" w:cs="Arial"/>
          <w:lang w:val="es-ES"/>
        </w:rPr>
        <w:t xml:space="preserve">Electoral </w:t>
      </w:r>
      <w:r w:rsidRPr="00886811">
        <w:rPr>
          <w:rFonts w:ascii="Arial" w:hAnsi="Arial" w:cs="Arial"/>
          <w:lang w:val="es-ES"/>
        </w:rPr>
        <w:t>Plurinominal, en presencia de</w:t>
      </w:r>
      <w:r w:rsidR="00955CFD" w:rsidRPr="00886811">
        <w:rPr>
          <w:rFonts w:ascii="Arial" w:hAnsi="Arial" w:cs="Arial"/>
          <w:lang w:val="es-ES"/>
        </w:rPr>
        <w:t>l</w:t>
      </w:r>
      <w:r w:rsidRPr="00886811">
        <w:rPr>
          <w:rFonts w:ascii="Arial" w:hAnsi="Arial" w:cs="Arial"/>
          <w:lang w:val="es-ES"/>
        </w:rPr>
        <w:t xml:space="preserve"> </w:t>
      </w:r>
      <w:r w:rsidR="00F42199" w:rsidRPr="00886811">
        <w:rPr>
          <w:rFonts w:ascii="Arial" w:hAnsi="Arial" w:cs="Arial"/>
          <w:lang w:val="es-ES"/>
        </w:rPr>
        <w:t>Secretari</w:t>
      </w:r>
      <w:r w:rsidR="00955CFD" w:rsidRPr="00886811">
        <w:rPr>
          <w:rFonts w:ascii="Arial" w:hAnsi="Arial" w:cs="Arial"/>
          <w:lang w:val="es-ES"/>
        </w:rPr>
        <w:t xml:space="preserve">o </w:t>
      </w:r>
      <w:r w:rsidRPr="00886811">
        <w:rPr>
          <w:rFonts w:ascii="Arial" w:hAnsi="Arial" w:cs="Arial"/>
          <w:lang w:val="es-ES"/>
        </w:rPr>
        <w:t xml:space="preserve">de </w:t>
      </w:r>
      <w:r w:rsidR="00F42199" w:rsidRPr="00886811">
        <w:rPr>
          <w:rFonts w:ascii="Arial" w:hAnsi="Arial" w:cs="Arial"/>
          <w:lang w:val="es-ES"/>
        </w:rPr>
        <w:t xml:space="preserve">Estudio </w:t>
      </w:r>
      <w:r w:rsidRPr="00886811">
        <w:rPr>
          <w:rFonts w:ascii="Arial" w:hAnsi="Arial" w:cs="Arial"/>
          <w:lang w:val="es-ES"/>
        </w:rPr>
        <w:t xml:space="preserve">y </w:t>
      </w:r>
      <w:r w:rsidR="00F42199" w:rsidRPr="00886811">
        <w:rPr>
          <w:rFonts w:ascii="Arial" w:hAnsi="Arial" w:cs="Arial"/>
          <w:lang w:val="es-ES"/>
        </w:rPr>
        <w:t>Cuenta</w:t>
      </w:r>
      <w:r w:rsidRPr="00886811">
        <w:rPr>
          <w:rFonts w:ascii="Arial" w:hAnsi="Arial" w:cs="Arial"/>
          <w:lang w:val="es-ES"/>
        </w:rPr>
        <w:t>, quien da fe.</w:t>
      </w:r>
    </w:p>
    <w:p w:rsidR="00823987" w:rsidRPr="00886811" w:rsidRDefault="00823987" w:rsidP="00D73154">
      <w:pPr>
        <w:spacing w:before="240" w:after="240" w:line="360" w:lineRule="auto"/>
        <w:jc w:val="both"/>
        <w:rPr>
          <w:rFonts w:ascii="Arial" w:hAnsi="Arial" w:cs="Arial"/>
          <w:lang w:val="es-ES"/>
        </w:rPr>
      </w:pPr>
    </w:p>
    <w:tbl>
      <w:tblPr>
        <w:tblW w:w="5255" w:type="pct"/>
        <w:jc w:val="center"/>
        <w:tblLook w:val="01E0" w:firstRow="1" w:lastRow="1" w:firstColumn="1" w:lastColumn="1" w:noHBand="0" w:noVBand="0"/>
      </w:tblPr>
      <w:tblGrid>
        <w:gridCol w:w="4351"/>
        <w:gridCol w:w="4344"/>
      </w:tblGrid>
      <w:tr w:rsidR="007E78F4" w:rsidRPr="00886811" w:rsidTr="00C91F15">
        <w:trPr>
          <w:trHeight w:val="469"/>
          <w:jc w:val="center"/>
        </w:trPr>
        <w:tc>
          <w:tcPr>
            <w:tcW w:w="2502" w:type="pct"/>
          </w:tcPr>
          <w:p w:rsidR="007E78F4" w:rsidRPr="00886811" w:rsidRDefault="002D735C" w:rsidP="0039228B">
            <w:pPr>
              <w:jc w:val="center"/>
              <w:rPr>
                <w:rFonts w:ascii="Arial" w:eastAsia="Calibri" w:hAnsi="Arial" w:cs="Arial"/>
                <w:b/>
                <w:lang w:val="es-MX" w:eastAsia="en-US"/>
              </w:rPr>
            </w:pPr>
            <w:r w:rsidRPr="00886811">
              <w:rPr>
                <w:rFonts w:ascii="Arial" w:eastAsia="Calibri" w:hAnsi="Arial" w:cs="Arial"/>
                <w:b/>
                <w:lang w:val="es-MX" w:eastAsia="en-US"/>
              </w:rPr>
              <w:t>CLAUDIA VALLE AGUILASOCHO</w:t>
            </w:r>
          </w:p>
          <w:p w:rsidR="007E78F4" w:rsidRPr="00886811" w:rsidRDefault="002D735C" w:rsidP="0039228B">
            <w:pPr>
              <w:ind w:left="142"/>
              <w:jc w:val="center"/>
              <w:rPr>
                <w:rFonts w:ascii="Arial" w:hAnsi="Arial" w:cs="Arial"/>
                <w:b/>
                <w:spacing w:val="-20"/>
              </w:rPr>
            </w:pPr>
            <w:r w:rsidRPr="00886811">
              <w:rPr>
                <w:rFonts w:ascii="Arial" w:eastAsia="Calibri" w:hAnsi="Arial" w:cs="Arial"/>
                <w:b/>
                <w:lang w:val="es-MX" w:eastAsia="en-US"/>
              </w:rPr>
              <w:t>MAGISTRADA</w:t>
            </w:r>
          </w:p>
        </w:tc>
        <w:tc>
          <w:tcPr>
            <w:tcW w:w="2498" w:type="pct"/>
          </w:tcPr>
          <w:p w:rsidR="007E78F4" w:rsidRPr="00886811" w:rsidRDefault="00955CFD" w:rsidP="0039228B">
            <w:pPr>
              <w:ind w:left="14"/>
              <w:jc w:val="center"/>
              <w:rPr>
                <w:rFonts w:ascii="Arial" w:eastAsia="Calibri" w:hAnsi="Arial" w:cs="Arial"/>
                <w:b/>
                <w:lang w:val="es-MX" w:eastAsia="en-US"/>
              </w:rPr>
            </w:pPr>
            <w:r w:rsidRPr="00886811">
              <w:rPr>
                <w:rFonts w:ascii="Arial" w:eastAsia="Calibri" w:hAnsi="Arial" w:cs="Arial"/>
                <w:b/>
                <w:lang w:val="es-MX" w:eastAsia="en-US"/>
              </w:rPr>
              <w:t>ALFONSO ROIZ ELIZONDO</w:t>
            </w:r>
          </w:p>
          <w:p w:rsidR="007E78F4" w:rsidRPr="00886811" w:rsidRDefault="00627575" w:rsidP="00D862E3">
            <w:pPr>
              <w:ind w:left="142"/>
              <w:jc w:val="center"/>
              <w:rPr>
                <w:rFonts w:ascii="Arial" w:hAnsi="Arial" w:cs="Arial"/>
                <w:b/>
                <w:spacing w:val="-24"/>
              </w:rPr>
            </w:pPr>
            <w:r w:rsidRPr="00886811">
              <w:rPr>
                <w:rFonts w:ascii="Arial" w:eastAsia="Calibri" w:hAnsi="Arial" w:cs="Arial"/>
                <w:b/>
                <w:lang w:val="es-MX" w:eastAsia="en-US"/>
              </w:rPr>
              <w:t>SECRETARI</w:t>
            </w:r>
            <w:r w:rsidR="00D8515F" w:rsidRPr="00886811">
              <w:rPr>
                <w:rFonts w:ascii="Arial" w:eastAsia="Calibri" w:hAnsi="Arial" w:cs="Arial"/>
                <w:b/>
                <w:lang w:val="es-MX" w:eastAsia="en-US"/>
              </w:rPr>
              <w:t>O</w:t>
            </w:r>
          </w:p>
        </w:tc>
      </w:tr>
    </w:tbl>
    <w:p w:rsidR="00B72D57" w:rsidRPr="00886811" w:rsidRDefault="00B72D57" w:rsidP="00B72D57">
      <w:pPr>
        <w:jc w:val="right"/>
        <w:rPr>
          <w:rFonts w:ascii="Arial" w:hAnsi="Arial" w:cs="Arial"/>
        </w:rPr>
      </w:pPr>
    </w:p>
    <w:p w:rsidR="007A4ECF" w:rsidRPr="00B24D73" w:rsidRDefault="00B72D57" w:rsidP="00B24D73">
      <w:pPr>
        <w:jc w:val="right"/>
        <w:rPr>
          <w:rFonts w:ascii="Arial" w:hAnsi="Arial" w:cs="Arial"/>
          <w:sz w:val="12"/>
          <w:szCs w:val="16"/>
        </w:rPr>
      </w:pPr>
      <w:r w:rsidRPr="00B24D73">
        <w:rPr>
          <w:rFonts w:ascii="Arial" w:hAnsi="Arial" w:cs="Arial"/>
          <w:sz w:val="12"/>
          <w:szCs w:val="16"/>
        </w:rPr>
        <w:t>MCMG</w:t>
      </w:r>
    </w:p>
    <w:sectPr w:rsidR="007A4ECF" w:rsidRPr="00B24D73" w:rsidSect="00B24D73">
      <w:headerReference w:type="even" r:id="rId8"/>
      <w:headerReference w:type="default" r:id="rId9"/>
      <w:footerReference w:type="even" r:id="rId10"/>
      <w:footerReference w:type="default" r:id="rId11"/>
      <w:headerReference w:type="first" r:id="rId12"/>
      <w:pgSz w:w="12242" w:h="18722" w:code="179"/>
      <w:pgMar w:top="1134" w:right="1134" w:bottom="1134" w:left="2835"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6" w:rsidRDefault="0092731A" w:rsidP="00666D2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6" w:rsidRDefault="0092731A" w:rsidP="000D4CA5">
    <w:pPr>
      <w:pStyle w:val="Piedepgin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C6" w:rsidRDefault="000C52C6" w:rsidP="007E78F4">
      <w:r>
        <w:separator/>
      </w:r>
    </w:p>
  </w:footnote>
  <w:footnote w:type="continuationSeparator" w:id="0">
    <w:p w:rsidR="000C52C6" w:rsidRDefault="000C52C6" w:rsidP="007E78F4">
      <w:r>
        <w:continuationSeparator/>
      </w:r>
    </w:p>
  </w:footnote>
  <w:footnote w:id="1">
    <w:p w:rsidR="00225460" w:rsidRPr="00C6332B" w:rsidRDefault="00225460" w:rsidP="00225460">
      <w:pPr>
        <w:pStyle w:val="Textonotapie"/>
        <w:jc w:val="both"/>
        <w:rPr>
          <w:rFonts w:cs="Arial"/>
        </w:rPr>
      </w:pPr>
      <w:r w:rsidRPr="00C6332B">
        <w:rPr>
          <w:rStyle w:val="Refdenotaalpie"/>
          <w:rFonts w:cs="Arial"/>
        </w:rPr>
        <w:footnoteRef/>
      </w:r>
      <w:r w:rsidRPr="00C6332B">
        <w:rPr>
          <w:rFonts w:cs="Arial"/>
        </w:rPr>
        <w:t xml:space="preserve"> </w:t>
      </w:r>
      <w:r>
        <w:rPr>
          <w:rFonts w:cs="Arial"/>
        </w:rPr>
        <w:t>V</w:t>
      </w:r>
      <w:r w:rsidRPr="00C6332B">
        <w:rPr>
          <w:rFonts w:cs="Arial"/>
        </w:rPr>
        <w:t xml:space="preserve">isible a foja </w:t>
      </w:r>
      <w:r>
        <w:rPr>
          <w:rFonts w:cs="Arial"/>
        </w:rPr>
        <w:t>565</w:t>
      </w:r>
      <w:r w:rsidRPr="00C6332B">
        <w:rPr>
          <w:rFonts w:cs="Arial"/>
        </w:rPr>
        <w:t xml:space="preserve"> del expediente.</w:t>
      </w:r>
    </w:p>
  </w:footnote>
  <w:footnote w:id="2">
    <w:p w:rsidR="00D90712" w:rsidRPr="00D90712" w:rsidRDefault="00D90712" w:rsidP="00D90712">
      <w:pPr>
        <w:pStyle w:val="Textonotapie"/>
        <w:jc w:val="both"/>
        <w:rPr>
          <w:lang w:val="es-MX"/>
        </w:rPr>
      </w:pPr>
      <w:r>
        <w:rPr>
          <w:rStyle w:val="Refdenotaalpie"/>
        </w:rPr>
        <w:footnoteRef/>
      </w:r>
      <w:r>
        <w:t xml:space="preserve"> Relativas a los documentos que ofrece para acreditar la personería del promovente, la existencia del acto impugnado y la notificación del mismo.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6" w:rsidRPr="00E8635C" w:rsidRDefault="007E78F4" w:rsidP="00F46846">
    <w:pPr>
      <w:pStyle w:val="Encabezado"/>
      <w:spacing w:after="240"/>
      <w:rPr>
        <w:sz w:val="20"/>
        <w:szCs w:val="20"/>
      </w:rPr>
    </w:pPr>
    <w:r>
      <w:rPr>
        <w:noProof/>
        <w:lang w:val="es-MX" w:eastAsia="es-MX"/>
      </w:rPr>
      <mc:AlternateContent>
        <mc:Choice Requires="wps">
          <w:drawing>
            <wp:anchor distT="0" distB="0" distL="114300" distR="114300" simplePos="0" relativeHeight="251663360" behindDoc="0" locked="0" layoutInCell="0" allowOverlap="1" wp14:anchorId="5EEA599F" wp14:editId="5F7D0DC3">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2731A" w:rsidRPr="0092731A">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599F"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2731A" w:rsidRPr="0092731A">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Pr>
        <w:noProof/>
        <w:lang w:val="es-MX" w:eastAsia="es-MX"/>
      </w:rPr>
      <mc:AlternateContent>
        <mc:Choice Requires="wps">
          <w:drawing>
            <wp:anchor distT="0" distB="0" distL="114300" distR="114300" simplePos="0" relativeHeight="251661312" behindDoc="0" locked="0" layoutInCell="0" allowOverlap="1" wp14:anchorId="5B85EC59" wp14:editId="3BC8EB7F">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92731A" w:rsidRPr="0092731A">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5B85EC59"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92731A" w:rsidRPr="0092731A">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E8635C">
      <w:rPr>
        <w:rFonts w:ascii="Arial" w:hAnsi="Arial" w:cs="Arial"/>
        <w:b/>
        <w:sz w:val="20"/>
        <w:szCs w:val="20"/>
        <w:lang w:val="es-MX"/>
      </w:rPr>
      <w:t>SM-</w:t>
    </w:r>
    <w:r w:rsidR="00764B93">
      <w:rPr>
        <w:rFonts w:ascii="Arial" w:hAnsi="Arial" w:cs="Arial"/>
        <w:b/>
        <w:sz w:val="20"/>
        <w:szCs w:val="20"/>
        <w:lang w:val="es-MX"/>
      </w:rPr>
      <w:t>RAP</w:t>
    </w:r>
    <w:r w:rsidR="00651A1A" w:rsidRPr="00E8635C">
      <w:rPr>
        <w:rFonts w:ascii="Arial" w:hAnsi="Arial" w:cs="Arial"/>
        <w:b/>
        <w:sz w:val="20"/>
        <w:szCs w:val="20"/>
        <w:lang w:val="es-MX"/>
      </w:rPr>
      <w:t>-</w:t>
    </w:r>
    <w:r w:rsidR="00764B93">
      <w:rPr>
        <w:rFonts w:ascii="Arial" w:hAnsi="Arial" w:cs="Arial"/>
        <w:b/>
        <w:sz w:val="20"/>
        <w:szCs w:val="20"/>
        <w:lang w:val="es-MX"/>
      </w:rPr>
      <w:t>6</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25FF46D2" wp14:editId="4D4CBE67">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23987" w:rsidRPr="00823987">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F46D2"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23987" w:rsidRPr="00823987">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143166A3" wp14:editId="463B404C">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6A1E8F94" wp14:editId="31771727">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F4"/>
    <w:rsid w:val="00015B7E"/>
    <w:rsid w:val="000173B3"/>
    <w:rsid w:val="00026BA9"/>
    <w:rsid w:val="00036CD9"/>
    <w:rsid w:val="00055B07"/>
    <w:rsid w:val="000577B1"/>
    <w:rsid w:val="00075BA8"/>
    <w:rsid w:val="000A0743"/>
    <w:rsid w:val="000B334C"/>
    <w:rsid w:val="000C52C6"/>
    <w:rsid w:val="000F33EC"/>
    <w:rsid w:val="00101651"/>
    <w:rsid w:val="00103065"/>
    <w:rsid w:val="0011797A"/>
    <w:rsid w:val="00117EF9"/>
    <w:rsid w:val="001343E5"/>
    <w:rsid w:val="00134CA7"/>
    <w:rsid w:val="001512EA"/>
    <w:rsid w:val="00153486"/>
    <w:rsid w:val="00170A93"/>
    <w:rsid w:val="00186786"/>
    <w:rsid w:val="001871CA"/>
    <w:rsid w:val="001A72A7"/>
    <w:rsid w:val="001C5972"/>
    <w:rsid w:val="001E01A0"/>
    <w:rsid w:val="001F41B6"/>
    <w:rsid w:val="00212715"/>
    <w:rsid w:val="00214240"/>
    <w:rsid w:val="00225460"/>
    <w:rsid w:val="0023383A"/>
    <w:rsid w:val="00234B57"/>
    <w:rsid w:val="00242F16"/>
    <w:rsid w:val="00243743"/>
    <w:rsid w:val="00273F8C"/>
    <w:rsid w:val="00286F68"/>
    <w:rsid w:val="002D735C"/>
    <w:rsid w:val="002D76E1"/>
    <w:rsid w:val="002F45E7"/>
    <w:rsid w:val="00311E3F"/>
    <w:rsid w:val="0031344C"/>
    <w:rsid w:val="003170D4"/>
    <w:rsid w:val="00390339"/>
    <w:rsid w:val="0039228B"/>
    <w:rsid w:val="003957A5"/>
    <w:rsid w:val="003E3D3A"/>
    <w:rsid w:val="003E79D0"/>
    <w:rsid w:val="003F41E9"/>
    <w:rsid w:val="003F73C3"/>
    <w:rsid w:val="00405CD9"/>
    <w:rsid w:val="0041122F"/>
    <w:rsid w:val="0042292E"/>
    <w:rsid w:val="0043275B"/>
    <w:rsid w:val="00496D86"/>
    <w:rsid w:val="004C64C8"/>
    <w:rsid w:val="004F19B8"/>
    <w:rsid w:val="00532C80"/>
    <w:rsid w:val="00532CAC"/>
    <w:rsid w:val="005603EB"/>
    <w:rsid w:val="005846AA"/>
    <w:rsid w:val="00585133"/>
    <w:rsid w:val="0059041B"/>
    <w:rsid w:val="005A03ED"/>
    <w:rsid w:val="005B7A2E"/>
    <w:rsid w:val="005C4789"/>
    <w:rsid w:val="005D439A"/>
    <w:rsid w:val="005F36DF"/>
    <w:rsid w:val="00627575"/>
    <w:rsid w:val="00651A1A"/>
    <w:rsid w:val="00674A1E"/>
    <w:rsid w:val="006F53E5"/>
    <w:rsid w:val="0072504A"/>
    <w:rsid w:val="00732846"/>
    <w:rsid w:val="00732B46"/>
    <w:rsid w:val="007338CD"/>
    <w:rsid w:val="007378A1"/>
    <w:rsid w:val="007402B6"/>
    <w:rsid w:val="0075189A"/>
    <w:rsid w:val="00751AD7"/>
    <w:rsid w:val="00764B93"/>
    <w:rsid w:val="00767E92"/>
    <w:rsid w:val="00773738"/>
    <w:rsid w:val="0078503B"/>
    <w:rsid w:val="00792978"/>
    <w:rsid w:val="007A4ECF"/>
    <w:rsid w:val="007B6014"/>
    <w:rsid w:val="007C4E87"/>
    <w:rsid w:val="007E1A2A"/>
    <w:rsid w:val="007E69AB"/>
    <w:rsid w:val="007E78F4"/>
    <w:rsid w:val="007F5F03"/>
    <w:rsid w:val="00823987"/>
    <w:rsid w:val="00836E7B"/>
    <w:rsid w:val="008539AD"/>
    <w:rsid w:val="008616B6"/>
    <w:rsid w:val="00881613"/>
    <w:rsid w:val="00885FDD"/>
    <w:rsid w:val="00886811"/>
    <w:rsid w:val="008A65B6"/>
    <w:rsid w:val="008C01FE"/>
    <w:rsid w:val="008C251D"/>
    <w:rsid w:val="008C5C0A"/>
    <w:rsid w:val="008C7637"/>
    <w:rsid w:val="008D05E1"/>
    <w:rsid w:val="008E0CCA"/>
    <w:rsid w:val="008E7EAE"/>
    <w:rsid w:val="0091734C"/>
    <w:rsid w:val="009175EA"/>
    <w:rsid w:val="00923940"/>
    <w:rsid w:val="0092731A"/>
    <w:rsid w:val="00932744"/>
    <w:rsid w:val="009550C9"/>
    <w:rsid w:val="00955CFD"/>
    <w:rsid w:val="0096155F"/>
    <w:rsid w:val="00975F71"/>
    <w:rsid w:val="009A2774"/>
    <w:rsid w:val="009F2357"/>
    <w:rsid w:val="009F7FFC"/>
    <w:rsid w:val="00A00075"/>
    <w:rsid w:val="00A01044"/>
    <w:rsid w:val="00A04A6A"/>
    <w:rsid w:val="00A06DB6"/>
    <w:rsid w:val="00A14747"/>
    <w:rsid w:val="00A16398"/>
    <w:rsid w:val="00A34ADF"/>
    <w:rsid w:val="00A81521"/>
    <w:rsid w:val="00AB2353"/>
    <w:rsid w:val="00AC41F4"/>
    <w:rsid w:val="00AE18F8"/>
    <w:rsid w:val="00B24D73"/>
    <w:rsid w:val="00B31224"/>
    <w:rsid w:val="00B342F9"/>
    <w:rsid w:val="00B47332"/>
    <w:rsid w:val="00B5179B"/>
    <w:rsid w:val="00B72D57"/>
    <w:rsid w:val="00BB26C9"/>
    <w:rsid w:val="00BB2CA9"/>
    <w:rsid w:val="00BB744D"/>
    <w:rsid w:val="00BB760C"/>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8515F"/>
    <w:rsid w:val="00D862E3"/>
    <w:rsid w:val="00D90655"/>
    <w:rsid w:val="00D90712"/>
    <w:rsid w:val="00DA48CD"/>
    <w:rsid w:val="00DA5197"/>
    <w:rsid w:val="00DC129E"/>
    <w:rsid w:val="00DC6ABE"/>
    <w:rsid w:val="00DE6809"/>
    <w:rsid w:val="00E0160C"/>
    <w:rsid w:val="00E15422"/>
    <w:rsid w:val="00E20387"/>
    <w:rsid w:val="00E3794D"/>
    <w:rsid w:val="00E70E94"/>
    <w:rsid w:val="00E751D4"/>
    <w:rsid w:val="00E768A9"/>
    <w:rsid w:val="00EC4017"/>
    <w:rsid w:val="00EC4E97"/>
    <w:rsid w:val="00EC5A16"/>
    <w:rsid w:val="00EF09E7"/>
    <w:rsid w:val="00EF353E"/>
    <w:rsid w:val="00F240A9"/>
    <w:rsid w:val="00F42199"/>
    <w:rsid w:val="00F5314B"/>
    <w:rsid w:val="00F564F5"/>
    <w:rsid w:val="00F65DB2"/>
    <w:rsid w:val="00F81674"/>
    <w:rsid w:val="00F847AF"/>
    <w:rsid w:val="00FD59D6"/>
    <w:rsid w:val="00FE20DD"/>
    <w:rsid w:val="00FE632C"/>
    <w:rsid w:val="00FF3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6C6A34F-6F32-4078-A497-25043B6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 w:type="character" w:customStyle="1" w:styleId="apple-converted-space">
    <w:name w:val="apple-converted-space"/>
    <w:basedOn w:val="Fuentedeprrafopredeter"/>
    <w:rsid w:val="0021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3EDC356-FCC5-4CAD-AD1C-32F1D18A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Alfonso Roiz Elizondo</cp:lastModifiedBy>
  <cp:revision>2</cp:revision>
  <cp:lastPrinted>2017-04-11T19:35:00Z</cp:lastPrinted>
  <dcterms:created xsi:type="dcterms:W3CDTF">2017-05-04T21:24:00Z</dcterms:created>
  <dcterms:modified xsi:type="dcterms:W3CDTF">2017-05-04T21:24:00Z</dcterms:modified>
</cp:coreProperties>
</file>